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Cambria" w:cs="Cambria" w:eastAsia="Cambria" w:hAnsi="Cambria"/>
          <w:b/>
          <w:bCs/>
          <w:color w:val="12263A"/>
          <w:sz w:val="44"/>
          <w:szCs w:val="44"/>
        </w:rPr>
        <w:t xml:space="preserve">U7b · Shock de cantidad de noticias</w:t>
      </w:r>
    </w:p>
    <w:p>
      <w:pPr>
        <w:spacing w:after="200"/>
      </w:pPr>
      <w:r>
        <w:rPr>
          <w:rFonts w:ascii="Cambria" w:cs="Cambria" w:eastAsia="Cambria" w:hAnsi="Cambria"/>
          <w:i/>
          <w:iCs/>
          <w:color w:val="1C3A5C"/>
          <w:sz w:val="24"/>
          <w:szCs w:val="24"/>
        </w:rPr>
        <w:t xml:space="preserve">El event study con la definición de shock del plan de trabajo: muchas más notas que lo habitual</w:t>
      </w:r>
    </w:p>
    <w:p>
      <w:pPr>
        <w:pBdr>
          <w:bottom w:val="single" w:color="D9E0E7" w:sz="4" w:space="8"/>
        </w:pBdr>
        <w:spacing w:after="200"/>
      </w:pPr>
      <w:r>
        <w:rPr>
          <w:color w:val="5C6B7A"/>
          <w:sz w:val="19"/>
          <w:szCs w:val="19"/>
        </w:rPr>
        <w:t xml:space="preserve">Tesina — Impacto de shocks informativos en acciones argentinas (BYMA / S&amp;P Merval). Documento de la unión: lee el lado bursátil y el lado de noticias sin modificarlos.</w:t>
      </w:r>
    </w:p>
    <w:p>
      <w:pPr>
        <w:spacing w:after="160" w:line="300"/>
      </w:pPr>
      <w:r>
        <w:rPr>
          <w:b/>
          <w:bCs/>
        </w:rPr>
        <w:t xml:space="preserve">Ubicación. </w:t>
      </w:r>
      <w:r>
        <w:rPr>
          <w:rFonts w:ascii="Consolas" w:cs="Consolas" w:eastAsia="Consolas" w:hAnsi="Consolas"/>
          <w:color w:val="1C3A5C"/>
          <w:sz w:val="19"/>
          <w:szCs w:val="19"/>
        </w:rPr>
        <w:t xml:space="preserve">D:\2.Tesina\tesis version 3.0\Unión\07b_shock_volumen_noticias\</w:t>
      </w:r>
      <w:r>
        <w:t xml:space="preserve">. Script: </w:t>
      </w:r>
      <w:r>
        <w:rPr>
          <w:rFonts w:ascii="Consolas" w:cs="Consolas" w:eastAsia="Consolas" w:hAnsi="Consolas"/>
          <w:color w:val="1C3A5C"/>
          <w:sz w:val="19"/>
          <w:szCs w:val="19"/>
        </w:rPr>
        <w:t xml:space="preserve">shock_volumen_noticias.py</w:t>
      </w:r>
      <w:r>
        <w:t xml:space="preserve">. Especificación previa: </w:t>
      </w:r>
      <w:r>
        <w:rPr>
          <w:rFonts w:ascii="Consolas" w:cs="Consolas" w:eastAsia="Consolas" w:hAnsi="Consolas"/>
          <w:color w:val="1C3A5C"/>
          <w:sz w:val="19"/>
          <w:szCs w:val="19"/>
        </w:rPr>
        <w:t xml:space="preserve">especificacion_previa.md</w:t>
      </w:r>
      <w:r>
        <w:t xml:space="preserve">.</w:t>
      </w:r>
    </w:p>
    <w:tbl>
      <w:tblPr>
        <w:tblW w:type="pct" w:w="5000"/>
        <w:tblBorders>
          <w:top w:val="single" w:color="D9E0E7" w:sz="4"/>
          <w:left w:val="single" w:color="40798C" w:sz="24"/>
          <w:bottom w:val="single" w:color="D9E0E7" w:sz="4"/>
          <w:right w:val="single" w:color="D9E0E7" w:sz="4"/>
          <w:insideH w:val="none" w:color="FFFFFF" w:sz="0"/>
          <w:insideV w:val="none" w:color="FFFFFF" w:sz="0"/>
        </w:tblBorders>
      </w:tblPr>
      <w:tblGrid>
        <w:gridCol w:w="9638"/>
      </w:tblGrid>
      <w:tr>
        <w:trPr>
          <w:cantSplit/>
        </w:trPr>
        <w:tc>
          <w:tcPr>
            <w:shd w:fill="F5F8FA" w:val="clear"/>
            <w:tcMar>
              <w:top w:type="dxa" w:w="160"/>
              <w:left w:type="dxa" w:w="220"/>
              <w:bottom w:type="dxa" w:w="160"/>
              <w:right w:type="dxa" w:w="220"/>
            </w:tcMar>
          </w:tcPr>
          <w:p>
            <w:pPr>
              <w:spacing w:after="80"/>
            </w:pPr>
            <w:r>
              <w:rPr>
                <w:b/>
                <w:bCs/>
                <w:color w:val="1C3A5C"/>
              </w:rPr>
              <w:t xml:space="preserve">En una frase</w:t>
            </w:r>
          </w:p>
          <w:p>
            <w:pPr>
              <w:spacing w:after="60" w:line="276"/>
            </w:pPr>
            <w:r>
              <w:t xml:space="preserve">Cuando una empresa aparece en muchas más notas que lo habitual, ese mismo día su acción se opera más (volumen anormal 0,14 contra -0,05 de un día cualquiera; p corregido 0,017) y su precio se mueve algo más, para un lado o para el otro. No hay una dirección ni un efecto en los días siguientes, y en el mercado en su conjunto no aparece nada. Contando solo las notas publicadas con el mercado cerrado, el precio de apertura de las empresas no se mueve más que en un día cualquiera.</w:t>
            </w:r>
          </w:p>
        </w:tc>
      </w:tr>
    </w:tbl>
    <w:p>
      <w:pPr>
        <w:pStyle w:val="Heading1"/>
        <w:keepNext/>
        <w:spacing w:after="160" w:before="360"/>
      </w:pPr>
      <w:r>
        <w:t xml:space="preserve">1. Por qué esta prueba</w:t>
      </w:r>
    </w:p>
    <w:p>
      <w:pPr>
        <w:spacing w:after="160" w:line="300"/>
      </w:pPr>
      <w:r>
        <w:t xml:space="preserve">El plan de trabajo (sección 4.4) define el shock informativo como un aumento anormal de la cantidad de noticias: la cantidad del día comparada con la media de los 30 días previos, medida con un z-score. Si el z-score supera un umbral, hay un evento de shock. La hipótesis H1 del plan dice que ese shock tiene un impacto medible sobre el precio o el volumen.</w:t>
      </w:r>
    </w:p>
    <w:p>
      <w:pPr>
        <w:spacing w:after="160" w:line="300"/>
      </w:pPr>
      <w:r>
        <w:t xml:space="preserve">U7 hizo el event study con las ruedas de tono extremo, y el VAR de U6 usó la cantidad de notas como una variable continua (la atención anormal). Faltaba la prueba con la definición literal del plan: tomar los días de muchas más notas que lo habitual y mirar qué pasa con el precio y el volumen alrededor.</w:t>
      </w:r>
    </w:p>
    <w:p>
      <w:pPr>
        <w:spacing w:after="160" w:line="300"/>
      </w:pPr>
      <w:r>
        <w:rPr>
          <w:b/>
          <w:bCs/>
        </w:rPr>
        <w:t xml:space="preserve">Ejemplo. </w:t>
      </w:r>
      <w:r>
        <w:t xml:space="preserve">Si una empresa suele aparecer en 2 notas por día y un día aparece en 12, ese día es un shock. La pregunta es si ese día (o los siguientes) su acción se mueve o se opera más que en un día cualquiera.</w:t>
      </w:r>
    </w:p>
    <w:p>
      <w:pPr>
        <w:pStyle w:val="Heading1"/>
        <w:keepNext/>
        <w:spacing w:after="160" w:before="360"/>
      </w:pPr>
      <w:r>
        <w:t xml:space="preserve">2. Fijada antes de ver los resultados, con un cambio documentado</w:t>
      </w:r>
    </w:p>
    <w:p>
      <w:pPr>
        <w:spacing w:after="160" w:line="300"/>
      </w:pPr>
      <w:r>
        <w:t xml:space="preserve">La especificación se escribió antes de calcular ningún resultado (especificacion_previa.md). Define cómo se marca un shock, qué se mide, cómo se compara contra el azar y qué cuenta como evidencia. Un shock de cantidad no tiene signo (muchas notas pueden ser buenas o malas), así que la medida central es el tamaño del movimiento del precio el día del shock, para un lado o para el otro, además del volumen.</w:t>
      </w:r>
    </w:p>
    <w:p>
      <w:pPr>
        <w:spacing w:after="160" w:line="300"/>
        <w:ind w:left="360" w:hanging="240"/>
      </w:pPr>
      <w:r>
        <w:t xml:space="preserve">•  </w:t>
      </w:r>
      <w:r>
        <w:rPr>
          <w:b/>
          <w:bCs/>
        </w:rPr>
        <w:t xml:space="preserve">Shock: </w:t>
      </w:r>
      <w:r>
        <w:t xml:space="preserve">z-score de la cantidad contra las 30 ruedas previas, mayor que 2. Mercado: notas de la rueda. Empresas (las 17 con tono propio): artículos que la mencionan, con al menos 3 en la rueda. Ruedas seguidas con shock cuentan como un solo evento.</w:t>
      </w:r>
    </w:p>
    <w:p>
      <w:pPr>
        <w:spacing w:after="160" w:line="300"/>
        <w:ind w:left="360" w:hanging="240"/>
      </w:pPr>
      <w:r>
        <w:t xml:space="preserve">•  </w:t>
      </w:r>
      <w:r>
        <w:rPr>
          <w:b/>
          <w:bCs/>
        </w:rPr>
        <w:t xml:space="preserve">Medición: </w:t>
      </w:r>
      <w:r>
        <w:t xml:space="preserve">igual que U7. Merval con modelo de media constante; cada acción con modelo de mercado; ventana de estimación [−25, −4] sin los días electorales; los eventos con una elección en su ventana se dejan aparte.</w:t>
      </w:r>
    </w:p>
    <w:p>
      <w:pPr>
        <w:spacing w:after="160" w:line="300"/>
        <w:ind w:left="360" w:hanging="240"/>
      </w:pPr>
      <w:r>
        <w:t xml:space="preserve">•  </w:t>
      </w:r>
      <w:r>
        <w:rPr>
          <w:b/>
          <w:bCs/>
        </w:rPr>
        <w:t xml:space="preserve">Significancia: </w:t>
      </w:r>
      <w:r>
        <w:t xml:space="preserve">contra fechas al azar (5.000 sorteos) con la corrección de Benjamini-Hochberg sobre las 14 pruebas principales.</w:t>
      </w:r>
    </w:p>
    <w:p>
      <w:pPr>
        <w:spacing w:after="160" w:line="300"/>
      </w:pPr>
      <w:r>
        <w:rPr>
          <w:b/>
          <w:bCs/>
        </w:rPr>
        <w:t xml:space="preserve">El cambio posterior. </w:t>
      </w:r>
      <w:r>
        <w:t xml:space="preserve">Con la versión original, los 13 eventos del mercado caían todos en la primera rueda después de un día sin mercado (lunes o post-feriado). Por la regla de las 17:00, esa rueda junta las notas de 3 o 4 días: comparada con las ruedas previas, casi siempre "tiene muchas más notas". La regla marcaba fines de semana, no noticias. Se corrigió midiendo la cantidad por día de calendario (la cantidad de la rueda dividida por los días que cubre), que es lo más fiel al "volumen diario" del plan. El cambio está registrado en la especificación con su fecha y su motivo, y la versión original se informa en la sección 6.</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277"/>
        <w:gridCol w:w="3181"/>
        <w:gridCol w:w="3181"/>
      </w:tblGrid>
      <w:tr>
        <w:trPr>
          <w:tblHeader/>
        </w:trPr>
        <w:tc>
          <w:tcPr>
            <w:tcW w:type="pct" w:w="1700"/>
            <w:shd w:fill="1C3A5C" w:val="clear"/>
            <w:tcMar>
              <w:top w:type="dxa" w:w="80"/>
              <w:left w:type="dxa" w:w="120"/>
              <w:bottom w:type="dxa" w:w="80"/>
              <w:right w:type="dxa" w:w="120"/>
            </w:tcMar>
          </w:tcPr>
          <w:p>
            <w:r>
              <w:rPr>
                <w:b/>
                <w:bCs/>
                <w:color w:val="FFFFFF"/>
                <w:sz w:val="19"/>
                <w:szCs w:val="19"/>
              </w:rPr>
              <w:t xml:space="preserve">Versión</w:t>
            </w:r>
          </w:p>
        </w:tc>
        <w:tc>
          <w:tcPr>
            <w:tcW w:type="pct" w:w="1650"/>
            <w:shd w:fill="1C3A5C" w:val="clear"/>
            <w:tcMar>
              <w:top w:type="dxa" w:w="80"/>
              <w:left w:type="dxa" w:w="120"/>
              <w:bottom w:type="dxa" w:w="80"/>
              <w:right w:type="dxa" w:w="120"/>
            </w:tcMar>
          </w:tcPr>
          <w:p>
            <w:r>
              <w:rPr>
                <w:b/>
                <w:bCs/>
                <w:color w:val="FFFFFF"/>
                <w:sz w:val="19"/>
                <w:szCs w:val="19"/>
              </w:rPr>
              <w:t xml:space="preserve">Eventos del mercado</w:t>
            </w:r>
          </w:p>
        </w:tc>
        <w:tc>
          <w:tcPr>
            <w:tcW w:type="pct" w:w="1650"/>
            <w:shd w:fill="1C3A5C" w:val="clear"/>
            <w:tcMar>
              <w:top w:type="dxa" w:w="80"/>
              <w:left w:type="dxa" w:w="120"/>
              <w:bottom w:type="dxa" w:w="80"/>
              <w:right w:type="dxa" w:w="120"/>
            </w:tcMar>
          </w:tcPr>
          <w:p>
            <w:r>
              <w:rPr>
                <w:b/>
                <w:bCs/>
                <w:color w:val="FFFFFF"/>
                <w:sz w:val="19"/>
                <w:szCs w:val="19"/>
              </w:rPr>
              <w:t xml:space="preserve">Eventos de empresas</w:t>
            </w:r>
          </w:p>
        </w:tc>
      </w:tr>
      <w:tr>
        <w:trPr>
          <w:cantSplit/>
        </w:trPr>
        <w:tc>
          <w:tcPr>
            <w:tcW w:type="pct" w:w="1700"/>
            <w:shd w:fill="FFFFFF" w:val="clear"/>
            <w:tcMar>
              <w:top w:type="dxa" w:w="70"/>
              <w:left w:type="dxa" w:w="120"/>
              <w:bottom w:type="dxa" w:w="70"/>
              <w:right w:type="dxa" w:w="120"/>
            </w:tcMar>
          </w:tcPr>
          <w:p>
            <w:r>
              <w:rPr>
                <w:sz w:val="19"/>
                <w:szCs w:val="19"/>
              </w:rPr>
              <w:t xml:space="preserve">Original (por rueda)</w:t>
            </w:r>
          </w:p>
        </w:tc>
        <w:tc>
          <w:tcPr>
            <w:tcW w:type="pct" w:w="1650"/>
            <w:shd w:fill="FFFFFF" w:val="clear"/>
            <w:tcMar>
              <w:top w:type="dxa" w:w="70"/>
              <w:left w:type="dxa" w:w="120"/>
              <w:bottom w:type="dxa" w:w="70"/>
              <w:right w:type="dxa" w:w="120"/>
            </w:tcMar>
          </w:tcPr>
          <w:p>
            <w:r>
              <w:rPr>
                <w:sz w:val="19"/>
                <w:szCs w:val="19"/>
              </w:rPr>
              <w:t xml:space="preserve">13 tras un día sin mercado</w:t>
            </w:r>
          </w:p>
        </w:tc>
        <w:tc>
          <w:tcPr>
            <w:tcW w:type="pct" w:w="1650"/>
            <w:shd w:fill="FFFFFF" w:val="clear"/>
            <w:tcMar>
              <w:top w:type="dxa" w:w="70"/>
              <w:left w:type="dxa" w:w="120"/>
              <w:bottom w:type="dxa" w:w="70"/>
              <w:right w:type="dxa" w:w="120"/>
            </w:tcMar>
          </w:tcPr>
          <w:p>
            <w:r>
              <w:rPr>
                <w:sz w:val="19"/>
                <w:szCs w:val="19"/>
              </w:rPr>
              <w:t xml:space="preserve">51 tras un día sin mercado</w:t>
            </w:r>
          </w:p>
        </w:tc>
      </w:tr>
      <w:tr>
        <w:trPr>
          <w:cantSplit/>
        </w:trPr>
        <w:tc>
          <w:tcPr>
            <w:tcW w:type="pct" w:w="1700"/>
            <w:shd w:fill="FAFCFD" w:val="clear"/>
            <w:tcMar>
              <w:top w:type="dxa" w:w="70"/>
              <w:left w:type="dxa" w:w="120"/>
              <w:bottom w:type="dxa" w:w="70"/>
              <w:right w:type="dxa" w:w="120"/>
            </w:tcMar>
          </w:tcPr>
          <w:p>
            <w:r>
              <w:rPr>
                <w:sz w:val="19"/>
                <w:szCs w:val="19"/>
              </w:rPr>
              <w:t xml:space="preserve">Principal (por día de calendario)</w:t>
            </w:r>
          </w:p>
        </w:tc>
        <w:tc>
          <w:tcPr>
            <w:tcW w:type="pct" w:w="1650"/>
            <w:shd w:fill="FAFCFD" w:val="clear"/>
            <w:tcMar>
              <w:top w:type="dxa" w:w="70"/>
              <w:left w:type="dxa" w:w="120"/>
              <w:bottom w:type="dxa" w:w="70"/>
              <w:right w:type="dxa" w:w="120"/>
            </w:tcMar>
          </w:tcPr>
          <w:p>
            <w:r>
              <w:rPr>
                <w:sz w:val="19"/>
                <w:szCs w:val="19"/>
              </w:rPr>
              <w:t xml:space="preserve">0 tras un día sin mercado</w:t>
            </w:r>
          </w:p>
        </w:tc>
        <w:tc>
          <w:tcPr>
            <w:tcW w:type="pct" w:w="1650"/>
            <w:shd w:fill="FAFCFD" w:val="clear"/>
            <w:tcMar>
              <w:top w:type="dxa" w:w="70"/>
              <w:left w:type="dxa" w:w="120"/>
              <w:bottom w:type="dxa" w:w="70"/>
              <w:right w:type="dxa" w:w="120"/>
            </w:tcMar>
          </w:tcPr>
          <w:p>
            <w:r>
              <w:rPr>
                <w:sz w:val="19"/>
                <w:szCs w:val="19"/>
              </w:rPr>
              <w:t xml:space="preserve">1 tras un día sin mercado</w:t>
            </w:r>
          </w:p>
        </w:tc>
      </w:tr>
    </w:tbl>
    <w:p>
      <w:pPr>
        <w:spacing w:after="160" w:line="300"/>
      </w:pPr>
      <w:r>
        <w:rPr>
          <w:i/>
          <w:iCs/>
          <w:color w:val="5C6B7A"/>
          <w:sz w:val="18"/>
          <w:szCs w:val="18"/>
        </w:rPr>
        <w:t xml:space="preserve">Referencia: 56 de las 244 ruedas del período vienen después de un día sin mercado.</w:t>
      </w:r>
    </w:p>
    <w:p>
      <w:pPr>
        <w:pStyle w:val="Heading1"/>
        <w:keepNext/>
        <w:spacing w:after="160" w:before="360"/>
      </w:pPr>
      <w:r>
        <w:t xml:space="preserve">3. Resultado principal</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060"/>
        <w:gridCol w:w="2795"/>
        <w:gridCol w:w="867"/>
        <w:gridCol w:w="1253"/>
        <w:gridCol w:w="1253"/>
        <w:gridCol w:w="1060"/>
        <w:gridCol w:w="1349"/>
      </w:tblGrid>
      <w:tr>
        <w:trPr>
          <w:tblHeader/>
        </w:trPr>
        <w:tc>
          <w:tcPr>
            <w:tcW w:type="pct" w:w="550"/>
            <w:shd w:fill="1C3A5C" w:val="clear"/>
            <w:tcMar>
              <w:top w:type="dxa" w:w="80"/>
              <w:left w:type="dxa" w:w="120"/>
              <w:bottom w:type="dxa" w:w="80"/>
              <w:right w:type="dxa" w:w="120"/>
            </w:tcMar>
          </w:tcPr>
          <w:p>
            <w:r>
              <w:rPr>
                <w:b/>
                <w:bCs/>
                <w:color w:val="FFFFFF"/>
                <w:sz w:val="19"/>
                <w:szCs w:val="19"/>
              </w:rPr>
              <w:t xml:space="preserve">Nivel</w:t>
            </w:r>
          </w:p>
        </w:tc>
        <w:tc>
          <w:tcPr>
            <w:tcW w:type="pct" w:w="1450"/>
            <w:shd w:fill="1C3A5C" w:val="clear"/>
            <w:tcMar>
              <w:top w:type="dxa" w:w="80"/>
              <w:left w:type="dxa" w:w="120"/>
              <w:bottom w:type="dxa" w:w="80"/>
              <w:right w:type="dxa" w:w="120"/>
            </w:tcMar>
          </w:tcPr>
          <w:p>
            <w:r>
              <w:rPr>
                <w:b/>
                <w:bCs/>
                <w:color w:val="FFFFFF"/>
                <w:sz w:val="19"/>
                <w:szCs w:val="19"/>
              </w:rPr>
              <w:t xml:space="preserve">Medida</w:t>
            </w:r>
          </w:p>
        </w:tc>
        <w:tc>
          <w:tcPr>
            <w:tcW w:type="pct" w:w="450"/>
            <w:shd w:fill="1C3A5C" w:val="clear"/>
            <w:tcMar>
              <w:top w:type="dxa" w:w="80"/>
              <w:left w:type="dxa" w:w="120"/>
              <w:bottom w:type="dxa" w:w="80"/>
              <w:right w:type="dxa" w:w="120"/>
            </w:tcMar>
          </w:tcPr>
          <w:p>
            <w:r>
              <w:rPr>
                <w:b/>
                <w:bCs/>
                <w:color w:val="FFFFFF"/>
                <w:sz w:val="19"/>
                <w:szCs w:val="19"/>
              </w:rPr>
              <w:t xml:space="preserve">Eventos</w:t>
            </w:r>
          </w:p>
        </w:tc>
        <w:tc>
          <w:tcPr>
            <w:tcW w:type="pct" w:w="650"/>
            <w:shd w:fill="1C3A5C" w:val="clear"/>
            <w:tcMar>
              <w:top w:type="dxa" w:w="80"/>
              <w:left w:type="dxa" w:w="120"/>
              <w:bottom w:type="dxa" w:w="80"/>
              <w:right w:type="dxa" w:w="120"/>
            </w:tcMar>
          </w:tcPr>
          <w:p>
            <w:r>
              <w:rPr>
                <w:b/>
                <w:bCs/>
                <w:color w:val="FFFFFF"/>
                <w:sz w:val="19"/>
                <w:szCs w:val="19"/>
              </w:rPr>
              <w:t xml:space="preserve">En los shocks</w:t>
            </w:r>
          </w:p>
        </w:tc>
        <w:tc>
          <w:tcPr>
            <w:tcW w:type="pct" w:w="650"/>
            <w:shd w:fill="1C3A5C" w:val="clear"/>
            <w:tcMar>
              <w:top w:type="dxa" w:w="80"/>
              <w:left w:type="dxa" w:w="120"/>
              <w:bottom w:type="dxa" w:w="80"/>
              <w:right w:type="dxa" w:w="120"/>
            </w:tcMar>
          </w:tcPr>
          <w:p>
            <w:r>
              <w:rPr>
                <w:b/>
                <w:bCs/>
                <w:color w:val="FFFFFF"/>
                <w:sz w:val="19"/>
                <w:szCs w:val="19"/>
              </w:rPr>
              <w:t xml:space="preserve">Día cualquiera</w:t>
            </w:r>
          </w:p>
        </w:tc>
        <w:tc>
          <w:tcPr>
            <w:tcW w:type="pct" w:w="550"/>
            <w:shd w:fill="1C3A5C" w:val="clear"/>
            <w:tcMar>
              <w:top w:type="dxa" w:w="80"/>
              <w:left w:type="dxa" w:w="120"/>
              <w:bottom w:type="dxa" w:w="80"/>
              <w:right w:type="dxa" w:w="120"/>
            </w:tcMar>
          </w:tcPr>
          <w:p>
            <w:r>
              <w:rPr>
                <w:b/>
                <w:bCs/>
                <w:color w:val="FFFFFF"/>
                <w:sz w:val="19"/>
                <w:szCs w:val="19"/>
              </w:rPr>
              <w:t xml:space="preserve">p (azar)</w:t>
            </w:r>
          </w:p>
        </w:tc>
        <w:tc>
          <w:tcPr>
            <w:tcW w:type="pct" w:w="700"/>
            <w:shd w:fill="1C3A5C" w:val="clear"/>
            <w:tcMar>
              <w:top w:type="dxa" w:w="80"/>
              <w:left w:type="dxa" w:w="120"/>
              <w:bottom w:type="dxa" w:w="80"/>
              <w:right w:type="dxa" w:w="120"/>
            </w:tcMar>
          </w:tcPr>
          <w:p>
            <w:r>
              <w:rPr>
                <w:b/>
                <w:bCs/>
                <w:color w:val="FFFFFF"/>
                <w:sz w:val="19"/>
                <w:szCs w:val="19"/>
              </w:rPr>
              <w:t xml:space="preserve">p corregido</w:t>
            </w:r>
          </w:p>
        </w:tc>
      </w:tr>
      <w:tr>
        <w:trPr>
          <w:cantSplit/>
        </w:trPr>
        <w:tc>
          <w:tcPr>
            <w:tcW w:type="pct" w:w="550"/>
            <w:shd w:fill="FFFFFF" w:val="clear"/>
            <w:tcMar>
              <w:top w:type="dxa" w:w="70"/>
              <w:left w:type="dxa" w:w="120"/>
              <w:bottom w:type="dxa" w:w="70"/>
              <w:right w:type="dxa" w:w="120"/>
            </w:tcMar>
          </w:tcPr>
          <w:p>
            <w:r>
              <w:rPr>
                <w:sz w:val="19"/>
                <w:szCs w:val="19"/>
              </w:rPr>
              <w:t xml:space="preserve">Mercado</w:t>
            </w:r>
          </w:p>
        </w:tc>
        <w:tc>
          <w:tcPr>
            <w:tcW w:type="pct" w:w="1450"/>
            <w:shd w:fill="FFFFFF" w:val="clear"/>
            <w:tcMar>
              <w:top w:type="dxa" w:w="70"/>
              <w:left w:type="dxa" w:w="120"/>
              <w:bottom w:type="dxa" w:w="70"/>
              <w:right w:type="dxa" w:w="120"/>
            </w:tcMar>
          </w:tcPr>
          <w:p>
            <w:r>
              <w:rPr>
                <w:sz w:val="19"/>
                <w:szCs w:val="19"/>
              </w:rPr>
              <w:t xml:space="preserve">|retorno anormal| del día [0]</w:t>
            </w:r>
          </w:p>
        </w:tc>
        <w:tc>
          <w:tcPr>
            <w:tcW w:type="pct" w:w="450"/>
            <w:shd w:fill="FFFFFF" w:val="clear"/>
            <w:tcMar>
              <w:top w:type="dxa" w:w="70"/>
              <w:left w:type="dxa" w:w="120"/>
              <w:bottom w:type="dxa" w:w="70"/>
              <w:right w:type="dxa" w:w="120"/>
            </w:tcMar>
          </w:tcPr>
          <w:p>
            <w:r>
              <w:rPr>
                <w:sz w:val="19"/>
                <w:szCs w:val="19"/>
              </w:rPr>
              <w:t xml:space="preserve">6</w:t>
            </w:r>
          </w:p>
        </w:tc>
        <w:tc>
          <w:tcPr>
            <w:tcW w:type="pct" w:w="650"/>
            <w:shd w:fill="FFFFFF" w:val="clear"/>
            <w:tcMar>
              <w:top w:type="dxa" w:w="70"/>
              <w:left w:type="dxa" w:w="120"/>
              <w:bottom w:type="dxa" w:w="70"/>
              <w:right w:type="dxa" w:w="120"/>
            </w:tcMar>
          </w:tcPr>
          <w:p>
            <w:r>
              <w:rPr>
                <w:sz w:val="19"/>
                <w:szCs w:val="19"/>
              </w:rPr>
              <w:t xml:space="preserve">2,11%</w:t>
            </w:r>
          </w:p>
        </w:tc>
        <w:tc>
          <w:tcPr>
            <w:tcW w:type="pct" w:w="650"/>
            <w:shd w:fill="FFFFFF" w:val="clear"/>
            <w:tcMar>
              <w:top w:type="dxa" w:w="70"/>
              <w:left w:type="dxa" w:w="120"/>
              <w:bottom w:type="dxa" w:w="70"/>
              <w:right w:type="dxa" w:w="120"/>
            </w:tcMar>
          </w:tcPr>
          <w:p>
            <w:r>
              <w:rPr>
                <w:sz w:val="19"/>
                <w:szCs w:val="19"/>
              </w:rPr>
              <w:t xml:space="preserve">1,83%</w:t>
            </w:r>
          </w:p>
        </w:tc>
        <w:tc>
          <w:tcPr>
            <w:tcW w:type="pct" w:w="550"/>
            <w:shd w:fill="FFFFFF" w:val="clear"/>
            <w:tcMar>
              <w:top w:type="dxa" w:w="70"/>
              <w:left w:type="dxa" w:w="120"/>
              <w:bottom w:type="dxa" w:w="70"/>
              <w:right w:type="dxa" w:w="120"/>
            </w:tcMar>
          </w:tcPr>
          <w:p>
            <w:r>
              <w:rPr>
                <w:sz w:val="19"/>
                <w:szCs w:val="19"/>
              </w:rPr>
              <w:t xml:space="preserve">0,642</w:t>
            </w:r>
          </w:p>
        </w:tc>
        <w:tc>
          <w:tcPr>
            <w:tcW w:type="pct" w:w="700"/>
            <w:shd w:fill="FFFFFF" w:val="clear"/>
            <w:tcMar>
              <w:top w:type="dxa" w:w="70"/>
              <w:left w:type="dxa" w:w="120"/>
              <w:bottom w:type="dxa" w:w="70"/>
              <w:right w:type="dxa" w:w="120"/>
            </w:tcMar>
          </w:tcPr>
          <w:p>
            <w:r>
              <w:rPr>
                <w:sz w:val="19"/>
                <w:szCs w:val="19"/>
              </w:rPr>
              <w:t xml:space="preserve">0,956</w:t>
            </w:r>
          </w:p>
        </w:tc>
      </w:tr>
      <w:tr>
        <w:trPr>
          <w:cantSplit/>
        </w:trPr>
        <w:tc>
          <w:tcPr>
            <w:tcW w:type="pct" w:w="550"/>
            <w:shd w:fill="FAFCFD" w:val="clear"/>
            <w:tcMar>
              <w:top w:type="dxa" w:w="70"/>
              <w:left w:type="dxa" w:w="120"/>
              <w:bottom w:type="dxa" w:w="70"/>
              <w:right w:type="dxa" w:w="120"/>
            </w:tcMar>
          </w:tcPr>
          <w:p>
            <w:r>
              <w:rPr>
                <w:sz w:val="19"/>
                <w:szCs w:val="19"/>
              </w:rPr>
              <w:t xml:space="preserve">Mercado</w:t>
            </w:r>
          </w:p>
        </w:tc>
        <w:tc>
          <w:tcPr>
            <w:tcW w:type="pct" w:w="1450"/>
            <w:shd w:fill="FAFCFD" w:val="clear"/>
            <w:tcMar>
              <w:top w:type="dxa" w:w="70"/>
              <w:left w:type="dxa" w:w="120"/>
              <w:bottom w:type="dxa" w:w="70"/>
              <w:right w:type="dxa" w:w="120"/>
            </w:tcMar>
          </w:tcPr>
          <w:p>
            <w:r>
              <w:rPr>
                <w:sz w:val="19"/>
                <w:szCs w:val="19"/>
              </w:rPr>
              <w:t xml:space="preserve">Volumen anormal antes [−3, −1]</w:t>
            </w:r>
          </w:p>
        </w:tc>
        <w:tc>
          <w:tcPr>
            <w:tcW w:type="pct" w:w="450"/>
            <w:shd w:fill="FAFCFD" w:val="clear"/>
            <w:tcMar>
              <w:top w:type="dxa" w:w="70"/>
              <w:left w:type="dxa" w:w="120"/>
              <w:bottom w:type="dxa" w:w="70"/>
              <w:right w:type="dxa" w:w="120"/>
            </w:tcMar>
          </w:tcPr>
          <w:p>
            <w:r>
              <w:rPr>
                <w:sz w:val="19"/>
                <w:szCs w:val="19"/>
              </w:rPr>
              <w:t xml:space="preserve">6</w:t>
            </w:r>
          </w:p>
        </w:tc>
        <w:tc>
          <w:tcPr>
            <w:tcW w:type="pct" w:w="650"/>
            <w:shd w:fill="FAFCFD" w:val="clear"/>
            <w:tcMar>
              <w:top w:type="dxa" w:w="70"/>
              <w:left w:type="dxa" w:w="120"/>
              <w:bottom w:type="dxa" w:w="70"/>
              <w:right w:type="dxa" w:w="120"/>
            </w:tcMar>
          </w:tcPr>
          <w:p>
            <w:r>
              <w:rPr>
                <w:sz w:val="19"/>
                <w:szCs w:val="19"/>
              </w:rPr>
              <w:t xml:space="preserve">0,005</w:t>
            </w:r>
          </w:p>
        </w:tc>
        <w:tc>
          <w:tcPr>
            <w:tcW w:type="pct" w:w="650"/>
            <w:shd w:fill="FAFCFD" w:val="clear"/>
            <w:tcMar>
              <w:top w:type="dxa" w:w="70"/>
              <w:left w:type="dxa" w:w="120"/>
              <w:bottom w:type="dxa" w:w="70"/>
              <w:right w:type="dxa" w:w="120"/>
            </w:tcMar>
          </w:tcPr>
          <w:p>
            <w:r>
              <w:rPr>
                <w:sz w:val="19"/>
                <w:szCs w:val="19"/>
              </w:rPr>
              <w:t xml:space="preserve">-0,016</w:t>
            </w:r>
          </w:p>
        </w:tc>
        <w:tc>
          <w:tcPr>
            <w:tcW w:type="pct" w:w="550"/>
            <w:shd w:fill="FAFCFD" w:val="clear"/>
            <w:tcMar>
              <w:top w:type="dxa" w:w="70"/>
              <w:left w:type="dxa" w:w="120"/>
              <w:bottom w:type="dxa" w:w="70"/>
              <w:right w:type="dxa" w:w="120"/>
            </w:tcMar>
          </w:tcPr>
          <w:p>
            <w:r>
              <w:rPr>
                <w:sz w:val="19"/>
                <w:szCs w:val="19"/>
              </w:rPr>
              <w:t xml:space="preserve">0,859</w:t>
            </w:r>
          </w:p>
        </w:tc>
        <w:tc>
          <w:tcPr>
            <w:tcW w:type="pct" w:w="700"/>
            <w:shd w:fill="FAFCFD" w:val="clear"/>
            <w:tcMar>
              <w:top w:type="dxa" w:w="70"/>
              <w:left w:type="dxa" w:w="120"/>
              <w:bottom w:type="dxa" w:w="70"/>
              <w:right w:type="dxa" w:w="120"/>
            </w:tcMar>
          </w:tcPr>
          <w:p>
            <w:r>
              <w:rPr>
                <w:sz w:val="19"/>
                <w:szCs w:val="19"/>
              </w:rPr>
              <w:t xml:space="preserve">0,956</w:t>
            </w:r>
          </w:p>
        </w:tc>
      </w:tr>
      <w:tr>
        <w:trPr>
          <w:cantSplit/>
        </w:trPr>
        <w:tc>
          <w:tcPr>
            <w:tcW w:type="pct" w:w="550"/>
            <w:shd w:fill="FFFFFF" w:val="clear"/>
            <w:tcMar>
              <w:top w:type="dxa" w:w="70"/>
              <w:left w:type="dxa" w:w="120"/>
              <w:bottom w:type="dxa" w:w="70"/>
              <w:right w:type="dxa" w:w="120"/>
            </w:tcMar>
          </w:tcPr>
          <w:p>
            <w:r>
              <w:rPr>
                <w:sz w:val="19"/>
                <w:szCs w:val="19"/>
              </w:rPr>
              <w:t xml:space="preserve">Mercado</w:t>
            </w:r>
          </w:p>
        </w:tc>
        <w:tc>
          <w:tcPr>
            <w:tcW w:type="pct" w:w="1450"/>
            <w:shd w:fill="FFFFFF" w:val="clear"/>
            <w:tcMar>
              <w:top w:type="dxa" w:w="70"/>
              <w:left w:type="dxa" w:w="120"/>
              <w:bottom w:type="dxa" w:w="70"/>
              <w:right w:type="dxa" w:w="120"/>
            </w:tcMar>
          </w:tcPr>
          <w:p>
            <w:r>
              <w:rPr>
                <w:sz w:val="19"/>
                <w:szCs w:val="19"/>
              </w:rPr>
              <w:t xml:space="preserve">Volumen anormal día [0]</w:t>
            </w:r>
          </w:p>
        </w:tc>
        <w:tc>
          <w:tcPr>
            <w:tcW w:type="pct" w:w="450"/>
            <w:shd w:fill="FFFFFF" w:val="clear"/>
            <w:tcMar>
              <w:top w:type="dxa" w:w="70"/>
              <w:left w:type="dxa" w:w="120"/>
              <w:bottom w:type="dxa" w:w="70"/>
              <w:right w:type="dxa" w:w="120"/>
            </w:tcMar>
          </w:tcPr>
          <w:p>
            <w:r>
              <w:rPr>
                <w:sz w:val="19"/>
                <w:szCs w:val="19"/>
              </w:rPr>
              <w:t xml:space="preserve">6</w:t>
            </w:r>
          </w:p>
        </w:tc>
        <w:tc>
          <w:tcPr>
            <w:tcW w:type="pct" w:w="650"/>
            <w:shd w:fill="FFFFFF" w:val="clear"/>
            <w:tcMar>
              <w:top w:type="dxa" w:w="70"/>
              <w:left w:type="dxa" w:w="120"/>
              <w:bottom w:type="dxa" w:w="70"/>
              <w:right w:type="dxa" w:w="120"/>
            </w:tcMar>
          </w:tcPr>
          <w:p>
            <w:r>
              <w:rPr>
                <w:sz w:val="19"/>
                <w:szCs w:val="19"/>
              </w:rPr>
              <w:t xml:space="preserve">-0,003</w:t>
            </w:r>
          </w:p>
        </w:tc>
        <w:tc>
          <w:tcPr>
            <w:tcW w:type="pct" w:w="650"/>
            <w:shd w:fill="FFFFFF" w:val="clear"/>
            <w:tcMar>
              <w:top w:type="dxa" w:w="70"/>
              <w:left w:type="dxa" w:w="120"/>
              <w:bottom w:type="dxa" w:w="70"/>
              <w:right w:type="dxa" w:w="120"/>
            </w:tcMar>
          </w:tcPr>
          <w:p>
            <w:r>
              <w:rPr>
                <w:sz w:val="19"/>
                <w:szCs w:val="19"/>
              </w:rPr>
              <w:t xml:space="preserve">-0,027</w:t>
            </w:r>
          </w:p>
        </w:tc>
        <w:tc>
          <w:tcPr>
            <w:tcW w:type="pct" w:w="550"/>
            <w:shd w:fill="FFFFFF" w:val="clear"/>
            <w:tcMar>
              <w:top w:type="dxa" w:w="70"/>
              <w:left w:type="dxa" w:w="120"/>
              <w:bottom w:type="dxa" w:w="70"/>
              <w:right w:type="dxa" w:w="120"/>
            </w:tcMar>
          </w:tcPr>
          <w:p>
            <w:r>
              <w:rPr>
                <w:sz w:val="19"/>
                <w:szCs w:val="19"/>
              </w:rPr>
              <w:t xml:space="preserve">0,886</w:t>
            </w:r>
          </w:p>
        </w:tc>
        <w:tc>
          <w:tcPr>
            <w:tcW w:type="pct" w:w="700"/>
            <w:shd w:fill="FFFFFF" w:val="clear"/>
            <w:tcMar>
              <w:top w:type="dxa" w:w="70"/>
              <w:left w:type="dxa" w:w="120"/>
              <w:bottom w:type="dxa" w:w="70"/>
              <w:right w:type="dxa" w:w="120"/>
            </w:tcMar>
          </w:tcPr>
          <w:p>
            <w:r>
              <w:rPr>
                <w:sz w:val="19"/>
                <w:szCs w:val="19"/>
              </w:rPr>
              <w:t xml:space="preserve">0,956</w:t>
            </w:r>
          </w:p>
        </w:tc>
      </w:tr>
      <w:tr>
        <w:trPr>
          <w:cantSplit/>
        </w:trPr>
        <w:tc>
          <w:tcPr>
            <w:tcW w:type="pct" w:w="550"/>
            <w:shd w:fill="FAFCFD" w:val="clear"/>
            <w:tcMar>
              <w:top w:type="dxa" w:w="70"/>
              <w:left w:type="dxa" w:w="120"/>
              <w:bottom w:type="dxa" w:w="70"/>
              <w:right w:type="dxa" w:w="120"/>
            </w:tcMar>
          </w:tcPr>
          <w:p>
            <w:r>
              <w:rPr>
                <w:sz w:val="19"/>
                <w:szCs w:val="19"/>
              </w:rPr>
              <w:t xml:space="preserve">Mercado</w:t>
            </w:r>
          </w:p>
        </w:tc>
        <w:tc>
          <w:tcPr>
            <w:tcW w:type="pct" w:w="1450"/>
            <w:shd w:fill="FAFCFD" w:val="clear"/>
            <w:tcMar>
              <w:top w:type="dxa" w:w="70"/>
              <w:left w:type="dxa" w:w="120"/>
              <w:bottom w:type="dxa" w:w="70"/>
              <w:right w:type="dxa" w:w="120"/>
            </w:tcMar>
          </w:tcPr>
          <w:p>
            <w:r>
              <w:rPr>
                <w:sz w:val="19"/>
                <w:szCs w:val="19"/>
              </w:rPr>
              <w:t xml:space="preserve">Volumen anormal después [+1, +5]</w:t>
            </w:r>
          </w:p>
        </w:tc>
        <w:tc>
          <w:tcPr>
            <w:tcW w:type="pct" w:w="450"/>
            <w:shd w:fill="FAFCFD" w:val="clear"/>
            <w:tcMar>
              <w:top w:type="dxa" w:w="70"/>
              <w:left w:type="dxa" w:w="120"/>
              <w:bottom w:type="dxa" w:w="70"/>
              <w:right w:type="dxa" w:w="120"/>
            </w:tcMar>
          </w:tcPr>
          <w:p>
            <w:r>
              <w:rPr>
                <w:sz w:val="19"/>
                <w:szCs w:val="19"/>
              </w:rPr>
              <w:t xml:space="preserve">6</w:t>
            </w:r>
          </w:p>
        </w:tc>
        <w:tc>
          <w:tcPr>
            <w:tcW w:type="pct" w:w="650"/>
            <w:shd w:fill="FAFCFD" w:val="clear"/>
            <w:tcMar>
              <w:top w:type="dxa" w:w="70"/>
              <w:left w:type="dxa" w:w="120"/>
              <w:bottom w:type="dxa" w:w="70"/>
              <w:right w:type="dxa" w:w="120"/>
            </w:tcMar>
          </w:tcPr>
          <w:p>
            <w:r>
              <w:rPr>
                <w:sz w:val="19"/>
                <w:szCs w:val="19"/>
              </w:rPr>
              <w:t xml:space="preserve">-0,042</w:t>
            </w:r>
          </w:p>
        </w:tc>
        <w:tc>
          <w:tcPr>
            <w:tcW w:type="pct" w:w="650"/>
            <w:shd w:fill="FAFCFD" w:val="clear"/>
            <w:tcMar>
              <w:top w:type="dxa" w:w="70"/>
              <w:left w:type="dxa" w:w="120"/>
              <w:bottom w:type="dxa" w:w="70"/>
              <w:right w:type="dxa" w:w="120"/>
            </w:tcMar>
          </w:tcPr>
          <w:p>
            <w:r>
              <w:rPr>
                <w:sz w:val="19"/>
                <w:szCs w:val="19"/>
              </w:rPr>
              <w:t xml:space="preserve">-0,035</w:t>
            </w:r>
          </w:p>
        </w:tc>
        <w:tc>
          <w:tcPr>
            <w:tcW w:type="pct" w:w="550"/>
            <w:shd w:fill="FAFCFD" w:val="clear"/>
            <w:tcMar>
              <w:top w:type="dxa" w:w="70"/>
              <w:left w:type="dxa" w:w="120"/>
              <w:bottom w:type="dxa" w:w="70"/>
              <w:right w:type="dxa" w:w="120"/>
            </w:tcMar>
          </w:tcPr>
          <w:p>
            <w:r>
              <w:rPr>
                <w:sz w:val="19"/>
                <w:szCs w:val="19"/>
              </w:rPr>
              <w:t xml:space="preserve">0,956</w:t>
            </w:r>
          </w:p>
        </w:tc>
        <w:tc>
          <w:tcPr>
            <w:tcW w:type="pct" w:w="700"/>
            <w:shd w:fill="FAFCFD" w:val="clear"/>
            <w:tcMar>
              <w:top w:type="dxa" w:w="70"/>
              <w:left w:type="dxa" w:w="120"/>
              <w:bottom w:type="dxa" w:w="70"/>
              <w:right w:type="dxa" w:w="120"/>
            </w:tcMar>
          </w:tcPr>
          <w:p>
            <w:r>
              <w:rPr>
                <w:sz w:val="19"/>
                <w:szCs w:val="19"/>
              </w:rPr>
              <w:t xml:space="preserve">0,956</w:t>
            </w:r>
          </w:p>
        </w:tc>
      </w:tr>
      <w:tr>
        <w:trPr>
          <w:cantSplit/>
        </w:trPr>
        <w:tc>
          <w:tcPr>
            <w:tcW w:type="pct" w:w="550"/>
            <w:shd w:fill="FFFFFF" w:val="clear"/>
            <w:tcMar>
              <w:top w:type="dxa" w:w="70"/>
              <w:left w:type="dxa" w:w="120"/>
              <w:bottom w:type="dxa" w:w="70"/>
              <w:right w:type="dxa" w:w="120"/>
            </w:tcMar>
          </w:tcPr>
          <w:p>
            <w:r>
              <w:rPr>
                <w:sz w:val="19"/>
                <w:szCs w:val="19"/>
              </w:rPr>
              <w:t xml:space="preserve">Mercado</w:t>
            </w:r>
          </w:p>
        </w:tc>
        <w:tc>
          <w:tcPr>
            <w:tcW w:type="pct" w:w="1450"/>
            <w:shd w:fill="FFFFFF" w:val="clear"/>
            <w:tcMar>
              <w:top w:type="dxa" w:w="70"/>
              <w:left w:type="dxa" w:w="120"/>
              <w:bottom w:type="dxa" w:w="70"/>
              <w:right w:type="dxa" w:w="120"/>
            </w:tcMar>
          </w:tcPr>
          <w:p>
            <w:r>
              <w:rPr>
                <w:sz w:val="19"/>
                <w:szCs w:val="19"/>
              </w:rPr>
              <w:t xml:space="preserve">CAR antes [−3, −1]</w:t>
            </w:r>
          </w:p>
        </w:tc>
        <w:tc>
          <w:tcPr>
            <w:tcW w:type="pct" w:w="450"/>
            <w:shd w:fill="FFFFFF" w:val="clear"/>
            <w:tcMar>
              <w:top w:type="dxa" w:w="70"/>
              <w:left w:type="dxa" w:w="120"/>
              <w:bottom w:type="dxa" w:w="70"/>
              <w:right w:type="dxa" w:w="120"/>
            </w:tcMar>
          </w:tcPr>
          <w:p>
            <w:r>
              <w:rPr>
                <w:sz w:val="19"/>
                <w:szCs w:val="19"/>
              </w:rPr>
              <w:t xml:space="preserve">6</w:t>
            </w:r>
          </w:p>
        </w:tc>
        <w:tc>
          <w:tcPr>
            <w:tcW w:type="pct" w:w="650"/>
            <w:shd w:fill="FFFFFF" w:val="clear"/>
            <w:tcMar>
              <w:top w:type="dxa" w:w="70"/>
              <w:left w:type="dxa" w:w="120"/>
              <w:bottom w:type="dxa" w:w="70"/>
              <w:right w:type="dxa" w:w="120"/>
            </w:tcMar>
          </w:tcPr>
          <w:p>
            <w:r>
              <w:rPr>
                <w:sz w:val="19"/>
                <w:szCs w:val="19"/>
              </w:rPr>
              <w:t xml:space="preserve">0,94%</w:t>
            </w:r>
          </w:p>
        </w:tc>
        <w:tc>
          <w:tcPr>
            <w:tcW w:type="pct" w:w="650"/>
            <w:shd w:fill="FFFFFF" w:val="clear"/>
            <w:tcMar>
              <w:top w:type="dxa" w:w="70"/>
              <w:left w:type="dxa" w:w="120"/>
              <w:bottom w:type="dxa" w:w="70"/>
              <w:right w:type="dxa" w:w="120"/>
            </w:tcMar>
          </w:tcPr>
          <w:p>
            <w:r>
              <w:rPr>
                <w:sz w:val="19"/>
                <w:szCs w:val="19"/>
              </w:rPr>
              <w:t xml:space="preserve">-0,18%</w:t>
            </w:r>
          </w:p>
        </w:tc>
        <w:tc>
          <w:tcPr>
            <w:tcW w:type="pct" w:w="550"/>
            <w:shd w:fill="FFFFFF" w:val="clear"/>
            <w:tcMar>
              <w:top w:type="dxa" w:w="70"/>
              <w:left w:type="dxa" w:w="120"/>
              <w:bottom w:type="dxa" w:w="70"/>
              <w:right w:type="dxa" w:w="120"/>
            </w:tcMar>
          </w:tcPr>
          <w:p>
            <w:r>
              <w:rPr>
                <w:sz w:val="19"/>
                <w:szCs w:val="19"/>
              </w:rPr>
              <w:t xml:space="preserve">0,517</w:t>
            </w:r>
          </w:p>
        </w:tc>
        <w:tc>
          <w:tcPr>
            <w:tcW w:type="pct" w:w="700"/>
            <w:shd w:fill="FFFFFF" w:val="clear"/>
            <w:tcMar>
              <w:top w:type="dxa" w:w="70"/>
              <w:left w:type="dxa" w:w="120"/>
              <w:bottom w:type="dxa" w:w="70"/>
              <w:right w:type="dxa" w:w="120"/>
            </w:tcMar>
          </w:tcPr>
          <w:p>
            <w:r>
              <w:rPr>
                <w:sz w:val="19"/>
                <w:szCs w:val="19"/>
              </w:rPr>
              <w:t xml:space="preserve">0,956</w:t>
            </w:r>
          </w:p>
        </w:tc>
      </w:tr>
      <w:tr>
        <w:trPr>
          <w:cantSplit/>
        </w:trPr>
        <w:tc>
          <w:tcPr>
            <w:tcW w:type="pct" w:w="550"/>
            <w:shd w:fill="FAFCFD" w:val="clear"/>
            <w:tcMar>
              <w:top w:type="dxa" w:w="70"/>
              <w:left w:type="dxa" w:w="120"/>
              <w:bottom w:type="dxa" w:w="70"/>
              <w:right w:type="dxa" w:w="120"/>
            </w:tcMar>
          </w:tcPr>
          <w:p>
            <w:r>
              <w:rPr>
                <w:sz w:val="19"/>
                <w:szCs w:val="19"/>
              </w:rPr>
              <w:t xml:space="preserve">Mercado</w:t>
            </w:r>
          </w:p>
        </w:tc>
        <w:tc>
          <w:tcPr>
            <w:tcW w:type="pct" w:w="1450"/>
            <w:shd w:fill="FAFCFD" w:val="clear"/>
            <w:tcMar>
              <w:top w:type="dxa" w:w="70"/>
              <w:left w:type="dxa" w:w="120"/>
              <w:bottom w:type="dxa" w:w="70"/>
              <w:right w:type="dxa" w:w="120"/>
            </w:tcMar>
          </w:tcPr>
          <w:p>
            <w:r>
              <w:rPr>
                <w:sz w:val="19"/>
                <w:szCs w:val="19"/>
              </w:rPr>
              <w:t xml:space="preserve">CAR día [0]</w:t>
            </w:r>
          </w:p>
        </w:tc>
        <w:tc>
          <w:tcPr>
            <w:tcW w:type="pct" w:w="450"/>
            <w:shd w:fill="FAFCFD" w:val="clear"/>
            <w:tcMar>
              <w:top w:type="dxa" w:w="70"/>
              <w:left w:type="dxa" w:w="120"/>
              <w:bottom w:type="dxa" w:w="70"/>
              <w:right w:type="dxa" w:w="120"/>
            </w:tcMar>
          </w:tcPr>
          <w:p>
            <w:r>
              <w:rPr>
                <w:sz w:val="19"/>
                <w:szCs w:val="19"/>
              </w:rPr>
              <w:t xml:space="preserve">6</w:t>
            </w:r>
          </w:p>
        </w:tc>
        <w:tc>
          <w:tcPr>
            <w:tcW w:type="pct" w:w="650"/>
            <w:shd w:fill="FAFCFD" w:val="clear"/>
            <w:tcMar>
              <w:top w:type="dxa" w:w="70"/>
              <w:left w:type="dxa" w:w="120"/>
              <w:bottom w:type="dxa" w:w="70"/>
              <w:right w:type="dxa" w:w="120"/>
            </w:tcMar>
          </w:tcPr>
          <w:p>
            <w:r>
              <w:rPr>
                <w:sz w:val="19"/>
                <w:szCs w:val="19"/>
              </w:rPr>
              <w:t xml:space="preserve">-1,50%</w:t>
            </w:r>
          </w:p>
        </w:tc>
        <w:tc>
          <w:tcPr>
            <w:tcW w:type="pct" w:w="650"/>
            <w:shd w:fill="FAFCFD" w:val="clear"/>
            <w:tcMar>
              <w:top w:type="dxa" w:w="70"/>
              <w:left w:type="dxa" w:w="120"/>
              <w:bottom w:type="dxa" w:w="70"/>
              <w:right w:type="dxa" w:w="120"/>
            </w:tcMar>
          </w:tcPr>
          <w:p>
            <w:r>
              <w:rPr>
                <w:sz w:val="19"/>
                <w:szCs w:val="19"/>
              </w:rPr>
              <w:t xml:space="preserve">-0,07%</w:t>
            </w:r>
          </w:p>
        </w:tc>
        <w:tc>
          <w:tcPr>
            <w:tcW w:type="pct" w:w="550"/>
            <w:shd w:fill="FAFCFD" w:val="clear"/>
            <w:tcMar>
              <w:top w:type="dxa" w:w="70"/>
              <w:left w:type="dxa" w:w="120"/>
              <w:bottom w:type="dxa" w:w="70"/>
              <w:right w:type="dxa" w:w="120"/>
            </w:tcMar>
          </w:tcPr>
          <w:p>
            <w:r>
              <w:rPr>
                <w:sz w:val="19"/>
                <w:szCs w:val="19"/>
              </w:rPr>
              <w:t xml:space="preserve">0,127</w:t>
            </w:r>
          </w:p>
        </w:tc>
        <w:tc>
          <w:tcPr>
            <w:tcW w:type="pct" w:w="700"/>
            <w:shd w:fill="FAFCFD" w:val="clear"/>
            <w:tcMar>
              <w:top w:type="dxa" w:w="70"/>
              <w:left w:type="dxa" w:w="120"/>
              <w:bottom w:type="dxa" w:w="70"/>
              <w:right w:type="dxa" w:w="120"/>
            </w:tcMar>
          </w:tcPr>
          <w:p>
            <w:r>
              <w:rPr>
                <w:sz w:val="19"/>
                <w:szCs w:val="19"/>
              </w:rPr>
              <w:t xml:space="preserve">0,443</w:t>
            </w:r>
          </w:p>
        </w:tc>
      </w:tr>
      <w:tr>
        <w:trPr>
          <w:cantSplit/>
        </w:trPr>
        <w:tc>
          <w:tcPr>
            <w:tcW w:type="pct" w:w="550"/>
            <w:shd w:fill="FFFFFF" w:val="clear"/>
            <w:tcMar>
              <w:top w:type="dxa" w:w="70"/>
              <w:left w:type="dxa" w:w="120"/>
              <w:bottom w:type="dxa" w:w="70"/>
              <w:right w:type="dxa" w:w="120"/>
            </w:tcMar>
          </w:tcPr>
          <w:p>
            <w:r>
              <w:rPr>
                <w:sz w:val="19"/>
                <w:szCs w:val="19"/>
              </w:rPr>
              <w:t xml:space="preserve">Mercado</w:t>
            </w:r>
          </w:p>
        </w:tc>
        <w:tc>
          <w:tcPr>
            <w:tcW w:type="pct" w:w="1450"/>
            <w:shd w:fill="FFFFFF" w:val="clear"/>
            <w:tcMar>
              <w:top w:type="dxa" w:w="70"/>
              <w:left w:type="dxa" w:w="120"/>
              <w:bottom w:type="dxa" w:w="70"/>
              <w:right w:type="dxa" w:w="120"/>
            </w:tcMar>
          </w:tcPr>
          <w:p>
            <w:r>
              <w:rPr>
                <w:sz w:val="19"/>
                <w:szCs w:val="19"/>
              </w:rPr>
              <w:t xml:space="preserve">CAR después [+1, +5]</w:t>
            </w:r>
          </w:p>
        </w:tc>
        <w:tc>
          <w:tcPr>
            <w:tcW w:type="pct" w:w="450"/>
            <w:shd w:fill="FFFFFF" w:val="clear"/>
            <w:tcMar>
              <w:top w:type="dxa" w:w="70"/>
              <w:left w:type="dxa" w:w="120"/>
              <w:bottom w:type="dxa" w:w="70"/>
              <w:right w:type="dxa" w:w="120"/>
            </w:tcMar>
          </w:tcPr>
          <w:p>
            <w:r>
              <w:rPr>
                <w:sz w:val="19"/>
                <w:szCs w:val="19"/>
              </w:rPr>
              <w:t xml:space="preserve">6</w:t>
            </w:r>
          </w:p>
        </w:tc>
        <w:tc>
          <w:tcPr>
            <w:tcW w:type="pct" w:w="650"/>
            <w:shd w:fill="FFFFFF" w:val="clear"/>
            <w:tcMar>
              <w:top w:type="dxa" w:w="70"/>
              <w:left w:type="dxa" w:w="120"/>
              <w:bottom w:type="dxa" w:w="70"/>
              <w:right w:type="dxa" w:w="120"/>
            </w:tcMar>
          </w:tcPr>
          <w:p>
            <w:r>
              <w:rPr>
                <w:sz w:val="19"/>
                <w:szCs w:val="19"/>
              </w:rPr>
              <w:t xml:space="preserve">0,85%</w:t>
            </w:r>
          </w:p>
        </w:tc>
        <w:tc>
          <w:tcPr>
            <w:tcW w:type="pct" w:w="650"/>
            <w:shd w:fill="FFFFFF" w:val="clear"/>
            <w:tcMar>
              <w:top w:type="dxa" w:w="70"/>
              <w:left w:type="dxa" w:w="120"/>
              <w:bottom w:type="dxa" w:w="70"/>
              <w:right w:type="dxa" w:w="120"/>
            </w:tcMar>
          </w:tcPr>
          <w:p>
            <w:r>
              <w:rPr>
                <w:sz w:val="19"/>
                <w:szCs w:val="19"/>
              </w:rPr>
              <w:t xml:space="preserve">-0,45%</w:t>
            </w:r>
          </w:p>
        </w:tc>
        <w:tc>
          <w:tcPr>
            <w:tcW w:type="pct" w:w="550"/>
            <w:shd w:fill="FFFFFF" w:val="clear"/>
            <w:tcMar>
              <w:top w:type="dxa" w:w="70"/>
              <w:left w:type="dxa" w:w="120"/>
              <w:bottom w:type="dxa" w:w="70"/>
              <w:right w:type="dxa" w:w="120"/>
            </w:tcMar>
          </w:tcPr>
          <w:p>
            <w:r>
              <w:rPr>
                <w:sz w:val="19"/>
                <w:szCs w:val="19"/>
              </w:rPr>
              <w:t xml:space="preserve">0,600</w:t>
            </w:r>
          </w:p>
        </w:tc>
        <w:tc>
          <w:tcPr>
            <w:tcW w:type="pct" w:w="700"/>
            <w:shd w:fill="FFFFFF" w:val="clear"/>
            <w:tcMar>
              <w:top w:type="dxa" w:w="70"/>
              <w:left w:type="dxa" w:w="120"/>
              <w:bottom w:type="dxa" w:w="70"/>
              <w:right w:type="dxa" w:w="120"/>
            </w:tcMar>
          </w:tcPr>
          <w:p>
            <w:r>
              <w:rPr>
                <w:sz w:val="19"/>
                <w:szCs w:val="19"/>
              </w:rPr>
              <w:t xml:space="preserve">0,956</w:t>
            </w:r>
          </w:p>
        </w:tc>
      </w:tr>
      <w:tr>
        <w:trPr>
          <w:cantSplit/>
        </w:trPr>
        <w:tc>
          <w:tcPr>
            <w:tcW w:type="pct" w:w="550"/>
            <w:shd w:fill="FAFCFD" w:val="clear"/>
            <w:tcMar>
              <w:top w:type="dxa" w:w="70"/>
              <w:left w:type="dxa" w:w="120"/>
              <w:bottom w:type="dxa" w:w="70"/>
              <w:right w:type="dxa" w:w="120"/>
            </w:tcMar>
          </w:tcPr>
          <w:p>
            <w:r>
              <w:rPr>
                <w:sz w:val="19"/>
                <w:szCs w:val="19"/>
              </w:rPr>
              <w:t xml:space="preserve">Empresas</w:t>
            </w:r>
          </w:p>
        </w:tc>
        <w:tc>
          <w:tcPr>
            <w:tcW w:type="pct" w:w="1450"/>
            <w:shd w:fill="FAFCFD" w:val="clear"/>
            <w:tcMar>
              <w:top w:type="dxa" w:w="70"/>
              <w:left w:type="dxa" w:w="120"/>
              <w:bottom w:type="dxa" w:w="70"/>
              <w:right w:type="dxa" w:w="120"/>
            </w:tcMar>
          </w:tcPr>
          <w:p>
            <w:r>
              <w:rPr>
                <w:sz w:val="19"/>
                <w:szCs w:val="19"/>
              </w:rPr>
              <w:t xml:space="preserve">|retorno anormal| del día [0]</w:t>
            </w:r>
          </w:p>
        </w:tc>
        <w:tc>
          <w:tcPr>
            <w:tcW w:type="pct" w:w="450"/>
            <w:shd w:fill="FAFCFD" w:val="clear"/>
            <w:tcMar>
              <w:top w:type="dxa" w:w="70"/>
              <w:left w:type="dxa" w:w="120"/>
              <w:bottom w:type="dxa" w:w="70"/>
              <w:right w:type="dxa" w:w="120"/>
            </w:tcMar>
          </w:tcPr>
          <w:p>
            <w:r>
              <w:rPr>
                <w:sz w:val="19"/>
                <w:szCs w:val="19"/>
              </w:rPr>
              <w:t xml:space="preserve">105</w:t>
            </w:r>
          </w:p>
        </w:tc>
        <w:tc>
          <w:tcPr>
            <w:tcW w:type="pct" w:w="650"/>
            <w:shd w:fill="FAFCFD" w:val="clear"/>
            <w:tcMar>
              <w:top w:type="dxa" w:w="70"/>
              <w:left w:type="dxa" w:w="120"/>
              <w:bottom w:type="dxa" w:w="70"/>
              <w:right w:type="dxa" w:w="120"/>
            </w:tcMar>
          </w:tcPr>
          <w:p>
            <w:r>
              <w:rPr>
                <w:sz w:val="19"/>
                <w:szCs w:val="19"/>
              </w:rPr>
              <w:t xml:space="preserve">2,02%</w:t>
            </w:r>
          </w:p>
        </w:tc>
        <w:tc>
          <w:tcPr>
            <w:tcW w:type="pct" w:w="650"/>
            <w:shd w:fill="FAFCFD" w:val="clear"/>
            <w:tcMar>
              <w:top w:type="dxa" w:w="70"/>
              <w:left w:type="dxa" w:w="120"/>
              <w:bottom w:type="dxa" w:w="70"/>
              <w:right w:type="dxa" w:w="120"/>
            </w:tcMar>
          </w:tcPr>
          <w:p>
            <w:r>
              <w:rPr>
                <w:sz w:val="19"/>
                <w:szCs w:val="19"/>
              </w:rPr>
              <w:t xml:space="preserve">1,61%</w:t>
            </w:r>
          </w:p>
        </w:tc>
        <w:tc>
          <w:tcPr>
            <w:tcW w:type="pct" w:w="550"/>
            <w:shd w:fill="FAFCFD" w:val="clear"/>
            <w:tcMar>
              <w:top w:type="dxa" w:w="70"/>
              <w:left w:type="dxa" w:w="120"/>
              <w:bottom w:type="dxa" w:w="70"/>
              <w:right w:type="dxa" w:w="120"/>
            </w:tcMar>
          </w:tcPr>
          <w:p>
            <w:r>
              <w:rPr>
                <w:sz w:val="19"/>
                <w:szCs w:val="19"/>
              </w:rPr>
              <w:t xml:space="preserve">0,008</w:t>
            </w:r>
          </w:p>
        </w:tc>
        <w:tc>
          <w:tcPr>
            <w:tcW w:type="pct" w:w="700"/>
            <w:shd w:fill="FAFCFD" w:val="clear"/>
            <w:tcMar>
              <w:top w:type="dxa" w:w="70"/>
              <w:left w:type="dxa" w:w="120"/>
              <w:bottom w:type="dxa" w:w="70"/>
              <w:right w:type="dxa" w:w="120"/>
            </w:tcMar>
          </w:tcPr>
          <w:p>
            <w:r>
              <w:rPr>
                <w:sz w:val="19"/>
                <w:szCs w:val="19"/>
              </w:rPr>
              <w:t xml:space="preserve">0,059</w:t>
            </w:r>
          </w:p>
        </w:tc>
      </w:tr>
      <w:tr>
        <w:trPr>
          <w:cantSplit/>
        </w:trPr>
        <w:tc>
          <w:tcPr>
            <w:tcW w:type="pct" w:w="550"/>
            <w:shd w:fill="FFFFFF" w:val="clear"/>
            <w:tcMar>
              <w:top w:type="dxa" w:w="70"/>
              <w:left w:type="dxa" w:w="120"/>
              <w:bottom w:type="dxa" w:w="70"/>
              <w:right w:type="dxa" w:w="120"/>
            </w:tcMar>
          </w:tcPr>
          <w:p>
            <w:r>
              <w:rPr>
                <w:sz w:val="19"/>
                <w:szCs w:val="19"/>
              </w:rPr>
              <w:t xml:space="preserve">Empresas</w:t>
            </w:r>
          </w:p>
        </w:tc>
        <w:tc>
          <w:tcPr>
            <w:tcW w:type="pct" w:w="1450"/>
            <w:shd w:fill="FFFFFF" w:val="clear"/>
            <w:tcMar>
              <w:top w:type="dxa" w:w="70"/>
              <w:left w:type="dxa" w:w="120"/>
              <w:bottom w:type="dxa" w:w="70"/>
              <w:right w:type="dxa" w:w="120"/>
            </w:tcMar>
          </w:tcPr>
          <w:p>
            <w:r>
              <w:rPr>
                <w:sz w:val="19"/>
                <w:szCs w:val="19"/>
              </w:rPr>
              <w:t xml:space="preserve">Volumen anormal antes [−3, −1]</w:t>
            </w:r>
          </w:p>
        </w:tc>
        <w:tc>
          <w:tcPr>
            <w:tcW w:type="pct" w:w="450"/>
            <w:shd w:fill="FFFFFF" w:val="clear"/>
            <w:tcMar>
              <w:top w:type="dxa" w:w="70"/>
              <w:left w:type="dxa" w:w="120"/>
              <w:bottom w:type="dxa" w:w="70"/>
              <w:right w:type="dxa" w:w="120"/>
            </w:tcMar>
          </w:tcPr>
          <w:p>
            <w:r>
              <w:rPr>
                <w:sz w:val="19"/>
                <w:szCs w:val="19"/>
              </w:rPr>
              <w:t xml:space="preserve">105</w:t>
            </w:r>
          </w:p>
        </w:tc>
        <w:tc>
          <w:tcPr>
            <w:tcW w:type="pct" w:w="650"/>
            <w:shd w:fill="FFFFFF" w:val="clear"/>
            <w:tcMar>
              <w:top w:type="dxa" w:w="70"/>
              <w:left w:type="dxa" w:w="120"/>
              <w:bottom w:type="dxa" w:w="70"/>
              <w:right w:type="dxa" w:w="120"/>
            </w:tcMar>
          </w:tcPr>
          <w:p>
            <w:r>
              <w:rPr>
                <w:sz w:val="19"/>
                <w:szCs w:val="19"/>
              </w:rPr>
              <w:t xml:space="preserve">0,038</w:t>
            </w:r>
          </w:p>
        </w:tc>
        <w:tc>
          <w:tcPr>
            <w:tcW w:type="pct" w:w="650"/>
            <w:shd w:fill="FFFFFF" w:val="clear"/>
            <w:tcMar>
              <w:top w:type="dxa" w:w="70"/>
              <w:left w:type="dxa" w:w="120"/>
              <w:bottom w:type="dxa" w:w="70"/>
              <w:right w:type="dxa" w:w="120"/>
            </w:tcMar>
          </w:tcPr>
          <w:p>
            <w:r>
              <w:rPr>
                <w:sz w:val="19"/>
                <w:szCs w:val="19"/>
              </w:rPr>
              <w:t xml:space="preserve">-0,043</w:t>
            </w:r>
          </w:p>
        </w:tc>
        <w:tc>
          <w:tcPr>
            <w:tcW w:type="pct" w:w="550"/>
            <w:shd w:fill="FFFFFF" w:val="clear"/>
            <w:tcMar>
              <w:top w:type="dxa" w:w="70"/>
              <w:left w:type="dxa" w:w="120"/>
              <w:bottom w:type="dxa" w:w="70"/>
              <w:right w:type="dxa" w:w="120"/>
            </w:tcMar>
          </w:tcPr>
          <w:p>
            <w:r>
              <w:rPr>
                <w:sz w:val="19"/>
                <w:szCs w:val="19"/>
              </w:rPr>
              <w:t xml:space="preserve">0,051</w:t>
            </w:r>
          </w:p>
        </w:tc>
        <w:tc>
          <w:tcPr>
            <w:tcW w:type="pct" w:w="700"/>
            <w:shd w:fill="FFFFFF" w:val="clear"/>
            <w:tcMar>
              <w:top w:type="dxa" w:w="70"/>
              <w:left w:type="dxa" w:w="120"/>
              <w:bottom w:type="dxa" w:w="70"/>
              <w:right w:type="dxa" w:w="120"/>
            </w:tcMar>
          </w:tcPr>
          <w:p>
            <w:r>
              <w:rPr>
                <w:sz w:val="19"/>
                <w:szCs w:val="19"/>
              </w:rPr>
              <w:t xml:space="preserve">0,237</w:t>
            </w:r>
          </w:p>
        </w:tc>
      </w:tr>
      <w:tr>
        <w:trPr>
          <w:cantSplit/>
        </w:trPr>
        <w:tc>
          <w:tcPr>
            <w:tcW w:type="pct" w:w="550"/>
            <w:shd w:fill="FAFCFD" w:val="clear"/>
            <w:tcMar>
              <w:top w:type="dxa" w:w="70"/>
              <w:left w:type="dxa" w:w="120"/>
              <w:bottom w:type="dxa" w:w="70"/>
              <w:right w:type="dxa" w:w="120"/>
            </w:tcMar>
          </w:tcPr>
          <w:p>
            <w:r>
              <w:rPr>
                <w:sz w:val="19"/>
                <w:szCs w:val="19"/>
              </w:rPr>
              <w:t xml:space="preserve">Empresas</w:t>
            </w:r>
          </w:p>
        </w:tc>
        <w:tc>
          <w:tcPr>
            <w:tcW w:type="pct" w:w="1450"/>
            <w:shd w:fill="FAFCFD" w:val="clear"/>
            <w:tcMar>
              <w:top w:type="dxa" w:w="70"/>
              <w:left w:type="dxa" w:w="120"/>
              <w:bottom w:type="dxa" w:w="70"/>
              <w:right w:type="dxa" w:w="120"/>
            </w:tcMar>
          </w:tcPr>
          <w:p>
            <w:r>
              <w:rPr>
                <w:sz w:val="19"/>
                <w:szCs w:val="19"/>
              </w:rPr>
              <w:t xml:space="preserve">Volumen anormal día [0]</w:t>
            </w:r>
          </w:p>
        </w:tc>
        <w:tc>
          <w:tcPr>
            <w:tcW w:type="pct" w:w="450"/>
            <w:shd w:fill="FAFCFD" w:val="clear"/>
            <w:tcMar>
              <w:top w:type="dxa" w:w="70"/>
              <w:left w:type="dxa" w:w="120"/>
              <w:bottom w:type="dxa" w:w="70"/>
              <w:right w:type="dxa" w:w="120"/>
            </w:tcMar>
          </w:tcPr>
          <w:p>
            <w:r>
              <w:rPr>
                <w:sz w:val="19"/>
                <w:szCs w:val="19"/>
              </w:rPr>
              <w:t xml:space="preserve">105</w:t>
            </w:r>
          </w:p>
        </w:tc>
        <w:tc>
          <w:tcPr>
            <w:tcW w:type="pct" w:w="650"/>
            <w:shd w:fill="FAFCFD" w:val="clear"/>
            <w:tcMar>
              <w:top w:type="dxa" w:w="70"/>
              <w:left w:type="dxa" w:w="120"/>
              <w:bottom w:type="dxa" w:w="70"/>
              <w:right w:type="dxa" w:w="120"/>
            </w:tcMar>
          </w:tcPr>
          <w:p>
            <w:r>
              <w:rPr>
                <w:sz w:val="19"/>
                <w:szCs w:val="19"/>
              </w:rPr>
              <w:t xml:space="preserve">0,139</w:t>
            </w:r>
          </w:p>
        </w:tc>
        <w:tc>
          <w:tcPr>
            <w:tcW w:type="pct" w:w="650"/>
            <w:shd w:fill="FAFCFD" w:val="clear"/>
            <w:tcMar>
              <w:top w:type="dxa" w:w="70"/>
              <w:left w:type="dxa" w:w="120"/>
              <w:bottom w:type="dxa" w:w="70"/>
              <w:right w:type="dxa" w:w="120"/>
            </w:tcMar>
          </w:tcPr>
          <w:p>
            <w:r>
              <w:rPr>
                <w:sz w:val="19"/>
                <w:szCs w:val="19"/>
              </w:rPr>
              <w:t xml:space="preserve">-0,054</w:t>
            </w:r>
          </w:p>
        </w:tc>
        <w:tc>
          <w:tcPr>
            <w:tcW w:type="pct" w:w="550"/>
            <w:shd w:fill="FAFCFD" w:val="clear"/>
            <w:tcMar>
              <w:top w:type="dxa" w:w="70"/>
              <w:left w:type="dxa" w:w="120"/>
              <w:bottom w:type="dxa" w:w="70"/>
              <w:right w:type="dxa" w:w="120"/>
            </w:tcMar>
          </w:tcPr>
          <w:p>
            <w:r>
              <w:rPr>
                <w:sz w:val="19"/>
                <w:szCs w:val="19"/>
              </w:rPr>
              <w:t xml:space="preserve">0,001</w:t>
            </w:r>
          </w:p>
        </w:tc>
        <w:tc>
          <w:tcPr>
            <w:tcW w:type="pct" w:w="700"/>
            <w:shd w:fill="FAFCFD" w:val="clear"/>
            <w:tcMar>
              <w:top w:type="dxa" w:w="70"/>
              <w:left w:type="dxa" w:w="120"/>
              <w:bottom w:type="dxa" w:w="70"/>
              <w:right w:type="dxa" w:w="120"/>
            </w:tcMar>
          </w:tcPr>
          <w:p>
            <w:r>
              <w:rPr>
                <w:sz w:val="19"/>
                <w:szCs w:val="19"/>
              </w:rPr>
              <w:t xml:space="preserve">0,017</w:t>
            </w:r>
          </w:p>
        </w:tc>
      </w:tr>
      <w:tr>
        <w:trPr>
          <w:cantSplit/>
        </w:trPr>
        <w:tc>
          <w:tcPr>
            <w:tcW w:type="pct" w:w="550"/>
            <w:shd w:fill="FFFFFF" w:val="clear"/>
            <w:tcMar>
              <w:top w:type="dxa" w:w="70"/>
              <w:left w:type="dxa" w:w="120"/>
              <w:bottom w:type="dxa" w:w="70"/>
              <w:right w:type="dxa" w:w="120"/>
            </w:tcMar>
          </w:tcPr>
          <w:p>
            <w:r>
              <w:rPr>
                <w:sz w:val="19"/>
                <w:szCs w:val="19"/>
              </w:rPr>
              <w:t xml:space="preserve">Empresas</w:t>
            </w:r>
          </w:p>
        </w:tc>
        <w:tc>
          <w:tcPr>
            <w:tcW w:type="pct" w:w="1450"/>
            <w:shd w:fill="FFFFFF" w:val="clear"/>
            <w:tcMar>
              <w:top w:type="dxa" w:w="70"/>
              <w:left w:type="dxa" w:w="120"/>
              <w:bottom w:type="dxa" w:w="70"/>
              <w:right w:type="dxa" w:w="120"/>
            </w:tcMar>
          </w:tcPr>
          <w:p>
            <w:r>
              <w:rPr>
                <w:sz w:val="19"/>
                <w:szCs w:val="19"/>
              </w:rPr>
              <w:t xml:space="preserve">Volumen anormal después [+1, +5]</w:t>
            </w:r>
          </w:p>
        </w:tc>
        <w:tc>
          <w:tcPr>
            <w:tcW w:type="pct" w:w="450"/>
            <w:shd w:fill="FFFFFF" w:val="clear"/>
            <w:tcMar>
              <w:top w:type="dxa" w:w="70"/>
              <w:left w:type="dxa" w:w="120"/>
              <w:bottom w:type="dxa" w:w="70"/>
              <w:right w:type="dxa" w:w="120"/>
            </w:tcMar>
          </w:tcPr>
          <w:p>
            <w:r>
              <w:rPr>
                <w:sz w:val="19"/>
                <w:szCs w:val="19"/>
              </w:rPr>
              <w:t xml:space="preserve">105</w:t>
            </w:r>
          </w:p>
        </w:tc>
        <w:tc>
          <w:tcPr>
            <w:tcW w:type="pct" w:w="650"/>
            <w:shd w:fill="FFFFFF" w:val="clear"/>
            <w:tcMar>
              <w:top w:type="dxa" w:w="70"/>
              <w:left w:type="dxa" w:w="120"/>
              <w:bottom w:type="dxa" w:w="70"/>
              <w:right w:type="dxa" w:w="120"/>
            </w:tcMar>
          </w:tcPr>
          <w:p>
            <w:r>
              <w:rPr>
                <w:sz w:val="19"/>
                <w:szCs w:val="19"/>
              </w:rPr>
              <w:t xml:space="preserve">-0,045</w:t>
            </w:r>
          </w:p>
        </w:tc>
        <w:tc>
          <w:tcPr>
            <w:tcW w:type="pct" w:w="650"/>
            <w:shd w:fill="FFFFFF" w:val="clear"/>
            <w:tcMar>
              <w:top w:type="dxa" w:w="70"/>
              <w:left w:type="dxa" w:w="120"/>
              <w:bottom w:type="dxa" w:w="70"/>
              <w:right w:type="dxa" w:w="120"/>
            </w:tcMar>
          </w:tcPr>
          <w:p>
            <w:r>
              <w:rPr>
                <w:sz w:val="19"/>
                <w:szCs w:val="19"/>
              </w:rPr>
              <w:t xml:space="preserve">-0,052</w:t>
            </w:r>
          </w:p>
        </w:tc>
        <w:tc>
          <w:tcPr>
            <w:tcW w:type="pct" w:w="550"/>
            <w:shd w:fill="FFFFFF" w:val="clear"/>
            <w:tcMar>
              <w:top w:type="dxa" w:w="70"/>
              <w:left w:type="dxa" w:w="120"/>
              <w:bottom w:type="dxa" w:w="70"/>
              <w:right w:type="dxa" w:w="120"/>
            </w:tcMar>
          </w:tcPr>
          <w:p>
            <w:r>
              <w:rPr>
                <w:sz w:val="19"/>
                <w:szCs w:val="19"/>
              </w:rPr>
              <w:t xml:space="preserve">0,849</w:t>
            </w:r>
          </w:p>
        </w:tc>
        <w:tc>
          <w:tcPr>
            <w:tcW w:type="pct" w:w="700"/>
            <w:shd w:fill="FFFFFF" w:val="clear"/>
            <w:tcMar>
              <w:top w:type="dxa" w:w="70"/>
              <w:left w:type="dxa" w:w="120"/>
              <w:bottom w:type="dxa" w:w="70"/>
              <w:right w:type="dxa" w:w="120"/>
            </w:tcMar>
          </w:tcPr>
          <w:p>
            <w:r>
              <w:rPr>
                <w:sz w:val="19"/>
                <w:szCs w:val="19"/>
              </w:rPr>
              <w:t xml:space="preserve">0,956</w:t>
            </w:r>
          </w:p>
        </w:tc>
      </w:tr>
      <w:tr>
        <w:trPr>
          <w:cantSplit/>
        </w:trPr>
        <w:tc>
          <w:tcPr>
            <w:tcW w:type="pct" w:w="550"/>
            <w:shd w:fill="FAFCFD" w:val="clear"/>
            <w:tcMar>
              <w:top w:type="dxa" w:w="70"/>
              <w:left w:type="dxa" w:w="120"/>
              <w:bottom w:type="dxa" w:w="70"/>
              <w:right w:type="dxa" w:w="120"/>
            </w:tcMar>
          </w:tcPr>
          <w:p>
            <w:r>
              <w:rPr>
                <w:sz w:val="19"/>
                <w:szCs w:val="19"/>
              </w:rPr>
              <w:t xml:space="preserve">Empresas</w:t>
            </w:r>
          </w:p>
        </w:tc>
        <w:tc>
          <w:tcPr>
            <w:tcW w:type="pct" w:w="1450"/>
            <w:shd w:fill="FAFCFD" w:val="clear"/>
            <w:tcMar>
              <w:top w:type="dxa" w:w="70"/>
              <w:left w:type="dxa" w:w="120"/>
              <w:bottom w:type="dxa" w:w="70"/>
              <w:right w:type="dxa" w:w="120"/>
            </w:tcMar>
          </w:tcPr>
          <w:p>
            <w:r>
              <w:rPr>
                <w:sz w:val="19"/>
                <w:szCs w:val="19"/>
              </w:rPr>
              <w:t xml:space="preserve">CAR antes [−3, −1]</w:t>
            </w:r>
          </w:p>
        </w:tc>
        <w:tc>
          <w:tcPr>
            <w:tcW w:type="pct" w:w="450"/>
            <w:shd w:fill="FAFCFD" w:val="clear"/>
            <w:tcMar>
              <w:top w:type="dxa" w:w="70"/>
              <w:left w:type="dxa" w:w="120"/>
              <w:bottom w:type="dxa" w:w="70"/>
              <w:right w:type="dxa" w:w="120"/>
            </w:tcMar>
          </w:tcPr>
          <w:p>
            <w:r>
              <w:rPr>
                <w:sz w:val="19"/>
                <w:szCs w:val="19"/>
              </w:rPr>
              <w:t xml:space="preserve">105</w:t>
            </w:r>
          </w:p>
        </w:tc>
        <w:tc>
          <w:tcPr>
            <w:tcW w:type="pct" w:w="650"/>
            <w:shd w:fill="FAFCFD" w:val="clear"/>
            <w:tcMar>
              <w:top w:type="dxa" w:w="70"/>
              <w:left w:type="dxa" w:w="120"/>
              <w:bottom w:type="dxa" w:w="70"/>
              <w:right w:type="dxa" w:w="120"/>
            </w:tcMar>
          </w:tcPr>
          <w:p>
            <w:r>
              <w:rPr>
                <w:sz w:val="19"/>
                <w:szCs w:val="19"/>
              </w:rPr>
              <w:t xml:space="preserve">0,05%</w:t>
            </w:r>
          </w:p>
        </w:tc>
        <w:tc>
          <w:tcPr>
            <w:tcW w:type="pct" w:w="650"/>
            <w:shd w:fill="FAFCFD" w:val="clear"/>
            <w:tcMar>
              <w:top w:type="dxa" w:w="70"/>
              <w:left w:type="dxa" w:w="120"/>
              <w:bottom w:type="dxa" w:w="70"/>
              <w:right w:type="dxa" w:w="120"/>
            </w:tcMar>
          </w:tcPr>
          <w:p>
            <w:r>
              <w:rPr>
                <w:sz w:val="19"/>
                <w:szCs w:val="19"/>
              </w:rPr>
              <w:t xml:space="preserve">0,03%</w:t>
            </w:r>
          </w:p>
        </w:tc>
        <w:tc>
          <w:tcPr>
            <w:tcW w:type="pct" w:w="550"/>
            <w:shd w:fill="FAFCFD" w:val="clear"/>
            <w:tcMar>
              <w:top w:type="dxa" w:w="70"/>
              <w:left w:type="dxa" w:w="120"/>
              <w:bottom w:type="dxa" w:w="70"/>
              <w:right w:type="dxa" w:w="120"/>
            </w:tcMar>
          </w:tcPr>
          <w:p>
            <w:r>
              <w:rPr>
                <w:sz w:val="19"/>
                <w:szCs w:val="19"/>
              </w:rPr>
              <w:t xml:space="preserve">0,952</w:t>
            </w:r>
          </w:p>
        </w:tc>
        <w:tc>
          <w:tcPr>
            <w:tcW w:type="pct" w:w="700"/>
            <w:shd w:fill="FAFCFD" w:val="clear"/>
            <w:tcMar>
              <w:top w:type="dxa" w:w="70"/>
              <w:left w:type="dxa" w:w="120"/>
              <w:bottom w:type="dxa" w:w="70"/>
              <w:right w:type="dxa" w:w="120"/>
            </w:tcMar>
          </w:tcPr>
          <w:p>
            <w:r>
              <w:rPr>
                <w:sz w:val="19"/>
                <w:szCs w:val="19"/>
              </w:rPr>
              <w:t xml:space="preserve">0,956</w:t>
            </w:r>
          </w:p>
        </w:tc>
      </w:tr>
      <w:tr>
        <w:trPr>
          <w:cantSplit/>
        </w:trPr>
        <w:tc>
          <w:tcPr>
            <w:tcW w:type="pct" w:w="550"/>
            <w:shd w:fill="FFFFFF" w:val="clear"/>
            <w:tcMar>
              <w:top w:type="dxa" w:w="70"/>
              <w:left w:type="dxa" w:w="120"/>
              <w:bottom w:type="dxa" w:w="70"/>
              <w:right w:type="dxa" w:w="120"/>
            </w:tcMar>
          </w:tcPr>
          <w:p>
            <w:r>
              <w:rPr>
                <w:sz w:val="19"/>
                <w:szCs w:val="19"/>
              </w:rPr>
              <w:t xml:space="preserve">Empresas</w:t>
            </w:r>
          </w:p>
        </w:tc>
        <w:tc>
          <w:tcPr>
            <w:tcW w:type="pct" w:w="1450"/>
            <w:shd w:fill="FFFFFF" w:val="clear"/>
            <w:tcMar>
              <w:top w:type="dxa" w:w="70"/>
              <w:left w:type="dxa" w:w="120"/>
              <w:bottom w:type="dxa" w:w="70"/>
              <w:right w:type="dxa" w:w="120"/>
            </w:tcMar>
          </w:tcPr>
          <w:p>
            <w:r>
              <w:rPr>
                <w:sz w:val="19"/>
                <w:szCs w:val="19"/>
              </w:rPr>
              <w:t xml:space="preserve">CAR día [0]</w:t>
            </w:r>
          </w:p>
        </w:tc>
        <w:tc>
          <w:tcPr>
            <w:tcW w:type="pct" w:w="450"/>
            <w:shd w:fill="FFFFFF" w:val="clear"/>
            <w:tcMar>
              <w:top w:type="dxa" w:w="70"/>
              <w:left w:type="dxa" w:w="120"/>
              <w:bottom w:type="dxa" w:w="70"/>
              <w:right w:type="dxa" w:w="120"/>
            </w:tcMar>
          </w:tcPr>
          <w:p>
            <w:r>
              <w:rPr>
                <w:sz w:val="19"/>
                <w:szCs w:val="19"/>
              </w:rPr>
              <w:t xml:space="preserve">105</w:t>
            </w:r>
          </w:p>
        </w:tc>
        <w:tc>
          <w:tcPr>
            <w:tcW w:type="pct" w:w="650"/>
            <w:shd w:fill="FFFFFF" w:val="clear"/>
            <w:tcMar>
              <w:top w:type="dxa" w:w="70"/>
              <w:left w:type="dxa" w:w="120"/>
              <w:bottom w:type="dxa" w:w="70"/>
              <w:right w:type="dxa" w:w="120"/>
            </w:tcMar>
          </w:tcPr>
          <w:p>
            <w:r>
              <w:rPr>
                <w:sz w:val="19"/>
                <w:szCs w:val="19"/>
              </w:rPr>
              <w:t xml:space="preserve">0,13%</w:t>
            </w:r>
          </w:p>
        </w:tc>
        <w:tc>
          <w:tcPr>
            <w:tcW w:type="pct" w:w="650"/>
            <w:shd w:fill="FFFFFF" w:val="clear"/>
            <w:tcMar>
              <w:top w:type="dxa" w:w="70"/>
              <w:left w:type="dxa" w:w="120"/>
              <w:bottom w:type="dxa" w:w="70"/>
              <w:right w:type="dxa" w:w="120"/>
            </w:tcMar>
          </w:tcPr>
          <w:p>
            <w:r>
              <w:rPr>
                <w:sz w:val="19"/>
                <w:szCs w:val="19"/>
              </w:rPr>
              <w:t xml:space="preserve">0,01%</w:t>
            </w:r>
          </w:p>
        </w:tc>
        <w:tc>
          <w:tcPr>
            <w:tcW w:type="pct" w:w="550"/>
            <w:shd w:fill="FFFFFF" w:val="clear"/>
            <w:tcMar>
              <w:top w:type="dxa" w:w="70"/>
              <w:left w:type="dxa" w:w="120"/>
              <w:bottom w:type="dxa" w:w="70"/>
              <w:right w:type="dxa" w:w="120"/>
            </w:tcMar>
          </w:tcPr>
          <w:p>
            <w:r>
              <w:rPr>
                <w:sz w:val="19"/>
                <w:szCs w:val="19"/>
              </w:rPr>
              <w:t xml:space="preserve">0,591</w:t>
            </w:r>
          </w:p>
        </w:tc>
        <w:tc>
          <w:tcPr>
            <w:tcW w:type="pct" w:w="700"/>
            <w:shd w:fill="FFFFFF" w:val="clear"/>
            <w:tcMar>
              <w:top w:type="dxa" w:w="70"/>
              <w:left w:type="dxa" w:w="120"/>
              <w:bottom w:type="dxa" w:w="70"/>
              <w:right w:type="dxa" w:w="120"/>
            </w:tcMar>
          </w:tcPr>
          <w:p>
            <w:r>
              <w:rPr>
                <w:sz w:val="19"/>
                <w:szCs w:val="19"/>
              </w:rPr>
              <w:t xml:space="preserve">0,956</w:t>
            </w:r>
          </w:p>
        </w:tc>
      </w:tr>
      <w:tr>
        <w:trPr>
          <w:cantSplit/>
        </w:trPr>
        <w:tc>
          <w:tcPr>
            <w:tcW w:type="pct" w:w="550"/>
            <w:shd w:fill="FAFCFD" w:val="clear"/>
            <w:tcMar>
              <w:top w:type="dxa" w:w="70"/>
              <w:left w:type="dxa" w:w="120"/>
              <w:bottom w:type="dxa" w:w="70"/>
              <w:right w:type="dxa" w:w="120"/>
            </w:tcMar>
          </w:tcPr>
          <w:p>
            <w:r>
              <w:rPr>
                <w:sz w:val="19"/>
                <w:szCs w:val="19"/>
              </w:rPr>
              <w:t xml:space="preserve">Empresas</w:t>
            </w:r>
          </w:p>
        </w:tc>
        <w:tc>
          <w:tcPr>
            <w:tcW w:type="pct" w:w="1450"/>
            <w:shd w:fill="FAFCFD" w:val="clear"/>
            <w:tcMar>
              <w:top w:type="dxa" w:w="70"/>
              <w:left w:type="dxa" w:w="120"/>
              <w:bottom w:type="dxa" w:w="70"/>
              <w:right w:type="dxa" w:w="120"/>
            </w:tcMar>
          </w:tcPr>
          <w:p>
            <w:r>
              <w:rPr>
                <w:sz w:val="19"/>
                <w:szCs w:val="19"/>
              </w:rPr>
              <w:t xml:space="preserve">CAR después [+1, +5]</w:t>
            </w:r>
          </w:p>
        </w:tc>
        <w:tc>
          <w:tcPr>
            <w:tcW w:type="pct" w:w="450"/>
            <w:shd w:fill="FAFCFD" w:val="clear"/>
            <w:tcMar>
              <w:top w:type="dxa" w:w="70"/>
              <w:left w:type="dxa" w:w="120"/>
              <w:bottom w:type="dxa" w:w="70"/>
              <w:right w:type="dxa" w:w="120"/>
            </w:tcMar>
          </w:tcPr>
          <w:p>
            <w:r>
              <w:rPr>
                <w:sz w:val="19"/>
                <w:szCs w:val="19"/>
              </w:rPr>
              <w:t xml:space="preserve">105</w:t>
            </w:r>
          </w:p>
        </w:tc>
        <w:tc>
          <w:tcPr>
            <w:tcW w:type="pct" w:w="650"/>
            <w:shd w:fill="FAFCFD" w:val="clear"/>
            <w:tcMar>
              <w:top w:type="dxa" w:w="70"/>
              <w:left w:type="dxa" w:w="120"/>
              <w:bottom w:type="dxa" w:w="70"/>
              <w:right w:type="dxa" w:w="120"/>
            </w:tcMar>
          </w:tcPr>
          <w:p>
            <w:r>
              <w:rPr>
                <w:sz w:val="19"/>
                <w:szCs w:val="19"/>
              </w:rPr>
              <w:t xml:space="preserve">-0,02%</w:t>
            </w:r>
          </w:p>
        </w:tc>
        <w:tc>
          <w:tcPr>
            <w:tcW w:type="pct" w:w="650"/>
            <w:shd w:fill="FAFCFD" w:val="clear"/>
            <w:tcMar>
              <w:top w:type="dxa" w:w="70"/>
              <w:left w:type="dxa" w:w="120"/>
              <w:bottom w:type="dxa" w:w="70"/>
              <w:right w:type="dxa" w:w="120"/>
            </w:tcMar>
          </w:tcPr>
          <w:p>
            <w:r>
              <w:rPr>
                <w:sz w:val="19"/>
                <w:szCs w:val="19"/>
              </w:rPr>
              <w:t xml:space="preserve">0,06%</w:t>
            </w:r>
          </w:p>
        </w:tc>
        <w:tc>
          <w:tcPr>
            <w:tcW w:type="pct" w:w="550"/>
            <w:shd w:fill="FAFCFD" w:val="clear"/>
            <w:tcMar>
              <w:top w:type="dxa" w:w="70"/>
              <w:left w:type="dxa" w:w="120"/>
              <w:bottom w:type="dxa" w:w="70"/>
              <w:right w:type="dxa" w:w="120"/>
            </w:tcMar>
          </w:tcPr>
          <w:p>
            <w:r>
              <w:rPr>
                <w:sz w:val="19"/>
                <w:szCs w:val="19"/>
              </w:rPr>
              <w:t xml:space="preserve">0,905</w:t>
            </w:r>
          </w:p>
        </w:tc>
        <w:tc>
          <w:tcPr>
            <w:tcW w:type="pct" w:w="700"/>
            <w:shd w:fill="FAFCFD" w:val="clear"/>
            <w:tcMar>
              <w:top w:type="dxa" w:w="70"/>
              <w:left w:type="dxa" w:w="120"/>
              <w:bottom w:type="dxa" w:w="70"/>
              <w:right w:type="dxa" w:w="120"/>
            </w:tcMar>
          </w:tcPr>
          <w:p>
            <w:r>
              <w:rPr>
                <w:sz w:val="19"/>
                <w:szCs w:val="19"/>
              </w:rPr>
              <w:t xml:space="preserve">0,956</w:t>
            </w:r>
          </w:p>
        </w:tc>
      </w:tr>
    </w:tbl>
    <w:p>
      <w:pPr>
        <w:spacing w:after="160" w:line="300"/>
      </w:pPr>
      <w:r>
        <w:rPr>
          <w:i/>
          <w:iCs/>
          <w:color w:val="5C6B7A"/>
          <w:sz w:val="18"/>
          <w:szCs w:val="18"/>
        </w:rPr>
        <w:t xml:space="preserve">Retornos en %, volumen en logaritmo (0 = lo habitual). Las medidas en valor absoluto se comparan contra un día cualquiera; las demás, contra 0. p (azar): proporción de sorteos de fechas al azar con un promedio al menos tan extremo. p corregido: Benjamini-Hochberg sobre las 14 pruebas.</w:t>
      </w:r>
    </w:p>
    <w:p>
      <w:pPr>
        <w:spacing w:after="160"/>
        <w:jc w:val="center"/>
      </w:pPr>
      <w:r>
        <w:drawing>
          <wp:inline distT="0" distB="0" distL="0" distR="0">
            <wp:extent cx="5715000" cy="1676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15000" cy="1676400"/>
                    </a:xfrm>
                    <a:prstGeom prst="rect">
                      <a:avLst/>
                    </a:prstGeom>
                  </pic:spPr>
                </pic:pic>
              </a:graphicData>
            </a:graphic>
          </wp:inline>
        </w:drawing>
      </w:r>
    </w:p>
    <w:p>
      <w:pPr>
        <w:spacing w:after="160" w:line="300"/>
      </w:pPr>
      <w:r>
        <w:rPr>
          <w:i/>
          <w:iCs/>
          <w:color w:val="5C6B7A"/>
          <w:sz w:val="18"/>
          <w:szCs w:val="18"/>
        </w:rPr>
        <w:t xml:space="preserve">A: retorno anormal acumulado del Merval alrededor de los shocks del mercado, contra el 95% de fechas al azar. B y C: tamaño del movimiento en los shocks contra un día cualquiera; C cuenta solo las notas publicadas con el mercado cerrado.</w:t>
      </w:r>
    </w:p>
    <w:p>
      <w:pPr>
        <w:spacing w:after="160" w:line="300"/>
        <w:ind w:left="360" w:hanging="240"/>
      </w:pPr>
      <w:r>
        <w:t xml:space="preserve">•  </w:t>
      </w:r>
      <w:r>
        <w:rPr>
          <w:b/>
          <w:bCs/>
        </w:rPr>
        <w:t xml:space="preserve">Mercado: </w:t>
      </w:r>
      <w:r>
        <w:t xml:space="preserve">con la definición corregida hay 6 eventos y en ninguna medida se distinguen de un día cualquiera.</w:t>
      </w:r>
    </w:p>
    <w:p>
      <w:pPr>
        <w:spacing w:after="160" w:line="300"/>
        <w:ind w:left="360" w:hanging="240"/>
      </w:pPr>
      <w:r>
        <w:t xml:space="preserve">•  </w:t>
      </w:r>
      <w:r>
        <w:rPr>
          <w:b/>
          <w:bCs/>
        </w:rPr>
        <w:t xml:space="preserve">Empresas: </w:t>
      </w:r>
      <w:r>
        <w:t xml:space="preserve">en los 105 shocks de empresa, el volumen anormal del día es claramente mayor (p corregido 0,017). El precio se mueve algo más (2,02% contra 1,61% de un día cualquiera; p 0,008), pero tras la corrección queda en el límite (0,059). El retorno acumulado no tiene dirección y no hay nada en los días siguientes.</w:t>
      </w:r>
    </w:p>
    <w:p>
      <w:pPr>
        <w:spacing w:after="160" w:line="300"/>
        <w:ind w:left="360" w:hanging="240"/>
      </w:pPr>
      <w:r>
        <w:t xml:space="preserve">•  </w:t>
      </w:r>
      <w:r>
        <w:rPr>
          <w:b/>
          <w:bCs/>
        </w:rPr>
        <w:t xml:space="preserve">Antes del shock: </w:t>
      </w:r>
      <w:r>
        <w:t xml:space="preserve">nada significativo tras la corrección. Con la versión corregida, el precio no viene moviéndose antes de que aumente la cantidad de noticias.</w:t>
      </w:r>
    </w:p>
    <w:p>
      <w:pPr>
        <w:pStyle w:val="Heading1"/>
        <w:keepNext/>
        <w:spacing w:after="160" w:before="360"/>
      </w:pPr>
      <w:r>
        <w:t xml:space="preserve">4. Prueba pre-apertura: ¿qué vino primero?</w:t>
      </w:r>
    </w:p>
    <w:p>
      <w:pPr>
        <w:spacing w:after="160" w:line="300"/>
      </w:pPr>
      <w:r>
        <w:t xml:space="preserve">La rueda del shock incluye notas publicadas durante esa misma sesión, que pueden estar contando la suba o la baja del día. Por eso "el precio se mueve más el día del shock" no dice qué vino primero. Esta prueba, agregada antes de correrla, cuenta solo las notas publicadas con el mercado cerrado (el mismo criterio de U6b) y mira el salto de apertura: el único precio que se forma después de esas notas y antes de las de la sesión.</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060"/>
        <w:gridCol w:w="2795"/>
        <w:gridCol w:w="867"/>
        <w:gridCol w:w="1253"/>
        <w:gridCol w:w="1253"/>
        <w:gridCol w:w="1060"/>
        <w:gridCol w:w="1349"/>
      </w:tblGrid>
      <w:tr>
        <w:trPr>
          <w:tblHeader/>
        </w:trPr>
        <w:tc>
          <w:tcPr>
            <w:tcW w:type="pct" w:w="550"/>
            <w:shd w:fill="1C3A5C" w:val="clear"/>
            <w:tcMar>
              <w:top w:type="dxa" w:w="80"/>
              <w:left w:type="dxa" w:w="120"/>
              <w:bottom w:type="dxa" w:w="80"/>
              <w:right w:type="dxa" w:w="120"/>
            </w:tcMar>
          </w:tcPr>
          <w:p>
            <w:r>
              <w:rPr>
                <w:b/>
                <w:bCs/>
                <w:color w:val="FFFFFF"/>
                <w:sz w:val="19"/>
                <w:szCs w:val="19"/>
              </w:rPr>
              <w:t xml:space="preserve">Nivel</w:t>
            </w:r>
          </w:p>
        </w:tc>
        <w:tc>
          <w:tcPr>
            <w:tcW w:type="pct" w:w="1450"/>
            <w:shd w:fill="1C3A5C" w:val="clear"/>
            <w:tcMar>
              <w:top w:type="dxa" w:w="80"/>
              <w:left w:type="dxa" w:w="120"/>
              <w:bottom w:type="dxa" w:w="80"/>
              <w:right w:type="dxa" w:w="120"/>
            </w:tcMar>
          </w:tcPr>
          <w:p>
            <w:r>
              <w:rPr>
                <w:b/>
                <w:bCs/>
                <w:color w:val="FFFFFF"/>
                <w:sz w:val="19"/>
                <w:szCs w:val="19"/>
              </w:rPr>
              <w:t xml:space="preserve">Medida</w:t>
            </w:r>
          </w:p>
        </w:tc>
        <w:tc>
          <w:tcPr>
            <w:tcW w:type="pct" w:w="450"/>
            <w:shd w:fill="1C3A5C" w:val="clear"/>
            <w:tcMar>
              <w:top w:type="dxa" w:w="80"/>
              <w:left w:type="dxa" w:w="120"/>
              <w:bottom w:type="dxa" w:w="80"/>
              <w:right w:type="dxa" w:w="120"/>
            </w:tcMar>
          </w:tcPr>
          <w:p>
            <w:r>
              <w:rPr>
                <w:b/>
                <w:bCs/>
                <w:color w:val="FFFFFF"/>
                <w:sz w:val="19"/>
                <w:szCs w:val="19"/>
              </w:rPr>
              <w:t xml:space="preserve">Eventos</w:t>
            </w:r>
          </w:p>
        </w:tc>
        <w:tc>
          <w:tcPr>
            <w:tcW w:type="pct" w:w="650"/>
            <w:shd w:fill="1C3A5C" w:val="clear"/>
            <w:tcMar>
              <w:top w:type="dxa" w:w="80"/>
              <w:left w:type="dxa" w:w="120"/>
              <w:bottom w:type="dxa" w:w="80"/>
              <w:right w:type="dxa" w:w="120"/>
            </w:tcMar>
          </w:tcPr>
          <w:p>
            <w:r>
              <w:rPr>
                <w:b/>
                <w:bCs/>
                <w:color w:val="FFFFFF"/>
                <w:sz w:val="19"/>
                <w:szCs w:val="19"/>
              </w:rPr>
              <w:t xml:space="preserve">En los shocks</w:t>
            </w:r>
          </w:p>
        </w:tc>
        <w:tc>
          <w:tcPr>
            <w:tcW w:type="pct" w:w="650"/>
            <w:shd w:fill="1C3A5C" w:val="clear"/>
            <w:tcMar>
              <w:top w:type="dxa" w:w="80"/>
              <w:left w:type="dxa" w:w="120"/>
              <w:bottom w:type="dxa" w:w="80"/>
              <w:right w:type="dxa" w:w="120"/>
            </w:tcMar>
          </w:tcPr>
          <w:p>
            <w:r>
              <w:rPr>
                <w:b/>
                <w:bCs/>
                <w:color w:val="FFFFFF"/>
                <w:sz w:val="19"/>
                <w:szCs w:val="19"/>
              </w:rPr>
              <w:t xml:space="preserve">Día cualquiera</w:t>
            </w:r>
          </w:p>
        </w:tc>
        <w:tc>
          <w:tcPr>
            <w:tcW w:type="pct" w:w="550"/>
            <w:shd w:fill="1C3A5C" w:val="clear"/>
            <w:tcMar>
              <w:top w:type="dxa" w:w="80"/>
              <w:left w:type="dxa" w:w="120"/>
              <w:bottom w:type="dxa" w:w="80"/>
              <w:right w:type="dxa" w:w="120"/>
            </w:tcMar>
          </w:tcPr>
          <w:p>
            <w:r>
              <w:rPr>
                <w:b/>
                <w:bCs/>
                <w:color w:val="FFFFFF"/>
                <w:sz w:val="19"/>
                <w:szCs w:val="19"/>
              </w:rPr>
              <w:t xml:space="preserve">p (azar)</w:t>
            </w:r>
          </w:p>
        </w:tc>
        <w:tc>
          <w:tcPr>
            <w:tcW w:type="pct" w:w="700"/>
            <w:shd w:fill="1C3A5C" w:val="clear"/>
            <w:tcMar>
              <w:top w:type="dxa" w:w="80"/>
              <w:left w:type="dxa" w:w="120"/>
              <w:bottom w:type="dxa" w:w="80"/>
              <w:right w:type="dxa" w:w="120"/>
            </w:tcMar>
          </w:tcPr>
          <w:p>
            <w:r>
              <w:rPr>
                <w:b/>
                <w:bCs/>
                <w:color w:val="FFFFFF"/>
                <w:sz w:val="19"/>
                <w:szCs w:val="19"/>
              </w:rPr>
              <w:t xml:space="preserve">p corregido</w:t>
            </w:r>
          </w:p>
        </w:tc>
      </w:tr>
      <w:tr>
        <w:trPr>
          <w:cantSplit/>
        </w:trPr>
        <w:tc>
          <w:tcPr>
            <w:tcW w:type="pct" w:w="550"/>
            <w:shd w:fill="FFFFFF" w:val="clear"/>
            <w:tcMar>
              <w:top w:type="dxa" w:w="70"/>
              <w:left w:type="dxa" w:w="120"/>
              <w:bottom w:type="dxa" w:w="70"/>
              <w:right w:type="dxa" w:w="120"/>
            </w:tcMar>
          </w:tcPr>
          <w:p>
            <w:r>
              <w:rPr>
                <w:sz w:val="19"/>
                <w:szCs w:val="19"/>
              </w:rPr>
              <w:t xml:space="preserve">Mercado</w:t>
            </w:r>
          </w:p>
        </w:tc>
        <w:tc>
          <w:tcPr>
            <w:tcW w:type="pct" w:w="1450"/>
            <w:shd w:fill="FFFFFF" w:val="clear"/>
            <w:tcMar>
              <w:top w:type="dxa" w:w="70"/>
              <w:left w:type="dxa" w:w="120"/>
              <w:bottom w:type="dxa" w:w="70"/>
              <w:right w:type="dxa" w:w="120"/>
            </w:tcMar>
          </w:tcPr>
          <w:p>
            <w:r>
              <w:rPr>
                <w:sz w:val="19"/>
                <w:szCs w:val="19"/>
              </w:rPr>
              <w:t xml:space="preserve">|salto de apertura anormal|</w:t>
            </w:r>
          </w:p>
        </w:tc>
        <w:tc>
          <w:tcPr>
            <w:tcW w:type="pct" w:w="450"/>
            <w:shd w:fill="FFFFFF" w:val="clear"/>
            <w:tcMar>
              <w:top w:type="dxa" w:w="70"/>
              <w:left w:type="dxa" w:w="120"/>
              <w:bottom w:type="dxa" w:w="70"/>
              <w:right w:type="dxa" w:w="120"/>
            </w:tcMar>
          </w:tcPr>
          <w:p>
            <w:r>
              <w:rPr>
                <w:sz w:val="19"/>
                <w:szCs w:val="19"/>
              </w:rPr>
              <w:t xml:space="preserve">5</w:t>
            </w:r>
          </w:p>
        </w:tc>
        <w:tc>
          <w:tcPr>
            <w:tcW w:type="pct" w:w="650"/>
            <w:shd w:fill="FFFFFF" w:val="clear"/>
            <w:tcMar>
              <w:top w:type="dxa" w:w="70"/>
              <w:left w:type="dxa" w:w="120"/>
              <w:bottom w:type="dxa" w:w="70"/>
              <w:right w:type="dxa" w:w="120"/>
            </w:tcMar>
          </w:tcPr>
          <w:p>
            <w:r>
              <w:rPr>
                <w:sz w:val="19"/>
                <w:szCs w:val="19"/>
              </w:rPr>
              <w:t xml:space="preserve">0,95%</w:t>
            </w:r>
          </w:p>
        </w:tc>
        <w:tc>
          <w:tcPr>
            <w:tcW w:type="pct" w:w="650"/>
            <w:shd w:fill="FFFFFF" w:val="clear"/>
            <w:tcMar>
              <w:top w:type="dxa" w:w="70"/>
              <w:left w:type="dxa" w:w="120"/>
              <w:bottom w:type="dxa" w:w="70"/>
              <w:right w:type="dxa" w:w="120"/>
            </w:tcMar>
          </w:tcPr>
          <w:p>
            <w:r>
              <w:rPr>
                <w:sz w:val="19"/>
                <w:szCs w:val="19"/>
              </w:rPr>
              <w:t xml:space="preserve">0,33%</w:t>
            </w:r>
          </w:p>
        </w:tc>
        <w:tc>
          <w:tcPr>
            <w:tcW w:type="pct" w:w="550"/>
            <w:shd w:fill="FFFFFF" w:val="clear"/>
            <w:tcMar>
              <w:top w:type="dxa" w:w="70"/>
              <w:left w:type="dxa" w:w="120"/>
              <w:bottom w:type="dxa" w:w="70"/>
              <w:right w:type="dxa" w:w="120"/>
            </w:tcMar>
          </w:tcPr>
          <w:p>
            <w:r>
              <w:rPr>
                <w:sz w:val="19"/>
                <w:szCs w:val="19"/>
              </w:rPr>
              <w:t xml:space="preserve">0,004</w:t>
            </w:r>
          </w:p>
        </w:tc>
        <w:tc>
          <w:tcPr>
            <w:tcW w:type="pct" w:w="700"/>
            <w:shd w:fill="FFFFFF" w:val="clear"/>
            <w:tcMar>
              <w:top w:type="dxa" w:w="70"/>
              <w:left w:type="dxa" w:w="120"/>
              <w:bottom w:type="dxa" w:w="70"/>
              <w:right w:type="dxa" w:w="120"/>
            </w:tcMar>
          </w:tcPr>
          <w:p>
            <w:r>
              <w:rPr>
                <w:sz w:val="19"/>
                <w:szCs w:val="19"/>
              </w:rPr>
              <w:t xml:space="preserve">0,022</w:t>
            </w:r>
          </w:p>
        </w:tc>
      </w:tr>
      <w:tr>
        <w:trPr>
          <w:cantSplit/>
        </w:trPr>
        <w:tc>
          <w:tcPr>
            <w:tcW w:type="pct" w:w="550"/>
            <w:shd w:fill="FAFCFD" w:val="clear"/>
            <w:tcMar>
              <w:top w:type="dxa" w:w="70"/>
              <w:left w:type="dxa" w:w="120"/>
              <w:bottom w:type="dxa" w:w="70"/>
              <w:right w:type="dxa" w:w="120"/>
            </w:tcMar>
          </w:tcPr>
          <w:p>
            <w:r>
              <w:rPr>
                <w:sz w:val="19"/>
                <w:szCs w:val="19"/>
              </w:rPr>
              <w:t xml:space="preserve">Mercado</w:t>
            </w:r>
          </w:p>
        </w:tc>
        <w:tc>
          <w:tcPr>
            <w:tcW w:type="pct" w:w="1450"/>
            <w:shd w:fill="FAFCFD" w:val="clear"/>
            <w:tcMar>
              <w:top w:type="dxa" w:w="70"/>
              <w:left w:type="dxa" w:w="120"/>
              <w:bottom w:type="dxa" w:w="70"/>
              <w:right w:type="dxa" w:w="120"/>
            </w:tcMar>
          </w:tcPr>
          <w:p>
            <w:r>
              <w:rPr>
                <w:sz w:val="19"/>
                <w:szCs w:val="19"/>
              </w:rPr>
              <w:t xml:space="preserve">|retorno anormal| del día [0]</w:t>
            </w:r>
          </w:p>
        </w:tc>
        <w:tc>
          <w:tcPr>
            <w:tcW w:type="pct" w:w="450"/>
            <w:shd w:fill="FAFCFD" w:val="clear"/>
            <w:tcMar>
              <w:top w:type="dxa" w:w="70"/>
              <w:left w:type="dxa" w:w="120"/>
              <w:bottom w:type="dxa" w:w="70"/>
              <w:right w:type="dxa" w:w="120"/>
            </w:tcMar>
          </w:tcPr>
          <w:p>
            <w:r>
              <w:rPr>
                <w:sz w:val="19"/>
                <w:szCs w:val="19"/>
              </w:rPr>
              <w:t xml:space="preserve">5</w:t>
            </w:r>
          </w:p>
        </w:tc>
        <w:tc>
          <w:tcPr>
            <w:tcW w:type="pct" w:w="650"/>
            <w:shd w:fill="FAFCFD" w:val="clear"/>
            <w:tcMar>
              <w:top w:type="dxa" w:w="70"/>
              <w:left w:type="dxa" w:w="120"/>
              <w:bottom w:type="dxa" w:w="70"/>
              <w:right w:type="dxa" w:w="120"/>
            </w:tcMar>
          </w:tcPr>
          <w:p>
            <w:r>
              <w:rPr>
                <w:sz w:val="19"/>
                <w:szCs w:val="19"/>
              </w:rPr>
              <w:t xml:space="preserve">1,64%</w:t>
            </w:r>
          </w:p>
        </w:tc>
        <w:tc>
          <w:tcPr>
            <w:tcW w:type="pct" w:w="650"/>
            <w:shd w:fill="FAFCFD" w:val="clear"/>
            <w:tcMar>
              <w:top w:type="dxa" w:w="70"/>
              <w:left w:type="dxa" w:w="120"/>
              <w:bottom w:type="dxa" w:w="70"/>
              <w:right w:type="dxa" w:w="120"/>
            </w:tcMar>
          </w:tcPr>
          <w:p>
            <w:r>
              <w:rPr>
                <w:sz w:val="19"/>
                <w:szCs w:val="19"/>
              </w:rPr>
              <w:t xml:space="preserve">1,83%</w:t>
            </w:r>
          </w:p>
        </w:tc>
        <w:tc>
          <w:tcPr>
            <w:tcW w:type="pct" w:w="550"/>
            <w:shd w:fill="FAFCFD" w:val="clear"/>
            <w:tcMar>
              <w:top w:type="dxa" w:w="70"/>
              <w:left w:type="dxa" w:w="120"/>
              <w:bottom w:type="dxa" w:w="70"/>
              <w:right w:type="dxa" w:w="120"/>
            </w:tcMar>
          </w:tcPr>
          <w:p>
            <w:r>
              <w:rPr>
                <w:sz w:val="19"/>
                <w:szCs w:val="19"/>
              </w:rPr>
              <w:t xml:space="preserve">0,790</w:t>
            </w:r>
          </w:p>
        </w:tc>
        <w:tc>
          <w:tcPr>
            <w:tcW w:type="pct" w:w="700"/>
            <w:shd w:fill="FAFCFD" w:val="clear"/>
            <w:tcMar>
              <w:top w:type="dxa" w:w="70"/>
              <w:left w:type="dxa" w:w="120"/>
              <w:bottom w:type="dxa" w:w="70"/>
              <w:right w:type="dxa" w:w="120"/>
            </w:tcMar>
          </w:tcPr>
          <w:p>
            <w:r>
              <w:rPr>
                <w:sz w:val="19"/>
                <w:szCs w:val="19"/>
              </w:rPr>
              <w:t xml:space="preserve">0,875</w:t>
            </w:r>
          </w:p>
        </w:tc>
      </w:tr>
      <w:tr>
        <w:trPr>
          <w:cantSplit/>
        </w:trPr>
        <w:tc>
          <w:tcPr>
            <w:tcW w:type="pct" w:w="550"/>
            <w:shd w:fill="FFFFFF" w:val="clear"/>
            <w:tcMar>
              <w:top w:type="dxa" w:w="70"/>
              <w:left w:type="dxa" w:w="120"/>
              <w:bottom w:type="dxa" w:w="70"/>
              <w:right w:type="dxa" w:w="120"/>
            </w:tcMar>
          </w:tcPr>
          <w:p>
            <w:r>
              <w:rPr>
                <w:sz w:val="19"/>
                <w:szCs w:val="19"/>
              </w:rPr>
              <w:t xml:space="preserve">Mercado</w:t>
            </w:r>
          </w:p>
        </w:tc>
        <w:tc>
          <w:tcPr>
            <w:tcW w:type="pct" w:w="1450"/>
            <w:shd w:fill="FFFFFF" w:val="clear"/>
            <w:tcMar>
              <w:top w:type="dxa" w:w="70"/>
              <w:left w:type="dxa" w:w="120"/>
              <w:bottom w:type="dxa" w:w="70"/>
              <w:right w:type="dxa" w:w="120"/>
            </w:tcMar>
          </w:tcPr>
          <w:p>
            <w:r>
              <w:rPr>
                <w:sz w:val="19"/>
                <w:szCs w:val="19"/>
              </w:rPr>
              <w:t xml:space="preserve">Volumen anormal día [0]</w:t>
            </w:r>
          </w:p>
        </w:tc>
        <w:tc>
          <w:tcPr>
            <w:tcW w:type="pct" w:w="450"/>
            <w:shd w:fill="FFFFFF" w:val="clear"/>
            <w:tcMar>
              <w:top w:type="dxa" w:w="70"/>
              <w:left w:type="dxa" w:w="120"/>
              <w:bottom w:type="dxa" w:w="70"/>
              <w:right w:type="dxa" w:w="120"/>
            </w:tcMar>
          </w:tcPr>
          <w:p>
            <w:r>
              <w:rPr>
                <w:sz w:val="19"/>
                <w:szCs w:val="19"/>
              </w:rPr>
              <w:t xml:space="preserve">5</w:t>
            </w:r>
          </w:p>
        </w:tc>
        <w:tc>
          <w:tcPr>
            <w:tcW w:type="pct" w:w="650"/>
            <w:shd w:fill="FFFFFF" w:val="clear"/>
            <w:tcMar>
              <w:top w:type="dxa" w:w="70"/>
              <w:left w:type="dxa" w:w="120"/>
              <w:bottom w:type="dxa" w:w="70"/>
              <w:right w:type="dxa" w:w="120"/>
            </w:tcMar>
          </w:tcPr>
          <w:p>
            <w:r>
              <w:rPr>
                <w:sz w:val="19"/>
                <w:szCs w:val="19"/>
              </w:rPr>
              <w:t xml:space="preserve">-0,057</w:t>
            </w:r>
          </w:p>
        </w:tc>
        <w:tc>
          <w:tcPr>
            <w:tcW w:type="pct" w:w="650"/>
            <w:shd w:fill="FFFFFF" w:val="clear"/>
            <w:tcMar>
              <w:top w:type="dxa" w:w="70"/>
              <w:left w:type="dxa" w:w="120"/>
              <w:bottom w:type="dxa" w:w="70"/>
              <w:right w:type="dxa" w:w="120"/>
            </w:tcMar>
          </w:tcPr>
          <w:p>
            <w:r>
              <w:rPr>
                <w:sz w:val="19"/>
                <w:szCs w:val="19"/>
              </w:rPr>
              <w:t xml:space="preserve">-0,027</w:t>
            </w:r>
          </w:p>
        </w:tc>
        <w:tc>
          <w:tcPr>
            <w:tcW w:type="pct" w:w="550"/>
            <w:shd w:fill="FFFFFF" w:val="clear"/>
            <w:tcMar>
              <w:top w:type="dxa" w:w="70"/>
              <w:left w:type="dxa" w:w="120"/>
              <w:bottom w:type="dxa" w:w="70"/>
              <w:right w:type="dxa" w:w="120"/>
            </w:tcMar>
          </w:tcPr>
          <w:p>
            <w:r>
              <w:rPr>
                <w:sz w:val="19"/>
                <w:szCs w:val="19"/>
              </w:rPr>
              <w:t xml:space="preserve">0,875</w:t>
            </w:r>
          </w:p>
        </w:tc>
        <w:tc>
          <w:tcPr>
            <w:tcW w:type="pct" w:w="700"/>
            <w:shd w:fill="FFFFFF" w:val="clear"/>
            <w:tcMar>
              <w:top w:type="dxa" w:w="70"/>
              <w:left w:type="dxa" w:w="120"/>
              <w:bottom w:type="dxa" w:w="70"/>
              <w:right w:type="dxa" w:w="120"/>
            </w:tcMar>
          </w:tcPr>
          <w:p>
            <w:r>
              <w:rPr>
                <w:sz w:val="19"/>
                <w:szCs w:val="19"/>
              </w:rPr>
              <w:t xml:space="preserve">0,875</w:t>
            </w:r>
          </w:p>
        </w:tc>
      </w:tr>
      <w:tr>
        <w:trPr>
          <w:cantSplit/>
        </w:trPr>
        <w:tc>
          <w:tcPr>
            <w:tcW w:type="pct" w:w="550"/>
            <w:shd w:fill="FAFCFD" w:val="clear"/>
            <w:tcMar>
              <w:top w:type="dxa" w:w="70"/>
              <w:left w:type="dxa" w:w="120"/>
              <w:bottom w:type="dxa" w:w="70"/>
              <w:right w:type="dxa" w:w="120"/>
            </w:tcMar>
          </w:tcPr>
          <w:p>
            <w:r>
              <w:rPr>
                <w:sz w:val="19"/>
                <w:szCs w:val="19"/>
              </w:rPr>
              <w:t xml:space="preserve">Empresas</w:t>
            </w:r>
          </w:p>
        </w:tc>
        <w:tc>
          <w:tcPr>
            <w:tcW w:type="pct" w:w="1450"/>
            <w:shd w:fill="FAFCFD" w:val="clear"/>
            <w:tcMar>
              <w:top w:type="dxa" w:w="70"/>
              <w:left w:type="dxa" w:w="120"/>
              <w:bottom w:type="dxa" w:w="70"/>
              <w:right w:type="dxa" w:w="120"/>
            </w:tcMar>
          </w:tcPr>
          <w:p>
            <w:r>
              <w:rPr>
                <w:sz w:val="19"/>
                <w:szCs w:val="19"/>
              </w:rPr>
              <w:t xml:space="preserve">|salto de apertura anormal|</w:t>
            </w:r>
          </w:p>
        </w:tc>
        <w:tc>
          <w:tcPr>
            <w:tcW w:type="pct" w:w="450"/>
            <w:shd w:fill="FAFCFD" w:val="clear"/>
            <w:tcMar>
              <w:top w:type="dxa" w:w="70"/>
              <w:left w:type="dxa" w:w="120"/>
              <w:bottom w:type="dxa" w:w="70"/>
              <w:right w:type="dxa" w:w="120"/>
            </w:tcMar>
          </w:tcPr>
          <w:p>
            <w:r>
              <w:rPr>
                <w:sz w:val="19"/>
                <w:szCs w:val="19"/>
              </w:rPr>
              <w:t xml:space="preserve">76</w:t>
            </w:r>
          </w:p>
        </w:tc>
        <w:tc>
          <w:tcPr>
            <w:tcW w:type="pct" w:w="650"/>
            <w:shd w:fill="FAFCFD" w:val="clear"/>
            <w:tcMar>
              <w:top w:type="dxa" w:w="70"/>
              <w:left w:type="dxa" w:w="120"/>
              <w:bottom w:type="dxa" w:w="70"/>
              <w:right w:type="dxa" w:w="120"/>
            </w:tcMar>
          </w:tcPr>
          <w:p>
            <w:r>
              <w:rPr>
                <w:sz w:val="19"/>
                <w:szCs w:val="19"/>
              </w:rPr>
              <w:t xml:space="preserve">0,82%</w:t>
            </w:r>
          </w:p>
        </w:tc>
        <w:tc>
          <w:tcPr>
            <w:tcW w:type="pct" w:w="650"/>
            <w:shd w:fill="FAFCFD" w:val="clear"/>
            <w:tcMar>
              <w:top w:type="dxa" w:w="70"/>
              <w:left w:type="dxa" w:w="120"/>
              <w:bottom w:type="dxa" w:w="70"/>
              <w:right w:type="dxa" w:w="120"/>
            </w:tcMar>
          </w:tcPr>
          <w:p>
            <w:r>
              <w:rPr>
                <w:sz w:val="19"/>
                <w:szCs w:val="19"/>
              </w:rPr>
              <w:t xml:space="preserve">0,72%</w:t>
            </w:r>
          </w:p>
        </w:tc>
        <w:tc>
          <w:tcPr>
            <w:tcW w:type="pct" w:w="550"/>
            <w:shd w:fill="FAFCFD" w:val="clear"/>
            <w:tcMar>
              <w:top w:type="dxa" w:w="70"/>
              <w:left w:type="dxa" w:w="120"/>
              <w:bottom w:type="dxa" w:w="70"/>
              <w:right w:type="dxa" w:w="120"/>
            </w:tcMar>
          </w:tcPr>
          <w:p>
            <w:r>
              <w:rPr>
                <w:sz w:val="19"/>
                <w:szCs w:val="19"/>
              </w:rPr>
              <w:t xml:space="preserve">0,293</w:t>
            </w:r>
          </w:p>
        </w:tc>
        <w:tc>
          <w:tcPr>
            <w:tcW w:type="pct" w:w="700"/>
            <w:shd w:fill="FAFCFD" w:val="clear"/>
            <w:tcMar>
              <w:top w:type="dxa" w:w="70"/>
              <w:left w:type="dxa" w:w="120"/>
              <w:bottom w:type="dxa" w:w="70"/>
              <w:right w:type="dxa" w:w="120"/>
            </w:tcMar>
          </w:tcPr>
          <w:p>
            <w:r>
              <w:rPr>
                <w:sz w:val="19"/>
                <w:szCs w:val="19"/>
              </w:rPr>
              <w:t xml:space="preserve">0,544</w:t>
            </w:r>
          </w:p>
        </w:tc>
      </w:tr>
      <w:tr>
        <w:trPr>
          <w:cantSplit/>
        </w:trPr>
        <w:tc>
          <w:tcPr>
            <w:tcW w:type="pct" w:w="550"/>
            <w:shd w:fill="FFFFFF" w:val="clear"/>
            <w:tcMar>
              <w:top w:type="dxa" w:w="70"/>
              <w:left w:type="dxa" w:w="120"/>
              <w:bottom w:type="dxa" w:w="70"/>
              <w:right w:type="dxa" w:w="120"/>
            </w:tcMar>
          </w:tcPr>
          <w:p>
            <w:r>
              <w:rPr>
                <w:sz w:val="19"/>
                <w:szCs w:val="19"/>
              </w:rPr>
              <w:t xml:space="preserve">Empresas</w:t>
            </w:r>
          </w:p>
        </w:tc>
        <w:tc>
          <w:tcPr>
            <w:tcW w:type="pct" w:w="1450"/>
            <w:shd w:fill="FFFFFF" w:val="clear"/>
            <w:tcMar>
              <w:top w:type="dxa" w:w="70"/>
              <w:left w:type="dxa" w:w="120"/>
              <w:bottom w:type="dxa" w:w="70"/>
              <w:right w:type="dxa" w:w="120"/>
            </w:tcMar>
          </w:tcPr>
          <w:p>
            <w:r>
              <w:rPr>
                <w:sz w:val="19"/>
                <w:szCs w:val="19"/>
              </w:rPr>
              <w:t xml:space="preserve">|retorno anormal| del día [0]</w:t>
            </w:r>
          </w:p>
        </w:tc>
        <w:tc>
          <w:tcPr>
            <w:tcW w:type="pct" w:w="450"/>
            <w:shd w:fill="FFFFFF" w:val="clear"/>
            <w:tcMar>
              <w:top w:type="dxa" w:w="70"/>
              <w:left w:type="dxa" w:w="120"/>
              <w:bottom w:type="dxa" w:w="70"/>
              <w:right w:type="dxa" w:w="120"/>
            </w:tcMar>
          </w:tcPr>
          <w:p>
            <w:r>
              <w:rPr>
                <w:sz w:val="19"/>
                <w:szCs w:val="19"/>
              </w:rPr>
              <w:t xml:space="preserve">76</w:t>
            </w:r>
          </w:p>
        </w:tc>
        <w:tc>
          <w:tcPr>
            <w:tcW w:type="pct" w:w="650"/>
            <w:shd w:fill="FFFFFF" w:val="clear"/>
            <w:tcMar>
              <w:top w:type="dxa" w:w="70"/>
              <w:left w:type="dxa" w:w="120"/>
              <w:bottom w:type="dxa" w:w="70"/>
              <w:right w:type="dxa" w:w="120"/>
            </w:tcMar>
          </w:tcPr>
          <w:p>
            <w:r>
              <w:rPr>
                <w:sz w:val="19"/>
                <w:szCs w:val="19"/>
              </w:rPr>
              <w:t xml:space="preserve">1,77%</w:t>
            </w:r>
          </w:p>
        </w:tc>
        <w:tc>
          <w:tcPr>
            <w:tcW w:type="pct" w:w="650"/>
            <w:shd w:fill="FFFFFF" w:val="clear"/>
            <w:tcMar>
              <w:top w:type="dxa" w:w="70"/>
              <w:left w:type="dxa" w:w="120"/>
              <w:bottom w:type="dxa" w:w="70"/>
              <w:right w:type="dxa" w:w="120"/>
            </w:tcMar>
          </w:tcPr>
          <w:p>
            <w:r>
              <w:rPr>
                <w:sz w:val="19"/>
                <w:szCs w:val="19"/>
              </w:rPr>
              <w:t xml:space="preserve">1,61%</w:t>
            </w:r>
          </w:p>
        </w:tc>
        <w:tc>
          <w:tcPr>
            <w:tcW w:type="pct" w:w="550"/>
            <w:shd w:fill="FFFFFF" w:val="clear"/>
            <w:tcMar>
              <w:top w:type="dxa" w:w="70"/>
              <w:left w:type="dxa" w:w="120"/>
              <w:bottom w:type="dxa" w:w="70"/>
              <w:right w:type="dxa" w:w="120"/>
            </w:tcMar>
          </w:tcPr>
          <w:p>
            <w:r>
              <w:rPr>
                <w:sz w:val="19"/>
                <w:szCs w:val="19"/>
              </w:rPr>
              <w:t xml:space="preserve">0,363</w:t>
            </w:r>
          </w:p>
        </w:tc>
        <w:tc>
          <w:tcPr>
            <w:tcW w:type="pct" w:w="700"/>
            <w:shd w:fill="FFFFFF" w:val="clear"/>
            <w:tcMar>
              <w:top w:type="dxa" w:w="70"/>
              <w:left w:type="dxa" w:w="120"/>
              <w:bottom w:type="dxa" w:w="70"/>
              <w:right w:type="dxa" w:w="120"/>
            </w:tcMar>
          </w:tcPr>
          <w:p>
            <w:r>
              <w:rPr>
                <w:sz w:val="19"/>
                <w:szCs w:val="19"/>
              </w:rPr>
              <w:t xml:space="preserve">0,544</w:t>
            </w:r>
          </w:p>
        </w:tc>
      </w:tr>
      <w:tr>
        <w:trPr>
          <w:cantSplit/>
        </w:trPr>
        <w:tc>
          <w:tcPr>
            <w:tcW w:type="pct" w:w="550"/>
            <w:shd w:fill="FAFCFD" w:val="clear"/>
            <w:tcMar>
              <w:top w:type="dxa" w:w="70"/>
              <w:left w:type="dxa" w:w="120"/>
              <w:bottom w:type="dxa" w:w="70"/>
              <w:right w:type="dxa" w:w="120"/>
            </w:tcMar>
          </w:tcPr>
          <w:p>
            <w:r>
              <w:rPr>
                <w:sz w:val="19"/>
                <w:szCs w:val="19"/>
              </w:rPr>
              <w:t xml:space="preserve">Empresas</w:t>
            </w:r>
          </w:p>
        </w:tc>
        <w:tc>
          <w:tcPr>
            <w:tcW w:type="pct" w:w="1450"/>
            <w:shd w:fill="FAFCFD" w:val="clear"/>
            <w:tcMar>
              <w:top w:type="dxa" w:w="70"/>
              <w:left w:type="dxa" w:w="120"/>
              <w:bottom w:type="dxa" w:w="70"/>
              <w:right w:type="dxa" w:w="120"/>
            </w:tcMar>
          </w:tcPr>
          <w:p>
            <w:r>
              <w:rPr>
                <w:sz w:val="19"/>
                <w:szCs w:val="19"/>
              </w:rPr>
              <w:t xml:space="preserve">Volumen anormal día [0]</w:t>
            </w:r>
          </w:p>
        </w:tc>
        <w:tc>
          <w:tcPr>
            <w:tcW w:type="pct" w:w="450"/>
            <w:shd w:fill="FAFCFD" w:val="clear"/>
            <w:tcMar>
              <w:top w:type="dxa" w:w="70"/>
              <w:left w:type="dxa" w:w="120"/>
              <w:bottom w:type="dxa" w:w="70"/>
              <w:right w:type="dxa" w:w="120"/>
            </w:tcMar>
          </w:tcPr>
          <w:p>
            <w:r>
              <w:rPr>
                <w:sz w:val="19"/>
                <w:szCs w:val="19"/>
              </w:rPr>
              <w:t xml:space="preserve">76</w:t>
            </w:r>
          </w:p>
        </w:tc>
        <w:tc>
          <w:tcPr>
            <w:tcW w:type="pct" w:w="650"/>
            <w:shd w:fill="FAFCFD" w:val="clear"/>
            <w:tcMar>
              <w:top w:type="dxa" w:w="70"/>
              <w:left w:type="dxa" w:w="120"/>
              <w:bottom w:type="dxa" w:w="70"/>
              <w:right w:type="dxa" w:w="120"/>
            </w:tcMar>
          </w:tcPr>
          <w:p>
            <w:r>
              <w:rPr>
                <w:sz w:val="19"/>
                <w:szCs w:val="19"/>
              </w:rPr>
              <w:t xml:space="preserve">0,105</w:t>
            </w:r>
          </w:p>
        </w:tc>
        <w:tc>
          <w:tcPr>
            <w:tcW w:type="pct" w:w="650"/>
            <w:shd w:fill="FAFCFD" w:val="clear"/>
            <w:tcMar>
              <w:top w:type="dxa" w:w="70"/>
              <w:left w:type="dxa" w:w="120"/>
              <w:bottom w:type="dxa" w:w="70"/>
              <w:right w:type="dxa" w:w="120"/>
            </w:tcMar>
          </w:tcPr>
          <w:p>
            <w:r>
              <w:rPr>
                <w:sz w:val="19"/>
                <w:szCs w:val="19"/>
              </w:rPr>
              <w:t xml:space="preserve">-0,054</w:t>
            </w:r>
          </w:p>
        </w:tc>
        <w:tc>
          <w:tcPr>
            <w:tcW w:type="pct" w:w="550"/>
            <w:shd w:fill="FAFCFD" w:val="clear"/>
            <w:tcMar>
              <w:top w:type="dxa" w:w="70"/>
              <w:left w:type="dxa" w:w="120"/>
              <w:bottom w:type="dxa" w:w="70"/>
              <w:right w:type="dxa" w:w="120"/>
            </w:tcMar>
          </w:tcPr>
          <w:p>
            <w:r>
              <w:rPr>
                <w:sz w:val="19"/>
                <w:szCs w:val="19"/>
              </w:rPr>
              <w:t xml:space="preserve">0,018</w:t>
            </w:r>
          </w:p>
        </w:tc>
        <w:tc>
          <w:tcPr>
            <w:tcW w:type="pct" w:w="700"/>
            <w:shd w:fill="FAFCFD" w:val="clear"/>
            <w:tcMar>
              <w:top w:type="dxa" w:w="70"/>
              <w:left w:type="dxa" w:w="120"/>
              <w:bottom w:type="dxa" w:w="70"/>
              <w:right w:type="dxa" w:w="120"/>
            </w:tcMar>
          </w:tcPr>
          <w:p>
            <w:r>
              <w:rPr>
                <w:sz w:val="19"/>
                <w:szCs w:val="19"/>
              </w:rPr>
              <w:t xml:space="preserve">0,053</w:t>
            </w:r>
          </w:p>
        </w:tc>
      </w:tr>
    </w:tbl>
    <w:p>
      <w:pPr>
        <w:spacing w:after="160" w:line="300"/>
      </w:pPr>
      <w:r>
        <w:rPr>
          <w:i/>
          <w:iCs/>
          <w:color w:val="5C6B7A"/>
          <w:sz w:val="18"/>
          <w:szCs w:val="18"/>
        </w:rPr>
        <w:t xml:space="preserve">Salto de apertura anormal. Mercado: apertura sobre cierre anterior del promedio de las 47, menos su promedio habitual. Empresa: su salto menos el del promedio de las 47. p corregido: Benjamini-Hochberg sobre estas 6 pruebas.</w:t>
      </w:r>
    </w:p>
    <w:p>
      <w:pPr>
        <w:spacing w:after="160" w:line="300"/>
        <w:ind w:left="360" w:hanging="240"/>
      </w:pPr>
      <w:r>
        <w:t xml:space="preserve">•  </w:t>
      </w:r>
      <w:r>
        <w:rPr>
          <w:b/>
          <w:bCs/>
        </w:rPr>
        <w:t xml:space="preserve">Empresas: </w:t>
      </w:r>
      <w:r>
        <w:t xml:space="preserve">el salto de apertura no es mayor que en un día cualquiera (0,82% contra 0,72%; p corregido 0,544). El volumen del día sí tiende a ser mayor (p corregido 0,053).</w:t>
      </w:r>
    </w:p>
    <w:p>
      <w:pPr>
        <w:spacing w:after="160" w:line="300"/>
        <w:ind w:left="360" w:hanging="240"/>
      </w:pPr>
      <w:r>
        <w:t xml:space="preserve">•  </w:t>
      </w:r>
      <w:r>
        <w:rPr>
          <w:b/>
          <w:bCs/>
        </w:rPr>
        <w:t xml:space="preserve">Mercado: </w:t>
      </w:r>
      <w:r>
        <w:t xml:space="preserve">el salto de apertura es mayor (0,95% contra 0,33%; p corregido 0,022), pero con solo 5 eventos y apoyado en un día: sacando el 24/09/2025, el promedio baja a 0,59% y el p sube a 0,093.</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2891"/>
        <w:gridCol w:w="1928"/>
        <w:gridCol w:w="2410"/>
        <w:gridCol w:w="2410"/>
      </w:tblGrid>
      <w:tr>
        <w:trPr>
          <w:tblHeader/>
        </w:trPr>
        <w:tc>
          <w:tcPr>
            <w:tcW w:type="pct" w:w="1500"/>
            <w:shd w:fill="1C3A5C" w:val="clear"/>
            <w:tcMar>
              <w:top w:type="dxa" w:w="80"/>
              <w:left w:type="dxa" w:w="120"/>
              <w:bottom w:type="dxa" w:w="80"/>
              <w:right w:type="dxa" w:w="120"/>
            </w:tcMar>
          </w:tcPr>
          <w:p>
            <w:r>
              <w:rPr>
                <w:b/>
                <w:bCs/>
                <w:color w:val="FFFFFF"/>
                <w:sz w:val="19"/>
                <w:szCs w:val="19"/>
              </w:rPr>
              <w:t xml:space="preserve">Sin el evento</w:t>
            </w:r>
          </w:p>
        </w:tc>
        <w:tc>
          <w:tcPr>
            <w:tcW w:type="pct" w:w="1000"/>
            <w:shd w:fill="1C3A5C" w:val="clear"/>
            <w:tcMar>
              <w:top w:type="dxa" w:w="80"/>
              <w:left w:type="dxa" w:w="120"/>
              <w:bottom w:type="dxa" w:w="80"/>
              <w:right w:type="dxa" w:w="120"/>
            </w:tcMar>
          </w:tcPr>
          <w:p>
            <w:r>
              <w:rPr>
                <w:b/>
                <w:bCs/>
                <w:color w:val="FFFFFF"/>
                <w:sz w:val="19"/>
                <w:szCs w:val="19"/>
              </w:rPr>
              <w:t xml:space="preserve">Eventos</w:t>
            </w:r>
          </w:p>
        </w:tc>
        <w:tc>
          <w:tcPr>
            <w:tcW w:type="pct" w:w="1250"/>
            <w:shd w:fill="1C3A5C" w:val="clear"/>
            <w:tcMar>
              <w:top w:type="dxa" w:w="80"/>
              <w:left w:type="dxa" w:w="120"/>
              <w:bottom w:type="dxa" w:w="80"/>
              <w:right w:type="dxa" w:w="120"/>
            </w:tcMar>
          </w:tcPr>
          <w:p>
            <w:r>
              <w:rPr>
                <w:b/>
                <w:bCs/>
                <w:color w:val="FFFFFF"/>
                <w:sz w:val="19"/>
                <w:szCs w:val="19"/>
              </w:rPr>
              <w:t xml:space="preserve">Salto promedio</w:t>
            </w:r>
          </w:p>
        </w:tc>
        <w:tc>
          <w:tcPr>
            <w:tcW w:type="pct" w:w="1250"/>
            <w:shd w:fill="1C3A5C" w:val="clear"/>
            <w:tcMar>
              <w:top w:type="dxa" w:w="80"/>
              <w:left w:type="dxa" w:w="120"/>
              <w:bottom w:type="dxa" w:w="80"/>
              <w:right w:type="dxa" w:w="120"/>
            </w:tcMar>
          </w:tcPr>
          <w:p>
            <w:r>
              <w:rPr>
                <w:b/>
                <w:bCs/>
                <w:color w:val="FFFFFF"/>
                <w:sz w:val="19"/>
                <w:szCs w:val="19"/>
              </w:rPr>
              <w:t xml:space="preserve">p (azar)</w:t>
            </w:r>
          </w:p>
        </w:tc>
      </w:tr>
      <w:tr>
        <w:trPr>
          <w:cantSplit/>
        </w:trPr>
        <w:tc>
          <w:tcPr>
            <w:tcW w:type="pct" w:w="1500"/>
            <w:shd w:fill="FFFFFF" w:val="clear"/>
            <w:tcMar>
              <w:top w:type="dxa" w:w="70"/>
              <w:left w:type="dxa" w:w="120"/>
              <w:bottom w:type="dxa" w:w="70"/>
              <w:right w:type="dxa" w:w="120"/>
            </w:tcMar>
          </w:tcPr>
          <w:p>
            <w:r>
              <w:rPr>
                <w:sz w:val="19"/>
                <w:szCs w:val="19"/>
              </w:rPr>
              <w:t xml:space="preserve">13/06/2025</w:t>
            </w:r>
          </w:p>
        </w:tc>
        <w:tc>
          <w:tcPr>
            <w:tcW w:type="pct" w:w="1000"/>
            <w:shd w:fill="FFFFFF" w:val="clear"/>
            <w:tcMar>
              <w:top w:type="dxa" w:w="70"/>
              <w:left w:type="dxa" w:w="120"/>
              <w:bottom w:type="dxa" w:w="70"/>
              <w:right w:type="dxa" w:w="120"/>
            </w:tcMar>
          </w:tcPr>
          <w:p>
            <w:r>
              <w:rPr>
                <w:sz w:val="19"/>
                <w:szCs w:val="19"/>
              </w:rPr>
              <w:t xml:space="preserve">4</w:t>
            </w:r>
          </w:p>
        </w:tc>
        <w:tc>
          <w:tcPr>
            <w:tcW w:type="pct" w:w="1250"/>
            <w:shd w:fill="FFFFFF" w:val="clear"/>
            <w:tcMar>
              <w:top w:type="dxa" w:w="70"/>
              <w:left w:type="dxa" w:w="120"/>
              <w:bottom w:type="dxa" w:w="70"/>
              <w:right w:type="dxa" w:w="120"/>
            </w:tcMar>
          </w:tcPr>
          <w:p>
            <w:r>
              <w:rPr>
                <w:sz w:val="19"/>
                <w:szCs w:val="19"/>
              </w:rPr>
              <w:t xml:space="preserve">1,01%</w:t>
            </w:r>
          </w:p>
        </w:tc>
        <w:tc>
          <w:tcPr>
            <w:tcW w:type="pct" w:w="1250"/>
            <w:shd w:fill="FFFFFF" w:val="clear"/>
            <w:tcMar>
              <w:top w:type="dxa" w:w="70"/>
              <w:left w:type="dxa" w:w="120"/>
              <w:bottom w:type="dxa" w:w="70"/>
              <w:right w:type="dxa" w:w="120"/>
            </w:tcMar>
          </w:tcPr>
          <w:p>
            <w:r>
              <w:rPr>
                <w:sz w:val="19"/>
                <w:szCs w:val="19"/>
              </w:rPr>
              <w:t xml:space="preserve">0,004</w:t>
            </w:r>
          </w:p>
        </w:tc>
      </w:tr>
      <w:tr>
        <w:trPr>
          <w:cantSplit/>
        </w:trPr>
        <w:tc>
          <w:tcPr>
            <w:tcW w:type="pct" w:w="1500"/>
            <w:shd w:fill="FAFCFD" w:val="clear"/>
            <w:tcMar>
              <w:top w:type="dxa" w:w="70"/>
              <w:left w:type="dxa" w:w="120"/>
              <w:bottom w:type="dxa" w:w="70"/>
              <w:right w:type="dxa" w:w="120"/>
            </w:tcMar>
          </w:tcPr>
          <w:p>
            <w:r>
              <w:rPr>
                <w:sz w:val="19"/>
                <w:szCs w:val="19"/>
              </w:rPr>
              <w:t xml:space="preserve">01/07/2025</w:t>
            </w:r>
          </w:p>
        </w:tc>
        <w:tc>
          <w:tcPr>
            <w:tcW w:type="pct" w:w="1000"/>
            <w:shd w:fill="FAFCFD" w:val="clear"/>
            <w:tcMar>
              <w:top w:type="dxa" w:w="70"/>
              <w:left w:type="dxa" w:w="120"/>
              <w:bottom w:type="dxa" w:w="70"/>
              <w:right w:type="dxa" w:w="120"/>
            </w:tcMar>
          </w:tcPr>
          <w:p>
            <w:r>
              <w:rPr>
                <w:sz w:val="19"/>
                <w:szCs w:val="19"/>
              </w:rPr>
              <w:t xml:space="preserve">4</w:t>
            </w:r>
          </w:p>
        </w:tc>
        <w:tc>
          <w:tcPr>
            <w:tcW w:type="pct" w:w="1250"/>
            <w:shd w:fill="FAFCFD" w:val="clear"/>
            <w:tcMar>
              <w:top w:type="dxa" w:w="70"/>
              <w:left w:type="dxa" w:w="120"/>
              <w:bottom w:type="dxa" w:w="70"/>
              <w:right w:type="dxa" w:w="120"/>
            </w:tcMar>
          </w:tcPr>
          <w:p>
            <w:r>
              <w:rPr>
                <w:sz w:val="19"/>
                <w:szCs w:val="19"/>
              </w:rPr>
              <w:t xml:space="preserve">1,03%</w:t>
            </w:r>
          </w:p>
        </w:tc>
        <w:tc>
          <w:tcPr>
            <w:tcW w:type="pct" w:w="1250"/>
            <w:shd w:fill="FAFCFD" w:val="clear"/>
            <w:tcMar>
              <w:top w:type="dxa" w:w="70"/>
              <w:left w:type="dxa" w:w="120"/>
              <w:bottom w:type="dxa" w:w="70"/>
              <w:right w:type="dxa" w:w="120"/>
            </w:tcMar>
          </w:tcPr>
          <w:p>
            <w:r>
              <w:rPr>
                <w:sz w:val="19"/>
                <w:szCs w:val="19"/>
              </w:rPr>
              <w:t xml:space="preserve">0,005</w:t>
            </w:r>
          </w:p>
        </w:tc>
      </w:tr>
      <w:tr>
        <w:trPr>
          <w:cantSplit/>
        </w:trPr>
        <w:tc>
          <w:tcPr>
            <w:tcW w:type="pct" w:w="1500"/>
            <w:shd w:fill="FFFFFF" w:val="clear"/>
            <w:tcMar>
              <w:top w:type="dxa" w:w="70"/>
              <w:left w:type="dxa" w:w="120"/>
              <w:bottom w:type="dxa" w:w="70"/>
              <w:right w:type="dxa" w:w="120"/>
            </w:tcMar>
          </w:tcPr>
          <w:p>
            <w:r>
              <w:rPr>
                <w:sz w:val="19"/>
                <w:szCs w:val="19"/>
              </w:rPr>
              <w:t xml:space="preserve">18/07/2025</w:t>
            </w:r>
          </w:p>
        </w:tc>
        <w:tc>
          <w:tcPr>
            <w:tcW w:type="pct" w:w="1000"/>
            <w:shd w:fill="FFFFFF" w:val="clear"/>
            <w:tcMar>
              <w:top w:type="dxa" w:w="70"/>
              <w:left w:type="dxa" w:w="120"/>
              <w:bottom w:type="dxa" w:w="70"/>
              <w:right w:type="dxa" w:w="120"/>
            </w:tcMar>
          </w:tcPr>
          <w:p>
            <w:r>
              <w:rPr>
                <w:sz w:val="19"/>
                <w:szCs w:val="19"/>
              </w:rPr>
              <w:t xml:space="preserve">4</w:t>
            </w:r>
          </w:p>
        </w:tc>
        <w:tc>
          <w:tcPr>
            <w:tcW w:type="pct" w:w="1250"/>
            <w:shd w:fill="FFFFFF" w:val="clear"/>
            <w:tcMar>
              <w:top w:type="dxa" w:w="70"/>
              <w:left w:type="dxa" w:w="120"/>
              <w:bottom w:type="dxa" w:w="70"/>
              <w:right w:type="dxa" w:w="120"/>
            </w:tcMar>
          </w:tcPr>
          <w:p>
            <w:r>
              <w:rPr>
                <w:sz w:val="19"/>
                <w:szCs w:val="19"/>
              </w:rPr>
              <w:t xml:space="preserve">1,09%</w:t>
            </w:r>
          </w:p>
        </w:tc>
        <w:tc>
          <w:tcPr>
            <w:tcW w:type="pct" w:w="1250"/>
            <w:shd w:fill="FFFFFF" w:val="clear"/>
            <w:tcMar>
              <w:top w:type="dxa" w:w="70"/>
              <w:left w:type="dxa" w:w="120"/>
              <w:bottom w:type="dxa" w:w="70"/>
              <w:right w:type="dxa" w:w="120"/>
            </w:tcMar>
          </w:tcPr>
          <w:p>
            <w:r>
              <w:rPr>
                <w:sz w:val="19"/>
                <w:szCs w:val="19"/>
              </w:rPr>
              <w:t xml:space="preserve">0,002</w:t>
            </w:r>
          </w:p>
        </w:tc>
      </w:tr>
      <w:tr>
        <w:trPr>
          <w:cantSplit/>
        </w:trPr>
        <w:tc>
          <w:tcPr>
            <w:tcW w:type="pct" w:w="1500"/>
            <w:shd w:fill="FAFCFD" w:val="clear"/>
            <w:tcMar>
              <w:top w:type="dxa" w:w="70"/>
              <w:left w:type="dxa" w:w="120"/>
              <w:bottom w:type="dxa" w:w="70"/>
              <w:right w:type="dxa" w:w="120"/>
            </w:tcMar>
          </w:tcPr>
          <w:p>
            <w:r>
              <w:rPr>
                <w:sz w:val="19"/>
                <w:szCs w:val="19"/>
              </w:rPr>
              <w:t xml:space="preserve">24/09/2025</w:t>
            </w:r>
          </w:p>
        </w:tc>
        <w:tc>
          <w:tcPr>
            <w:tcW w:type="pct" w:w="1000"/>
            <w:shd w:fill="FAFCFD" w:val="clear"/>
            <w:tcMar>
              <w:top w:type="dxa" w:w="70"/>
              <w:left w:type="dxa" w:w="120"/>
              <w:bottom w:type="dxa" w:w="70"/>
              <w:right w:type="dxa" w:w="120"/>
            </w:tcMar>
          </w:tcPr>
          <w:p>
            <w:r>
              <w:rPr>
                <w:sz w:val="19"/>
                <w:szCs w:val="19"/>
              </w:rPr>
              <w:t xml:space="preserve">4</w:t>
            </w:r>
          </w:p>
        </w:tc>
        <w:tc>
          <w:tcPr>
            <w:tcW w:type="pct" w:w="1250"/>
            <w:shd w:fill="FAFCFD" w:val="clear"/>
            <w:tcMar>
              <w:top w:type="dxa" w:w="70"/>
              <w:left w:type="dxa" w:w="120"/>
              <w:bottom w:type="dxa" w:w="70"/>
              <w:right w:type="dxa" w:w="120"/>
            </w:tcMar>
          </w:tcPr>
          <w:p>
            <w:r>
              <w:rPr>
                <w:sz w:val="19"/>
                <w:szCs w:val="19"/>
              </w:rPr>
              <w:t xml:space="preserve">0,59%</w:t>
            </w:r>
          </w:p>
        </w:tc>
        <w:tc>
          <w:tcPr>
            <w:tcW w:type="pct" w:w="1250"/>
            <w:shd w:fill="FAFCFD" w:val="clear"/>
            <w:tcMar>
              <w:top w:type="dxa" w:w="70"/>
              <w:left w:type="dxa" w:w="120"/>
              <w:bottom w:type="dxa" w:w="70"/>
              <w:right w:type="dxa" w:w="120"/>
            </w:tcMar>
          </w:tcPr>
          <w:p>
            <w:r>
              <w:rPr>
                <w:sz w:val="19"/>
                <w:szCs w:val="19"/>
              </w:rPr>
              <w:t xml:space="preserve">0,093</w:t>
            </w:r>
          </w:p>
        </w:tc>
      </w:tr>
      <w:tr>
        <w:trPr>
          <w:cantSplit/>
        </w:trPr>
        <w:tc>
          <w:tcPr>
            <w:tcW w:type="pct" w:w="1500"/>
            <w:shd w:fill="FFFFFF" w:val="clear"/>
            <w:tcMar>
              <w:top w:type="dxa" w:w="70"/>
              <w:left w:type="dxa" w:w="120"/>
              <w:bottom w:type="dxa" w:w="70"/>
              <w:right w:type="dxa" w:w="120"/>
            </w:tcMar>
          </w:tcPr>
          <w:p>
            <w:r>
              <w:rPr>
                <w:sz w:val="19"/>
                <w:szCs w:val="19"/>
              </w:rPr>
              <w:t xml:space="preserve">01/10/2025</w:t>
            </w:r>
          </w:p>
        </w:tc>
        <w:tc>
          <w:tcPr>
            <w:tcW w:type="pct" w:w="1000"/>
            <w:shd w:fill="FFFFFF" w:val="clear"/>
            <w:tcMar>
              <w:top w:type="dxa" w:w="70"/>
              <w:left w:type="dxa" w:w="120"/>
              <w:bottom w:type="dxa" w:w="70"/>
              <w:right w:type="dxa" w:w="120"/>
            </w:tcMar>
          </w:tcPr>
          <w:p>
            <w:r>
              <w:rPr>
                <w:sz w:val="19"/>
                <w:szCs w:val="19"/>
              </w:rPr>
              <w:t xml:space="preserve">4</w:t>
            </w:r>
          </w:p>
        </w:tc>
        <w:tc>
          <w:tcPr>
            <w:tcW w:type="pct" w:w="1250"/>
            <w:shd w:fill="FFFFFF" w:val="clear"/>
            <w:tcMar>
              <w:top w:type="dxa" w:w="70"/>
              <w:left w:type="dxa" w:w="120"/>
              <w:bottom w:type="dxa" w:w="70"/>
              <w:right w:type="dxa" w:w="120"/>
            </w:tcMar>
          </w:tcPr>
          <w:p>
            <w:r>
              <w:rPr>
                <w:sz w:val="19"/>
                <w:szCs w:val="19"/>
              </w:rPr>
              <w:t xml:space="preserve">1,03%</w:t>
            </w:r>
          </w:p>
        </w:tc>
        <w:tc>
          <w:tcPr>
            <w:tcW w:type="pct" w:w="1250"/>
            <w:shd w:fill="FFFFFF" w:val="clear"/>
            <w:tcMar>
              <w:top w:type="dxa" w:w="70"/>
              <w:left w:type="dxa" w:w="120"/>
              <w:bottom w:type="dxa" w:w="70"/>
              <w:right w:type="dxa" w:w="120"/>
            </w:tcMar>
          </w:tcPr>
          <w:p>
            <w:r>
              <w:rPr>
                <w:sz w:val="19"/>
                <w:szCs w:val="19"/>
              </w:rPr>
              <w:t xml:space="preserve">0,005</w:t>
            </w:r>
          </w:p>
        </w:tc>
      </w:tr>
    </w:tbl>
    <w:p>
      <w:pPr>
        <w:spacing w:after="160" w:line="300"/>
      </w:pPr>
      <w:r>
        <w:t xml:space="preserve">El 24/09/2025 es el día del anuncio de apoyo financiero del Tesoro de Estados Unidos. Es el mismo patrón que U6b con las elecciones: un hecho grande genera muchas noticias y mueve el precio, pero lo que mueve al mercado es el hecho, no la cantidad de cobertura.</w:t>
      </w:r>
    </w:p>
    <w:p>
      <w:pPr>
        <w:pStyle w:val="Heading1"/>
        <w:keepNext/>
        <w:spacing w:after="160" w:before="360"/>
      </w:pPr>
      <w:r>
        <w:t xml:space="preserve">5. Análisis secundarios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470"/>
        <w:gridCol w:w="1253"/>
        <w:gridCol w:w="1060"/>
        <w:gridCol w:w="1928"/>
        <w:gridCol w:w="1928"/>
      </w:tblGrid>
      <w:tr>
        <w:trPr>
          <w:tblHeader/>
        </w:trPr>
        <w:tc>
          <w:tcPr>
            <w:tcW w:type="pct" w:w="1800"/>
            <w:shd w:fill="1C3A5C" w:val="clear"/>
            <w:tcMar>
              <w:top w:type="dxa" w:w="80"/>
              <w:left w:type="dxa" w:w="120"/>
              <w:bottom w:type="dxa" w:w="80"/>
              <w:right w:type="dxa" w:w="120"/>
            </w:tcMar>
          </w:tcPr>
          <w:p>
            <w:r>
              <w:rPr>
                <w:b/>
                <w:bCs/>
                <w:color w:val="FFFFFF"/>
                <w:sz w:val="19"/>
                <w:szCs w:val="19"/>
              </w:rPr>
              <w:t xml:space="preserve">Análisis</w:t>
            </w:r>
          </w:p>
        </w:tc>
        <w:tc>
          <w:tcPr>
            <w:tcW w:type="pct" w:w="650"/>
            <w:shd w:fill="1C3A5C" w:val="clear"/>
            <w:tcMar>
              <w:top w:type="dxa" w:w="80"/>
              <w:left w:type="dxa" w:w="120"/>
              <w:bottom w:type="dxa" w:w="80"/>
              <w:right w:type="dxa" w:w="120"/>
            </w:tcMar>
          </w:tcPr>
          <w:p>
            <w:r>
              <w:rPr>
                <w:b/>
                <w:bCs/>
                <w:color w:val="FFFFFF"/>
                <w:sz w:val="19"/>
                <w:szCs w:val="19"/>
              </w:rPr>
              <w:t xml:space="preserve">Nivel</w:t>
            </w:r>
          </w:p>
        </w:tc>
        <w:tc>
          <w:tcPr>
            <w:tcW w:type="pct" w:w="550"/>
            <w:shd w:fill="1C3A5C" w:val="clear"/>
            <w:tcMar>
              <w:top w:type="dxa" w:w="80"/>
              <w:left w:type="dxa" w:w="120"/>
              <w:bottom w:type="dxa" w:w="80"/>
              <w:right w:type="dxa" w:w="120"/>
            </w:tcMar>
          </w:tcPr>
          <w:p>
            <w:r>
              <w:rPr>
                <w:b/>
                <w:bCs/>
                <w:color w:val="FFFFFF"/>
                <w:sz w:val="19"/>
                <w:szCs w:val="19"/>
              </w:rPr>
              <w:t xml:space="preserve">Eventos</w:t>
            </w:r>
          </w:p>
        </w:tc>
        <w:tc>
          <w:tcPr>
            <w:tcW w:type="pct" w:w="1000"/>
            <w:shd w:fill="1C3A5C" w:val="clear"/>
            <w:tcMar>
              <w:top w:type="dxa" w:w="80"/>
              <w:left w:type="dxa" w:w="120"/>
              <w:bottom w:type="dxa" w:w="80"/>
              <w:right w:type="dxa" w:w="120"/>
            </w:tcMar>
          </w:tcPr>
          <w:p>
            <w:r>
              <w:rPr>
                <w:b/>
                <w:bCs/>
                <w:color w:val="FFFFFF"/>
                <w:sz w:val="19"/>
                <w:szCs w:val="19"/>
              </w:rPr>
              <w:t xml:space="preserve">|retorno anormal| del día: p (azar)</w:t>
            </w:r>
          </w:p>
        </w:tc>
        <w:tc>
          <w:tcPr>
            <w:tcW w:type="pct" w:w="1000"/>
            <w:shd w:fill="1C3A5C" w:val="clear"/>
            <w:tcMar>
              <w:top w:type="dxa" w:w="80"/>
              <w:left w:type="dxa" w:w="120"/>
              <w:bottom w:type="dxa" w:w="80"/>
              <w:right w:type="dxa" w:w="120"/>
            </w:tcMar>
          </w:tcPr>
          <w:p>
            <w:r>
              <w:rPr>
                <w:b/>
                <w:bCs/>
                <w:color w:val="FFFFFF"/>
                <w:sz w:val="19"/>
                <w:szCs w:val="19"/>
              </w:rPr>
              <w:t xml:space="preserve">Volumen del día: p (azar)</w:t>
            </w:r>
          </w:p>
        </w:tc>
      </w:tr>
      <w:tr>
        <w:trPr>
          <w:cantSplit/>
        </w:trPr>
        <w:tc>
          <w:tcPr>
            <w:tcW w:type="pct" w:w="1800"/>
            <w:shd w:fill="FFFFFF" w:val="clear"/>
            <w:tcMar>
              <w:top w:type="dxa" w:w="70"/>
              <w:left w:type="dxa" w:w="120"/>
              <w:bottom w:type="dxa" w:w="70"/>
              <w:right w:type="dxa" w:w="120"/>
            </w:tcMar>
          </w:tcPr>
          <w:p>
            <w:r>
              <w:rPr>
                <w:sz w:val="19"/>
                <w:szCs w:val="19"/>
              </w:rPr>
              <w:t xml:space="preserve">Según el tono (tono &gt; 0)</w:t>
            </w:r>
          </w:p>
        </w:tc>
        <w:tc>
          <w:tcPr>
            <w:tcW w:type="pct" w:w="650"/>
            <w:shd w:fill="FFFFFF" w:val="clear"/>
            <w:tcMar>
              <w:top w:type="dxa" w:w="70"/>
              <w:left w:type="dxa" w:w="120"/>
              <w:bottom w:type="dxa" w:w="70"/>
              <w:right w:type="dxa" w:w="120"/>
            </w:tcMar>
          </w:tcPr>
          <w:p>
            <w:r>
              <w:rPr>
                <w:sz w:val="19"/>
                <w:szCs w:val="19"/>
              </w:rPr>
              <w:t xml:space="preserve">Mercado</w:t>
            </w:r>
          </w:p>
        </w:tc>
        <w:tc>
          <w:tcPr>
            <w:tcW w:type="pct" w:w="550"/>
            <w:shd w:fill="FFFFFF" w:val="clear"/>
            <w:tcMar>
              <w:top w:type="dxa" w:w="70"/>
              <w:left w:type="dxa" w:w="120"/>
              <w:bottom w:type="dxa" w:w="70"/>
              <w:right w:type="dxa" w:w="120"/>
            </w:tcMar>
          </w:tcPr>
          <w:p>
            <w:r>
              <w:rPr>
                <w:sz w:val="19"/>
                <w:szCs w:val="19"/>
              </w:rPr>
              <w:t xml:space="preserve">3</w:t>
            </w:r>
          </w:p>
        </w:tc>
        <w:tc>
          <w:tcPr>
            <w:tcW w:type="pct" w:w="1000"/>
            <w:shd w:fill="FFFFFF" w:val="clear"/>
            <w:tcMar>
              <w:top w:type="dxa" w:w="70"/>
              <w:left w:type="dxa" w:w="120"/>
              <w:bottom w:type="dxa" w:w="70"/>
              <w:right w:type="dxa" w:w="120"/>
            </w:tcMar>
          </w:tcPr>
          <w:p>
            <w:r>
              <w:rPr>
                <w:sz w:val="19"/>
                <w:szCs w:val="19"/>
              </w:rPr>
              <w:t xml:space="preserve">0,903</w:t>
            </w:r>
          </w:p>
        </w:tc>
        <w:tc>
          <w:tcPr>
            <w:tcW w:type="pct" w:w="1000"/>
            <w:shd w:fill="FFFFFF" w:val="clear"/>
            <w:tcMar>
              <w:top w:type="dxa" w:w="70"/>
              <w:left w:type="dxa" w:w="120"/>
              <w:bottom w:type="dxa" w:w="70"/>
              <w:right w:type="dxa" w:w="120"/>
            </w:tcMar>
          </w:tcPr>
          <w:p>
            <w:r>
              <w:rPr>
                <w:sz w:val="19"/>
                <w:szCs w:val="19"/>
              </w:rPr>
              <w:t xml:space="preserve">0,547</w:t>
            </w:r>
          </w:p>
        </w:tc>
      </w:tr>
      <w:tr>
        <w:trPr>
          <w:cantSplit/>
        </w:trPr>
        <w:tc>
          <w:tcPr>
            <w:tcW w:type="pct" w:w="1800"/>
            <w:shd w:fill="FAFCFD" w:val="clear"/>
            <w:tcMar>
              <w:top w:type="dxa" w:w="70"/>
              <w:left w:type="dxa" w:w="120"/>
              <w:bottom w:type="dxa" w:w="70"/>
              <w:right w:type="dxa" w:w="120"/>
            </w:tcMar>
          </w:tcPr>
          <w:p>
            <w:r>
              <w:rPr>
                <w:sz w:val="19"/>
                <w:szCs w:val="19"/>
              </w:rPr>
              <w:t xml:space="preserve">Según el tono (tono &gt; 0)</w:t>
            </w:r>
          </w:p>
        </w:tc>
        <w:tc>
          <w:tcPr>
            <w:tcW w:type="pct" w:w="650"/>
            <w:shd w:fill="FAFCFD" w:val="clear"/>
            <w:tcMar>
              <w:top w:type="dxa" w:w="70"/>
              <w:left w:type="dxa" w:w="120"/>
              <w:bottom w:type="dxa" w:w="70"/>
              <w:right w:type="dxa" w:w="120"/>
            </w:tcMar>
          </w:tcPr>
          <w:p>
            <w:r>
              <w:rPr>
                <w:sz w:val="19"/>
                <w:szCs w:val="19"/>
              </w:rPr>
              <w:t xml:space="preserve">Empresas</w:t>
            </w:r>
          </w:p>
        </w:tc>
        <w:tc>
          <w:tcPr>
            <w:tcW w:type="pct" w:w="550"/>
            <w:shd w:fill="FAFCFD" w:val="clear"/>
            <w:tcMar>
              <w:top w:type="dxa" w:w="70"/>
              <w:left w:type="dxa" w:w="120"/>
              <w:bottom w:type="dxa" w:w="70"/>
              <w:right w:type="dxa" w:w="120"/>
            </w:tcMar>
          </w:tcPr>
          <w:p>
            <w:r>
              <w:rPr>
                <w:sz w:val="19"/>
                <w:szCs w:val="19"/>
              </w:rPr>
              <w:t xml:space="preserve">59</w:t>
            </w:r>
          </w:p>
        </w:tc>
        <w:tc>
          <w:tcPr>
            <w:tcW w:type="pct" w:w="1000"/>
            <w:shd w:fill="FAFCFD" w:val="clear"/>
            <w:tcMar>
              <w:top w:type="dxa" w:w="70"/>
              <w:left w:type="dxa" w:w="120"/>
              <w:bottom w:type="dxa" w:w="70"/>
              <w:right w:type="dxa" w:w="120"/>
            </w:tcMar>
          </w:tcPr>
          <w:p>
            <w:r>
              <w:rPr>
                <w:sz w:val="19"/>
                <w:szCs w:val="19"/>
              </w:rPr>
              <w:t xml:space="preserve">0,192</w:t>
            </w:r>
          </w:p>
        </w:tc>
        <w:tc>
          <w:tcPr>
            <w:tcW w:type="pct" w:w="1000"/>
            <w:shd w:fill="FAFCFD" w:val="clear"/>
            <w:tcMar>
              <w:top w:type="dxa" w:w="70"/>
              <w:left w:type="dxa" w:w="120"/>
              <w:bottom w:type="dxa" w:w="70"/>
              <w:right w:type="dxa" w:w="120"/>
            </w:tcMar>
          </w:tcPr>
          <w:p>
            <w:r>
              <w:rPr>
                <w:sz w:val="19"/>
                <w:szCs w:val="19"/>
              </w:rPr>
              <w:t xml:space="preserve">0,106</w:t>
            </w:r>
          </w:p>
        </w:tc>
      </w:tr>
      <w:tr>
        <w:trPr>
          <w:cantSplit/>
        </w:trPr>
        <w:tc>
          <w:tcPr>
            <w:tcW w:type="pct" w:w="1800"/>
            <w:shd w:fill="FFFFFF" w:val="clear"/>
            <w:tcMar>
              <w:top w:type="dxa" w:w="70"/>
              <w:left w:type="dxa" w:w="120"/>
              <w:bottom w:type="dxa" w:w="70"/>
              <w:right w:type="dxa" w:w="120"/>
            </w:tcMar>
          </w:tcPr>
          <w:p>
            <w:r>
              <w:rPr>
                <w:sz w:val="19"/>
                <w:szCs w:val="19"/>
              </w:rPr>
              <w:t xml:space="preserve">Según el tono (tono &lt; 0)</w:t>
            </w:r>
          </w:p>
        </w:tc>
        <w:tc>
          <w:tcPr>
            <w:tcW w:type="pct" w:w="650"/>
            <w:shd w:fill="FFFFFF" w:val="clear"/>
            <w:tcMar>
              <w:top w:type="dxa" w:w="70"/>
              <w:left w:type="dxa" w:w="120"/>
              <w:bottom w:type="dxa" w:w="70"/>
              <w:right w:type="dxa" w:w="120"/>
            </w:tcMar>
          </w:tcPr>
          <w:p>
            <w:r>
              <w:rPr>
                <w:sz w:val="19"/>
                <w:szCs w:val="19"/>
              </w:rPr>
              <w:t xml:space="preserve">Mercado</w:t>
            </w:r>
          </w:p>
        </w:tc>
        <w:tc>
          <w:tcPr>
            <w:tcW w:type="pct" w:w="550"/>
            <w:shd w:fill="FFFFFF" w:val="clear"/>
            <w:tcMar>
              <w:top w:type="dxa" w:w="70"/>
              <w:left w:type="dxa" w:w="120"/>
              <w:bottom w:type="dxa" w:w="70"/>
              <w:right w:type="dxa" w:w="120"/>
            </w:tcMar>
          </w:tcPr>
          <w:p>
            <w:r>
              <w:rPr>
                <w:sz w:val="19"/>
                <w:szCs w:val="19"/>
              </w:rPr>
              <w:t xml:space="preserve">3</w:t>
            </w:r>
          </w:p>
        </w:tc>
        <w:tc>
          <w:tcPr>
            <w:tcW w:type="pct" w:w="1000"/>
            <w:shd w:fill="FFFFFF" w:val="clear"/>
            <w:tcMar>
              <w:top w:type="dxa" w:w="70"/>
              <w:left w:type="dxa" w:w="120"/>
              <w:bottom w:type="dxa" w:w="70"/>
              <w:right w:type="dxa" w:w="120"/>
            </w:tcMar>
          </w:tcPr>
          <w:p>
            <w:r>
              <w:rPr>
                <w:sz w:val="19"/>
                <w:szCs w:val="19"/>
              </w:rPr>
              <w:t xml:space="preserve">0,436</w:t>
            </w:r>
          </w:p>
        </w:tc>
        <w:tc>
          <w:tcPr>
            <w:tcW w:type="pct" w:w="1000"/>
            <w:shd w:fill="FFFFFF" w:val="clear"/>
            <w:tcMar>
              <w:top w:type="dxa" w:w="70"/>
              <w:left w:type="dxa" w:w="120"/>
              <w:bottom w:type="dxa" w:w="70"/>
              <w:right w:type="dxa" w:w="120"/>
            </w:tcMar>
          </w:tcPr>
          <w:p>
            <w:r>
              <w:rPr>
                <w:sz w:val="19"/>
                <w:szCs w:val="19"/>
              </w:rPr>
              <w:t xml:space="preserve">0,419</w:t>
            </w:r>
          </w:p>
        </w:tc>
      </w:tr>
      <w:tr>
        <w:trPr>
          <w:cantSplit/>
        </w:trPr>
        <w:tc>
          <w:tcPr>
            <w:tcW w:type="pct" w:w="1800"/>
            <w:shd w:fill="FAFCFD" w:val="clear"/>
            <w:tcMar>
              <w:top w:type="dxa" w:w="70"/>
              <w:left w:type="dxa" w:w="120"/>
              <w:bottom w:type="dxa" w:w="70"/>
              <w:right w:type="dxa" w:w="120"/>
            </w:tcMar>
          </w:tcPr>
          <w:p>
            <w:r>
              <w:rPr>
                <w:sz w:val="19"/>
                <w:szCs w:val="19"/>
              </w:rPr>
              <w:t xml:space="preserve">Según el tono (tono &lt; 0)</w:t>
            </w:r>
          </w:p>
        </w:tc>
        <w:tc>
          <w:tcPr>
            <w:tcW w:type="pct" w:w="650"/>
            <w:shd w:fill="FAFCFD" w:val="clear"/>
            <w:tcMar>
              <w:top w:type="dxa" w:w="70"/>
              <w:left w:type="dxa" w:w="120"/>
              <w:bottom w:type="dxa" w:w="70"/>
              <w:right w:type="dxa" w:w="120"/>
            </w:tcMar>
          </w:tcPr>
          <w:p>
            <w:r>
              <w:rPr>
                <w:sz w:val="19"/>
                <w:szCs w:val="19"/>
              </w:rPr>
              <w:t xml:space="preserve">Empresas</w:t>
            </w:r>
          </w:p>
        </w:tc>
        <w:tc>
          <w:tcPr>
            <w:tcW w:type="pct" w:w="550"/>
            <w:shd w:fill="FAFCFD" w:val="clear"/>
            <w:tcMar>
              <w:top w:type="dxa" w:w="70"/>
              <w:left w:type="dxa" w:w="120"/>
              <w:bottom w:type="dxa" w:w="70"/>
              <w:right w:type="dxa" w:w="120"/>
            </w:tcMar>
          </w:tcPr>
          <w:p>
            <w:r>
              <w:rPr>
                <w:sz w:val="19"/>
                <w:szCs w:val="19"/>
              </w:rPr>
              <w:t xml:space="preserve">46</w:t>
            </w:r>
          </w:p>
        </w:tc>
        <w:tc>
          <w:tcPr>
            <w:tcW w:type="pct" w:w="1000"/>
            <w:shd w:fill="FAFCFD" w:val="clear"/>
            <w:tcMar>
              <w:top w:type="dxa" w:w="70"/>
              <w:left w:type="dxa" w:w="120"/>
              <w:bottom w:type="dxa" w:w="70"/>
              <w:right w:type="dxa" w:w="120"/>
            </w:tcMar>
          </w:tcPr>
          <w:p>
            <w:r>
              <w:rPr>
                <w:sz w:val="19"/>
                <w:szCs w:val="19"/>
              </w:rPr>
              <w:t xml:space="preserve">0,009</w:t>
            </w:r>
          </w:p>
        </w:tc>
        <w:tc>
          <w:tcPr>
            <w:tcW w:type="pct" w:w="1000"/>
            <w:shd w:fill="FAFCFD" w:val="clear"/>
            <w:tcMar>
              <w:top w:type="dxa" w:w="70"/>
              <w:left w:type="dxa" w:w="120"/>
              <w:bottom w:type="dxa" w:w="70"/>
              <w:right w:type="dxa" w:w="120"/>
            </w:tcMar>
          </w:tcPr>
          <w:p>
            <w:r>
              <w:rPr>
                <w:sz w:val="19"/>
                <w:szCs w:val="19"/>
              </w:rPr>
              <w:t xml:space="preserve">0,001</w:t>
            </w:r>
          </w:p>
        </w:tc>
      </w:tr>
      <w:tr>
        <w:trPr>
          <w:cantSplit/>
        </w:trPr>
        <w:tc>
          <w:tcPr>
            <w:tcW w:type="pct" w:w="1800"/>
            <w:shd w:fill="FFFFFF" w:val="clear"/>
            <w:tcMar>
              <w:top w:type="dxa" w:w="70"/>
              <w:left w:type="dxa" w:w="120"/>
              <w:bottom w:type="dxa" w:w="70"/>
              <w:right w:type="dxa" w:w="120"/>
            </w:tcMar>
          </w:tcPr>
          <w:p>
            <w:r>
              <w:rPr>
                <w:sz w:val="19"/>
                <w:szCs w:val="19"/>
              </w:rPr>
              <w:t xml:space="preserve">Robustez: umbral z &gt; 2,5</w:t>
            </w:r>
          </w:p>
        </w:tc>
        <w:tc>
          <w:tcPr>
            <w:tcW w:type="pct" w:w="650"/>
            <w:shd w:fill="FFFFFF" w:val="clear"/>
            <w:tcMar>
              <w:top w:type="dxa" w:w="70"/>
              <w:left w:type="dxa" w:w="120"/>
              <w:bottom w:type="dxa" w:w="70"/>
              <w:right w:type="dxa" w:w="120"/>
            </w:tcMar>
          </w:tcPr>
          <w:p>
            <w:r>
              <w:rPr>
                <w:sz w:val="19"/>
                <w:szCs w:val="19"/>
              </w:rPr>
              <w:t xml:space="preserve">Mercado</w:t>
            </w:r>
          </w:p>
        </w:tc>
        <w:tc>
          <w:tcPr>
            <w:tcW w:type="pct" w:w="550"/>
            <w:shd w:fill="FFFFFF" w:val="clear"/>
            <w:tcMar>
              <w:top w:type="dxa" w:w="70"/>
              <w:left w:type="dxa" w:w="120"/>
              <w:bottom w:type="dxa" w:w="70"/>
              <w:right w:type="dxa" w:w="120"/>
            </w:tcMar>
          </w:tcPr>
          <w:p>
            <w:r>
              <w:rPr>
                <w:sz w:val="19"/>
                <w:szCs w:val="19"/>
              </w:rPr>
              <w:t xml:space="preserve">2</w:t>
            </w:r>
          </w:p>
        </w:tc>
        <w:tc>
          <w:tcPr>
            <w:tcW w:type="pct" w:w="1000"/>
            <w:shd w:fill="FFFFFF" w:val="clear"/>
            <w:tcMar>
              <w:top w:type="dxa" w:w="70"/>
              <w:left w:type="dxa" w:w="120"/>
              <w:bottom w:type="dxa" w:w="70"/>
              <w:right w:type="dxa" w:w="120"/>
            </w:tcMar>
          </w:tcPr>
          <w:p>
            <w:r>
              <w:rPr>
                <w:sz w:val="19"/>
                <w:szCs w:val="19"/>
              </w:rPr>
              <w:t xml:space="preserve">0,576</w:t>
            </w:r>
          </w:p>
        </w:tc>
        <w:tc>
          <w:tcPr>
            <w:tcW w:type="pct" w:w="1000"/>
            <w:shd w:fill="FFFFFF" w:val="clear"/>
            <w:tcMar>
              <w:top w:type="dxa" w:w="70"/>
              <w:left w:type="dxa" w:w="120"/>
              <w:bottom w:type="dxa" w:w="70"/>
              <w:right w:type="dxa" w:w="120"/>
            </w:tcMar>
          </w:tcPr>
          <w:p>
            <w:r>
              <w:rPr>
                <w:sz w:val="19"/>
                <w:szCs w:val="19"/>
              </w:rPr>
              <w:t xml:space="preserve">0,859</w:t>
            </w:r>
          </w:p>
        </w:tc>
      </w:tr>
      <w:tr>
        <w:trPr>
          <w:cantSplit/>
        </w:trPr>
        <w:tc>
          <w:tcPr>
            <w:tcW w:type="pct" w:w="1800"/>
            <w:shd w:fill="FAFCFD" w:val="clear"/>
            <w:tcMar>
              <w:top w:type="dxa" w:w="70"/>
              <w:left w:type="dxa" w:w="120"/>
              <w:bottom w:type="dxa" w:w="70"/>
              <w:right w:type="dxa" w:w="120"/>
            </w:tcMar>
          </w:tcPr>
          <w:p>
            <w:r>
              <w:rPr>
                <w:sz w:val="19"/>
                <w:szCs w:val="19"/>
              </w:rPr>
              <w:t xml:space="preserve">Robustez: umbral z &gt; 2,5</w:t>
            </w:r>
          </w:p>
        </w:tc>
        <w:tc>
          <w:tcPr>
            <w:tcW w:type="pct" w:w="650"/>
            <w:shd w:fill="FAFCFD" w:val="clear"/>
            <w:tcMar>
              <w:top w:type="dxa" w:w="70"/>
              <w:left w:type="dxa" w:w="120"/>
              <w:bottom w:type="dxa" w:w="70"/>
              <w:right w:type="dxa" w:w="120"/>
            </w:tcMar>
          </w:tcPr>
          <w:p>
            <w:r>
              <w:rPr>
                <w:sz w:val="19"/>
                <w:szCs w:val="19"/>
              </w:rPr>
              <w:t xml:space="preserve">Empresas</w:t>
            </w:r>
          </w:p>
        </w:tc>
        <w:tc>
          <w:tcPr>
            <w:tcW w:type="pct" w:w="550"/>
            <w:shd w:fill="FAFCFD" w:val="clear"/>
            <w:tcMar>
              <w:top w:type="dxa" w:w="70"/>
              <w:left w:type="dxa" w:w="120"/>
              <w:bottom w:type="dxa" w:w="70"/>
              <w:right w:type="dxa" w:w="120"/>
            </w:tcMar>
          </w:tcPr>
          <w:p>
            <w:r>
              <w:rPr>
                <w:sz w:val="19"/>
                <w:szCs w:val="19"/>
              </w:rPr>
              <w:t xml:space="preserve">70</w:t>
            </w:r>
          </w:p>
        </w:tc>
        <w:tc>
          <w:tcPr>
            <w:tcW w:type="pct" w:w="1000"/>
            <w:shd w:fill="FAFCFD" w:val="clear"/>
            <w:tcMar>
              <w:top w:type="dxa" w:w="70"/>
              <w:left w:type="dxa" w:w="120"/>
              <w:bottom w:type="dxa" w:w="70"/>
              <w:right w:type="dxa" w:w="120"/>
            </w:tcMar>
          </w:tcPr>
          <w:p>
            <w:r>
              <w:rPr>
                <w:sz w:val="19"/>
                <w:szCs w:val="19"/>
              </w:rPr>
              <w:t xml:space="preserve">0,002</w:t>
            </w:r>
          </w:p>
        </w:tc>
        <w:tc>
          <w:tcPr>
            <w:tcW w:type="pct" w:w="1000"/>
            <w:shd w:fill="FAFCFD" w:val="clear"/>
            <w:tcMar>
              <w:top w:type="dxa" w:w="70"/>
              <w:left w:type="dxa" w:w="120"/>
              <w:bottom w:type="dxa" w:w="70"/>
              <w:right w:type="dxa" w:w="120"/>
            </w:tcMar>
          </w:tcPr>
          <w:p>
            <w:r>
              <w:rPr>
                <w:sz w:val="19"/>
                <w:szCs w:val="19"/>
              </w:rPr>
              <w:t xml:space="preserve">0,016</w:t>
            </w:r>
          </w:p>
        </w:tc>
      </w:tr>
      <w:tr>
        <w:trPr>
          <w:cantSplit/>
        </w:trPr>
        <w:tc>
          <w:tcPr>
            <w:tcW w:type="pct" w:w="1800"/>
            <w:shd w:fill="FFFFFF" w:val="clear"/>
            <w:tcMar>
              <w:top w:type="dxa" w:w="70"/>
              <w:left w:type="dxa" w:w="120"/>
              <w:bottom w:type="dxa" w:w="70"/>
              <w:right w:type="dxa" w:w="120"/>
            </w:tcMar>
          </w:tcPr>
          <w:p>
            <w:r>
              <w:rPr>
                <w:sz w:val="19"/>
                <w:szCs w:val="19"/>
              </w:rPr>
              <w:t xml:space="preserve">Robustez: z sobre log(1 + cantidad)</w:t>
            </w:r>
          </w:p>
        </w:tc>
        <w:tc>
          <w:tcPr>
            <w:tcW w:type="pct" w:w="650"/>
            <w:shd w:fill="FFFFFF" w:val="clear"/>
            <w:tcMar>
              <w:top w:type="dxa" w:w="70"/>
              <w:left w:type="dxa" w:w="120"/>
              <w:bottom w:type="dxa" w:w="70"/>
              <w:right w:type="dxa" w:w="120"/>
            </w:tcMar>
          </w:tcPr>
          <w:p>
            <w:r>
              <w:rPr>
                <w:sz w:val="19"/>
                <w:szCs w:val="19"/>
              </w:rPr>
              <w:t xml:space="preserve">Mercado</w:t>
            </w:r>
          </w:p>
        </w:tc>
        <w:tc>
          <w:tcPr>
            <w:tcW w:type="pct" w:w="550"/>
            <w:shd w:fill="FFFFFF" w:val="clear"/>
            <w:tcMar>
              <w:top w:type="dxa" w:w="70"/>
              <w:left w:type="dxa" w:w="120"/>
              <w:bottom w:type="dxa" w:w="70"/>
              <w:right w:type="dxa" w:w="120"/>
            </w:tcMar>
          </w:tcPr>
          <w:p>
            <w:r>
              <w:rPr>
                <w:sz w:val="19"/>
                <w:szCs w:val="19"/>
              </w:rPr>
              <w:t xml:space="preserve">1</w:t>
            </w:r>
          </w:p>
        </w:tc>
        <w:tc>
          <w:tcPr>
            <w:tcW w:type="pct" w:w="1000"/>
            <w:shd w:fill="FFFFFF" w:val="clear"/>
            <w:tcMar>
              <w:top w:type="dxa" w:w="70"/>
              <w:left w:type="dxa" w:w="120"/>
              <w:bottom w:type="dxa" w:w="70"/>
              <w:right w:type="dxa" w:w="120"/>
            </w:tcMar>
          </w:tcPr>
          <w:p>
            <w:r>
              <w:rPr>
                <w:sz w:val="19"/>
                <w:szCs w:val="19"/>
              </w:rPr>
              <w:t xml:space="preserve">0,430</w:t>
            </w:r>
          </w:p>
        </w:tc>
        <w:tc>
          <w:tcPr>
            <w:tcW w:type="pct" w:w="1000"/>
            <w:shd w:fill="FFFFFF" w:val="clear"/>
            <w:tcMar>
              <w:top w:type="dxa" w:w="70"/>
              <w:left w:type="dxa" w:w="120"/>
              <w:bottom w:type="dxa" w:w="70"/>
              <w:right w:type="dxa" w:w="120"/>
            </w:tcMar>
          </w:tcPr>
          <w:p>
            <w:r>
              <w:rPr>
                <w:sz w:val="19"/>
                <w:szCs w:val="19"/>
              </w:rPr>
              <w:t xml:space="preserve">0,589</w:t>
            </w:r>
          </w:p>
        </w:tc>
      </w:tr>
      <w:tr>
        <w:trPr>
          <w:cantSplit/>
        </w:trPr>
        <w:tc>
          <w:tcPr>
            <w:tcW w:type="pct" w:w="1800"/>
            <w:shd w:fill="FAFCFD" w:val="clear"/>
            <w:tcMar>
              <w:top w:type="dxa" w:w="70"/>
              <w:left w:type="dxa" w:w="120"/>
              <w:bottom w:type="dxa" w:w="70"/>
              <w:right w:type="dxa" w:w="120"/>
            </w:tcMar>
          </w:tcPr>
          <w:p>
            <w:r>
              <w:rPr>
                <w:sz w:val="19"/>
                <w:szCs w:val="19"/>
              </w:rPr>
              <w:t xml:space="preserve">Robustez: z sobre log(1 + cantidad)</w:t>
            </w:r>
          </w:p>
        </w:tc>
        <w:tc>
          <w:tcPr>
            <w:tcW w:type="pct" w:w="650"/>
            <w:shd w:fill="FAFCFD" w:val="clear"/>
            <w:tcMar>
              <w:top w:type="dxa" w:w="70"/>
              <w:left w:type="dxa" w:w="120"/>
              <w:bottom w:type="dxa" w:w="70"/>
              <w:right w:type="dxa" w:w="120"/>
            </w:tcMar>
          </w:tcPr>
          <w:p>
            <w:r>
              <w:rPr>
                <w:sz w:val="19"/>
                <w:szCs w:val="19"/>
              </w:rPr>
              <w:t xml:space="preserve">Empresas</w:t>
            </w:r>
          </w:p>
        </w:tc>
        <w:tc>
          <w:tcPr>
            <w:tcW w:type="pct" w:w="550"/>
            <w:shd w:fill="FAFCFD" w:val="clear"/>
            <w:tcMar>
              <w:top w:type="dxa" w:w="70"/>
              <w:left w:type="dxa" w:w="120"/>
              <w:bottom w:type="dxa" w:w="70"/>
              <w:right w:type="dxa" w:w="120"/>
            </w:tcMar>
          </w:tcPr>
          <w:p>
            <w:r>
              <w:rPr>
                <w:sz w:val="19"/>
                <w:szCs w:val="19"/>
              </w:rPr>
              <w:t xml:space="preserve">63</w:t>
            </w:r>
          </w:p>
        </w:tc>
        <w:tc>
          <w:tcPr>
            <w:tcW w:type="pct" w:w="1000"/>
            <w:shd w:fill="FAFCFD" w:val="clear"/>
            <w:tcMar>
              <w:top w:type="dxa" w:w="70"/>
              <w:left w:type="dxa" w:w="120"/>
              <w:bottom w:type="dxa" w:w="70"/>
              <w:right w:type="dxa" w:w="120"/>
            </w:tcMar>
          </w:tcPr>
          <w:p>
            <w:r>
              <w:rPr>
                <w:sz w:val="19"/>
                <w:szCs w:val="19"/>
              </w:rPr>
              <w:t xml:space="preserve">0,001</w:t>
            </w:r>
          </w:p>
        </w:tc>
        <w:tc>
          <w:tcPr>
            <w:tcW w:type="pct" w:w="1000"/>
            <w:shd w:fill="FAFCFD" w:val="clear"/>
            <w:tcMar>
              <w:top w:type="dxa" w:w="70"/>
              <w:left w:type="dxa" w:w="120"/>
              <w:bottom w:type="dxa" w:w="70"/>
              <w:right w:type="dxa" w:w="120"/>
            </w:tcMar>
          </w:tcPr>
          <w:p>
            <w:r>
              <w:rPr>
                <w:sz w:val="19"/>
                <w:szCs w:val="19"/>
              </w:rPr>
              <w:t xml:space="preserve">0,008</w:t>
            </w:r>
          </w:p>
        </w:tc>
      </w:tr>
      <w:tr>
        <w:trPr>
          <w:cantSplit/>
        </w:trPr>
        <w:tc>
          <w:tcPr>
            <w:tcW w:type="pct" w:w="1800"/>
            <w:shd w:fill="FFFFFF" w:val="clear"/>
            <w:tcMar>
              <w:top w:type="dxa" w:w="70"/>
              <w:left w:type="dxa" w:w="120"/>
              <w:bottom w:type="dxa" w:w="70"/>
              <w:right w:type="dxa" w:w="120"/>
            </w:tcMar>
          </w:tcPr>
          <w:p>
            <w:r>
              <w:rPr>
                <w:sz w:val="19"/>
                <w:szCs w:val="19"/>
              </w:rPr>
              <w:t xml:space="preserve">Robustez: con eventos de ventana electoral</w:t>
            </w:r>
          </w:p>
        </w:tc>
        <w:tc>
          <w:tcPr>
            <w:tcW w:type="pct" w:w="650"/>
            <w:shd w:fill="FFFFFF" w:val="clear"/>
            <w:tcMar>
              <w:top w:type="dxa" w:w="70"/>
              <w:left w:type="dxa" w:w="120"/>
              <w:bottom w:type="dxa" w:w="70"/>
              <w:right w:type="dxa" w:w="120"/>
            </w:tcMar>
          </w:tcPr>
          <w:p>
            <w:r>
              <w:rPr>
                <w:sz w:val="19"/>
                <w:szCs w:val="19"/>
              </w:rPr>
              <w:t xml:space="preserve">Mercado</w:t>
            </w:r>
          </w:p>
        </w:tc>
        <w:tc>
          <w:tcPr>
            <w:tcW w:type="pct" w:w="550"/>
            <w:shd w:fill="FFFFFF" w:val="clear"/>
            <w:tcMar>
              <w:top w:type="dxa" w:w="70"/>
              <w:left w:type="dxa" w:w="120"/>
              <w:bottom w:type="dxa" w:w="70"/>
              <w:right w:type="dxa" w:w="120"/>
            </w:tcMar>
          </w:tcPr>
          <w:p>
            <w:r>
              <w:rPr>
                <w:sz w:val="19"/>
                <w:szCs w:val="19"/>
              </w:rPr>
              <w:t xml:space="preserve">7</w:t>
            </w:r>
          </w:p>
        </w:tc>
        <w:tc>
          <w:tcPr>
            <w:tcW w:type="pct" w:w="1000"/>
            <w:shd w:fill="FFFFFF" w:val="clear"/>
            <w:tcMar>
              <w:top w:type="dxa" w:w="70"/>
              <w:left w:type="dxa" w:w="120"/>
              <w:bottom w:type="dxa" w:w="70"/>
              <w:right w:type="dxa" w:w="120"/>
            </w:tcMar>
          </w:tcPr>
          <w:p>
            <w:r>
              <w:rPr>
                <w:sz w:val="19"/>
                <w:szCs w:val="19"/>
              </w:rPr>
              <w:t xml:space="preserve">0,114</w:t>
            </w:r>
          </w:p>
        </w:tc>
        <w:tc>
          <w:tcPr>
            <w:tcW w:type="pct" w:w="1000"/>
            <w:shd w:fill="FFFFFF" w:val="clear"/>
            <w:tcMar>
              <w:top w:type="dxa" w:w="70"/>
              <w:left w:type="dxa" w:w="120"/>
              <w:bottom w:type="dxa" w:w="70"/>
              <w:right w:type="dxa" w:w="120"/>
            </w:tcMar>
          </w:tcPr>
          <w:p>
            <w:r>
              <w:rPr>
                <w:sz w:val="19"/>
                <w:szCs w:val="19"/>
              </w:rPr>
              <w:t xml:space="preserve">0,827</w:t>
            </w:r>
          </w:p>
        </w:tc>
      </w:tr>
      <w:tr>
        <w:trPr>
          <w:cantSplit/>
        </w:trPr>
        <w:tc>
          <w:tcPr>
            <w:tcW w:type="pct" w:w="1800"/>
            <w:shd w:fill="FAFCFD" w:val="clear"/>
            <w:tcMar>
              <w:top w:type="dxa" w:w="70"/>
              <w:left w:type="dxa" w:w="120"/>
              <w:bottom w:type="dxa" w:w="70"/>
              <w:right w:type="dxa" w:w="120"/>
            </w:tcMar>
          </w:tcPr>
          <w:p>
            <w:r>
              <w:rPr>
                <w:sz w:val="19"/>
                <w:szCs w:val="19"/>
              </w:rPr>
              <w:t xml:space="preserve">Robustez: con eventos de ventana electoral</w:t>
            </w:r>
          </w:p>
        </w:tc>
        <w:tc>
          <w:tcPr>
            <w:tcW w:type="pct" w:w="650"/>
            <w:shd w:fill="FAFCFD" w:val="clear"/>
            <w:tcMar>
              <w:top w:type="dxa" w:w="70"/>
              <w:left w:type="dxa" w:w="120"/>
              <w:bottom w:type="dxa" w:w="70"/>
              <w:right w:type="dxa" w:w="120"/>
            </w:tcMar>
          </w:tcPr>
          <w:p>
            <w:r>
              <w:rPr>
                <w:sz w:val="19"/>
                <w:szCs w:val="19"/>
              </w:rPr>
              <w:t xml:space="preserve">Empresas</w:t>
            </w:r>
          </w:p>
        </w:tc>
        <w:tc>
          <w:tcPr>
            <w:tcW w:type="pct" w:w="550"/>
            <w:shd w:fill="FAFCFD" w:val="clear"/>
            <w:tcMar>
              <w:top w:type="dxa" w:w="70"/>
              <w:left w:type="dxa" w:w="120"/>
              <w:bottom w:type="dxa" w:w="70"/>
              <w:right w:type="dxa" w:w="120"/>
            </w:tcMar>
          </w:tcPr>
          <w:p>
            <w:r>
              <w:rPr>
                <w:sz w:val="19"/>
                <w:szCs w:val="19"/>
              </w:rPr>
              <w:t xml:space="preserve">114</w:t>
            </w:r>
          </w:p>
        </w:tc>
        <w:tc>
          <w:tcPr>
            <w:tcW w:type="pct" w:w="1000"/>
            <w:shd w:fill="FAFCFD" w:val="clear"/>
            <w:tcMar>
              <w:top w:type="dxa" w:w="70"/>
              <w:left w:type="dxa" w:w="120"/>
              <w:bottom w:type="dxa" w:w="70"/>
              <w:right w:type="dxa" w:w="120"/>
            </w:tcMar>
          </w:tcPr>
          <w:p>
            <w:r>
              <w:rPr>
                <w:sz w:val="19"/>
                <w:szCs w:val="19"/>
              </w:rPr>
              <w:t xml:space="preserve">0,006</w:t>
            </w:r>
          </w:p>
        </w:tc>
        <w:tc>
          <w:tcPr>
            <w:tcW w:type="pct" w:w="1000"/>
            <w:shd w:fill="FAFCFD" w:val="clear"/>
            <w:tcMar>
              <w:top w:type="dxa" w:w="70"/>
              <w:left w:type="dxa" w:w="120"/>
              <w:bottom w:type="dxa" w:w="70"/>
              <w:right w:type="dxa" w:w="120"/>
            </w:tcMar>
          </w:tcPr>
          <w:p>
            <w:r>
              <w:rPr>
                <w:sz w:val="19"/>
                <w:szCs w:val="19"/>
              </w:rPr>
              <w:t xml:space="preserve">&lt; 0,001</w:t>
            </w:r>
          </w:p>
        </w:tc>
      </w:tr>
    </w:tbl>
    <w:p>
      <w:pPr>
        <w:spacing w:after="160" w:line="300"/>
      </w:pPr>
      <w:r>
        <w:rPr>
          <w:i/>
          <w:iCs/>
          <w:color w:val="5C6B7A"/>
          <w:sz w:val="18"/>
          <w:szCs w:val="18"/>
        </w:rPr>
        <w:t xml:space="preserve">Sin corrección por pruebas múltiples: son controles de que el resultado de las empresas no depende de una decisión puntual.</w:t>
      </w:r>
    </w:p>
    <w:p>
      <w:pPr>
        <w:spacing w:after="160" w:line="300"/>
      </w:pPr>
      <w:r>
        <w:t xml:space="preserve">En las empresas, el movimiento y el volumen del día son mayores (p &lt; 0,05 en las dos medidas) en: los días de tono negativo; umbral z &gt; 2,5; z sobre log(1 + cantidad); con eventos de ventana electoral. No llegan a serlo en: los días de tono positivo. En el mercado, ningún análisis secundario se distingue de un día cualquiera.</w:t>
      </w:r>
    </w:p>
    <w:p>
      <w:pPr>
        <w:pStyle w:val="Heading1"/>
        <w:keepNext/>
        <w:spacing w:after="160" w:before="360"/>
      </w:pPr>
      <w:r>
        <w:t xml:space="preserve">6. La versión original</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1060"/>
        <w:gridCol w:w="2795"/>
        <w:gridCol w:w="867"/>
        <w:gridCol w:w="1253"/>
        <w:gridCol w:w="1253"/>
        <w:gridCol w:w="1060"/>
        <w:gridCol w:w="1349"/>
      </w:tblGrid>
      <w:tr>
        <w:trPr>
          <w:tblHeader/>
        </w:trPr>
        <w:tc>
          <w:tcPr>
            <w:tcW w:type="pct" w:w="550"/>
            <w:shd w:fill="1C3A5C" w:val="clear"/>
            <w:tcMar>
              <w:top w:type="dxa" w:w="80"/>
              <w:left w:type="dxa" w:w="120"/>
              <w:bottom w:type="dxa" w:w="80"/>
              <w:right w:type="dxa" w:w="120"/>
            </w:tcMar>
          </w:tcPr>
          <w:p>
            <w:r>
              <w:rPr>
                <w:b/>
                <w:bCs/>
                <w:color w:val="FFFFFF"/>
                <w:sz w:val="19"/>
                <w:szCs w:val="19"/>
              </w:rPr>
              <w:t xml:space="preserve">Nivel</w:t>
            </w:r>
          </w:p>
        </w:tc>
        <w:tc>
          <w:tcPr>
            <w:tcW w:type="pct" w:w="1450"/>
            <w:shd w:fill="1C3A5C" w:val="clear"/>
            <w:tcMar>
              <w:top w:type="dxa" w:w="80"/>
              <w:left w:type="dxa" w:w="120"/>
              <w:bottom w:type="dxa" w:w="80"/>
              <w:right w:type="dxa" w:w="120"/>
            </w:tcMar>
          </w:tcPr>
          <w:p>
            <w:r>
              <w:rPr>
                <w:b/>
                <w:bCs/>
                <w:color w:val="FFFFFF"/>
                <w:sz w:val="19"/>
                <w:szCs w:val="19"/>
              </w:rPr>
              <w:t xml:space="preserve">Medida</w:t>
            </w:r>
          </w:p>
        </w:tc>
        <w:tc>
          <w:tcPr>
            <w:tcW w:type="pct" w:w="450"/>
            <w:shd w:fill="1C3A5C" w:val="clear"/>
            <w:tcMar>
              <w:top w:type="dxa" w:w="80"/>
              <w:left w:type="dxa" w:w="120"/>
              <w:bottom w:type="dxa" w:w="80"/>
              <w:right w:type="dxa" w:w="120"/>
            </w:tcMar>
          </w:tcPr>
          <w:p>
            <w:r>
              <w:rPr>
                <w:b/>
                <w:bCs/>
                <w:color w:val="FFFFFF"/>
                <w:sz w:val="19"/>
                <w:szCs w:val="19"/>
              </w:rPr>
              <w:t xml:space="preserve">Eventos</w:t>
            </w:r>
          </w:p>
        </w:tc>
        <w:tc>
          <w:tcPr>
            <w:tcW w:type="pct" w:w="650"/>
            <w:shd w:fill="1C3A5C" w:val="clear"/>
            <w:tcMar>
              <w:top w:type="dxa" w:w="80"/>
              <w:left w:type="dxa" w:w="120"/>
              <w:bottom w:type="dxa" w:w="80"/>
              <w:right w:type="dxa" w:w="120"/>
            </w:tcMar>
          </w:tcPr>
          <w:p>
            <w:r>
              <w:rPr>
                <w:b/>
                <w:bCs/>
                <w:color w:val="FFFFFF"/>
                <w:sz w:val="19"/>
                <w:szCs w:val="19"/>
              </w:rPr>
              <w:t xml:space="preserve">En los shocks</w:t>
            </w:r>
          </w:p>
        </w:tc>
        <w:tc>
          <w:tcPr>
            <w:tcW w:type="pct" w:w="650"/>
            <w:shd w:fill="1C3A5C" w:val="clear"/>
            <w:tcMar>
              <w:top w:type="dxa" w:w="80"/>
              <w:left w:type="dxa" w:w="120"/>
              <w:bottom w:type="dxa" w:w="80"/>
              <w:right w:type="dxa" w:w="120"/>
            </w:tcMar>
          </w:tcPr>
          <w:p>
            <w:r>
              <w:rPr>
                <w:b/>
                <w:bCs/>
                <w:color w:val="FFFFFF"/>
                <w:sz w:val="19"/>
                <w:szCs w:val="19"/>
              </w:rPr>
              <w:t xml:space="preserve">Día cualquiera</w:t>
            </w:r>
          </w:p>
        </w:tc>
        <w:tc>
          <w:tcPr>
            <w:tcW w:type="pct" w:w="550"/>
            <w:shd w:fill="1C3A5C" w:val="clear"/>
            <w:tcMar>
              <w:top w:type="dxa" w:w="80"/>
              <w:left w:type="dxa" w:w="120"/>
              <w:bottom w:type="dxa" w:w="80"/>
              <w:right w:type="dxa" w:w="120"/>
            </w:tcMar>
          </w:tcPr>
          <w:p>
            <w:r>
              <w:rPr>
                <w:b/>
                <w:bCs/>
                <w:color w:val="FFFFFF"/>
                <w:sz w:val="19"/>
                <w:szCs w:val="19"/>
              </w:rPr>
              <w:t xml:space="preserve">p (azar)</w:t>
            </w:r>
          </w:p>
        </w:tc>
        <w:tc>
          <w:tcPr>
            <w:tcW w:type="pct" w:w="700"/>
            <w:shd w:fill="1C3A5C" w:val="clear"/>
            <w:tcMar>
              <w:top w:type="dxa" w:w="80"/>
              <w:left w:type="dxa" w:w="120"/>
              <w:bottom w:type="dxa" w:w="80"/>
              <w:right w:type="dxa" w:w="120"/>
            </w:tcMar>
          </w:tcPr>
          <w:p>
            <w:r>
              <w:rPr>
                <w:b/>
                <w:bCs/>
                <w:color w:val="FFFFFF"/>
                <w:sz w:val="19"/>
                <w:szCs w:val="19"/>
              </w:rPr>
              <w:t xml:space="preserve">p corregido</w:t>
            </w:r>
          </w:p>
        </w:tc>
      </w:tr>
      <w:tr>
        <w:trPr>
          <w:cantSplit/>
        </w:trPr>
        <w:tc>
          <w:tcPr>
            <w:tcW w:type="pct" w:w="550"/>
            <w:shd w:fill="FFFFFF" w:val="clear"/>
            <w:tcMar>
              <w:top w:type="dxa" w:w="70"/>
              <w:left w:type="dxa" w:w="120"/>
              <w:bottom w:type="dxa" w:w="70"/>
              <w:right w:type="dxa" w:w="120"/>
            </w:tcMar>
          </w:tcPr>
          <w:p>
            <w:r>
              <w:rPr>
                <w:sz w:val="19"/>
                <w:szCs w:val="19"/>
              </w:rPr>
              <w:t xml:space="preserve">Mercado</w:t>
            </w:r>
          </w:p>
        </w:tc>
        <w:tc>
          <w:tcPr>
            <w:tcW w:type="pct" w:w="1450"/>
            <w:shd w:fill="FFFFFF" w:val="clear"/>
            <w:tcMar>
              <w:top w:type="dxa" w:w="70"/>
              <w:left w:type="dxa" w:w="120"/>
              <w:bottom w:type="dxa" w:w="70"/>
              <w:right w:type="dxa" w:w="120"/>
            </w:tcMar>
          </w:tcPr>
          <w:p>
            <w:r>
              <w:rPr>
                <w:sz w:val="19"/>
                <w:szCs w:val="19"/>
              </w:rPr>
              <w:t xml:space="preserve">|retorno anormal| del día [0]</w:t>
            </w:r>
          </w:p>
        </w:tc>
        <w:tc>
          <w:tcPr>
            <w:tcW w:type="pct" w:w="450"/>
            <w:shd w:fill="FFFFFF" w:val="clear"/>
            <w:tcMar>
              <w:top w:type="dxa" w:w="70"/>
              <w:left w:type="dxa" w:w="120"/>
              <w:bottom w:type="dxa" w:w="70"/>
              <w:right w:type="dxa" w:w="120"/>
            </w:tcMar>
          </w:tcPr>
          <w:p>
            <w:r>
              <w:rPr>
                <w:sz w:val="19"/>
                <w:szCs w:val="19"/>
              </w:rPr>
              <w:t xml:space="preserve">12</w:t>
            </w:r>
          </w:p>
        </w:tc>
        <w:tc>
          <w:tcPr>
            <w:tcW w:type="pct" w:w="650"/>
            <w:shd w:fill="FFFFFF" w:val="clear"/>
            <w:tcMar>
              <w:top w:type="dxa" w:w="70"/>
              <w:left w:type="dxa" w:w="120"/>
              <w:bottom w:type="dxa" w:w="70"/>
              <w:right w:type="dxa" w:w="120"/>
            </w:tcMar>
          </w:tcPr>
          <w:p>
            <w:r>
              <w:rPr>
                <w:sz w:val="19"/>
                <w:szCs w:val="19"/>
              </w:rPr>
              <w:t xml:space="preserve">1,40%</w:t>
            </w:r>
          </w:p>
        </w:tc>
        <w:tc>
          <w:tcPr>
            <w:tcW w:type="pct" w:w="650"/>
            <w:shd w:fill="FFFFFF" w:val="clear"/>
            <w:tcMar>
              <w:top w:type="dxa" w:w="70"/>
              <w:left w:type="dxa" w:w="120"/>
              <w:bottom w:type="dxa" w:w="70"/>
              <w:right w:type="dxa" w:w="120"/>
            </w:tcMar>
          </w:tcPr>
          <w:p>
            <w:r>
              <w:rPr>
                <w:sz w:val="19"/>
                <w:szCs w:val="19"/>
              </w:rPr>
              <w:t xml:space="preserve">1,83%</w:t>
            </w:r>
          </w:p>
        </w:tc>
        <w:tc>
          <w:tcPr>
            <w:tcW w:type="pct" w:w="550"/>
            <w:shd w:fill="FFFFFF" w:val="clear"/>
            <w:tcMar>
              <w:top w:type="dxa" w:w="70"/>
              <w:left w:type="dxa" w:w="120"/>
              <w:bottom w:type="dxa" w:w="70"/>
              <w:right w:type="dxa" w:w="120"/>
            </w:tcMar>
          </w:tcPr>
          <w:p>
            <w:r>
              <w:rPr>
                <w:sz w:val="19"/>
                <w:szCs w:val="19"/>
              </w:rPr>
              <w:t xml:space="preserve">0,294</w:t>
            </w:r>
          </w:p>
        </w:tc>
        <w:tc>
          <w:tcPr>
            <w:tcW w:type="pct" w:w="700"/>
            <w:shd w:fill="FFFFFF" w:val="clear"/>
            <w:tcMar>
              <w:top w:type="dxa" w:w="70"/>
              <w:left w:type="dxa" w:w="120"/>
              <w:bottom w:type="dxa" w:w="70"/>
              <w:right w:type="dxa" w:w="120"/>
            </w:tcMar>
          </w:tcPr>
          <w:p>
            <w:r>
              <w:rPr>
                <w:sz w:val="19"/>
                <w:szCs w:val="19"/>
              </w:rPr>
              <w:t xml:space="preserve">0,515</w:t>
            </w:r>
          </w:p>
        </w:tc>
      </w:tr>
      <w:tr>
        <w:trPr>
          <w:cantSplit/>
        </w:trPr>
        <w:tc>
          <w:tcPr>
            <w:tcW w:type="pct" w:w="550"/>
            <w:shd w:fill="FAFCFD" w:val="clear"/>
            <w:tcMar>
              <w:top w:type="dxa" w:w="70"/>
              <w:left w:type="dxa" w:w="120"/>
              <w:bottom w:type="dxa" w:w="70"/>
              <w:right w:type="dxa" w:w="120"/>
            </w:tcMar>
          </w:tcPr>
          <w:p>
            <w:r>
              <w:rPr>
                <w:sz w:val="19"/>
                <w:szCs w:val="19"/>
              </w:rPr>
              <w:t xml:space="preserve">Mercado</w:t>
            </w:r>
          </w:p>
        </w:tc>
        <w:tc>
          <w:tcPr>
            <w:tcW w:type="pct" w:w="1450"/>
            <w:shd w:fill="FAFCFD" w:val="clear"/>
            <w:tcMar>
              <w:top w:type="dxa" w:w="70"/>
              <w:left w:type="dxa" w:w="120"/>
              <w:bottom w:type="dxa" w:w="70"/>
              <w:right w:type="dxa" w:w="120"/>
            </w:tcMar>
          </w:tcPr>
          <w:p>
            <w:r>
              <w:rPr>
                <w:sz w:val="19"/>
                <w:szCs w:val="19"/>
              </w:rPr>
              <w:t xml:space="preserve">Volumen anormal antes [−3, −1]</w:t>
            </w:r>
          </w:p>
        </w:tc>
        <w:tc>
          <w:tcPr>
            <w:tcW w:type="pct" w:w="450"/>
            <w:shd w:fill="FAFCFD" w:val="clear"/>
            <w:tcMar>
              <w:top w:type="dxa" w:w="70"/>
              <w:left w:type="dxa" w:w="120"/>
              <w:bottom w:type="dxa" w:w="70"/>
              <w:right w:type="dxa" w:w="120"/>
            </w:tcMar>
          </w:tcPr>
          <w:p>
            <w:r>
              <w:rPr>
                <w:sz w:val="19"/>
                <w:szCs w:val="19"/>
              </w:rPr>
              <w:t xml:space="preserve">12</w:t>
            </w:r>
          </w:p>
        </w:tc>
        <w:tc>
          <w:tcPr>
            <w:tcW w:type="pct" w:w="650"/>
            <w:shd w:fill="FAFCFD" w:val="clear"/>
            <w:tcMar>
              <w:top w:type="dxa" w:w="70"/>
              <w:left w:type="dxa" w:w="120"/>
              <w:bottom w:type="dxa" w:w="70"/>
              <w:right w:type="dxa" w:w="120"/>
            </w:tcMar>
          </w:tcPr>
          <w:p>
            <w:r>
              <w:rPr>
                <w:sz w:val="19"/>
                <w:szCs w:val="19"/>
              </w:rPr>
              <w:t xml:space="preserve">-0,165</w:t>
            </w:r>
          </w:p>
        </w:tc>
        <w:tc>
          <w:tcPr>
            <w:tcW w:type="pct" w:w="650"/>
            <w:shd w:fill="FAFCFD" w:val="clear"/>
            <w:tcMar>
              <w:top w:type="dxa" w:w="70"/>
              <w:left w:type="dxa" w:w="120"/>
              <w:bottom w:type="dxa" w:w="70"/>
              <w:right w:type="dxa" w:w="120"/>
            </w:tcMar>
          </w:tcPr>
          <w:p>
            <w:r>
              <w:rPr>
                <w:sz w:val="19"/>
                <w:szCs w:val="19"/>
              </w:rPr>
              <w:t xml:space="preserve">-0,016</w:t>
            </w:r>
          </w:p>
        </w:tc>
        <w:tc>
          <w:tcPr>
            <w:tcW w:type="pct" w:w="550"/>
            <w:shd w:fill="FAFCFD" w:val="clear"/>
            <w:tcMar>
              <w:top w:type="dxa" w:w="70"/>
              <w:left w:type="dxa" w:w="120"/>
              <w:bottom w:type="dxa" w:w="70"/>
              <w:right w:type="dxa" w:w="120"/>
            </w:tcMar>
          </w:tcPr>
          <w:p>
            <w:r>
              <w:rPr>
                <w:sz w:val="19"/>
                <w:szCs w:val="19"/>
              </w:rPr>
              <w:t xml:space="preserve">0,098</w:t>
            </w:r>
          </w:p>
        </w:tc>
        <w:tc>
          <w:tcPr>
            <w:tcW w:type="pct" w:w="700"/>
            <w:shd w:fill="FAFCFD" w:val="clear"/>
            <w:tcMar>
              <w:top w:type="dxa" w:w="70"/>
              <w:left w:type="dxa" w:w="120"/>
              <w:bottom w:type="dxa" w:w="70"/>
              <w:right w:type="dxa" w:w="120"/>
            </w:tcMar>
          </w:tcPr>
          <w:p>
            <w:r>
              <w:rPr>
                <w:sz w:val="19"/>
                <w:szCs w:val="19"/>
              </w:rPr>
              <w:t xml:space="preserve">0,229</w:t>
            </w:r>
          </w:p>
        </w:tc>
      </w:tr>
      <w:tr>
        <w:trPr>
          <w:cantSplit/>
        </w:trPr>
        <w:tc>
          <w:tcPr>
            <w:tcW w:type="pct" w:w="550"/>
            <w:shd w:fill="FFFFFF" w:val="clear"/>
            <w:tcMar>
              <w:top w:type="dxa" w:w="70"/>
              <w:left w:type="dxa" w:w="120"/>
              <w:bottom w:type="dxa" w:w="70"/>
              <w:right w:type="dxa" w:w="120"/>
            </w:tcMar>
          </w:tcPr>
          <w:p>
            <w:r>
              <w:rPr>
                <w:sz w:val="19"/>
                <w:szCs w:val="19"/>
              </w:rPr>
              <w:t xml:space="preserve">Mercado</w:t>
            </w:r>
          </w:p>
        </w:tc>
        <w:tc>
          <w:tcPr>
            <w:tcW w:type="pct" w:w="1450"/>
            <w:shd w:fill="FFFFFF" w:val="clear"/>
            <w:tcMar>
              <w:top w:type="dxa" w:w="70"/>
              <w:left w:type="dxa" w:w="120"/>
              <w:bottom w:type="dxa" w:w="70"/>
              <w:right w:type="dxa" w:w="120"/>
            </w:tcMar>
          </w:tcPr>
          <w:p>
            <w:r>
              <w:rPr>
                <w:sz w:val="19"/>
                <w:szCs w:val="19"/>
              </w:rPr>
              <w:t xml:space="preserve">Volumen anormal día [0]</w:t>
            </w:r>
          </w:p>
        </w:tc>
        <w:tc>
          <w:tcPr>
            <w:tcW w:type="pct" w:w="450"/>
            <w:shd w:fill="FFFFFF" w:val="clear"/>
            <w:tcMar>
              <w:top w:type="dxa" w:w="70"/>
              <w:left w:type="dxa" w:w="120"/>
              <w:bottom w:type="dxa" w:w="70"/>
              <w:right w:type="dxa" w:w="120"/>
            </w:tcMar>
          </w:tcPr>
          <w:p>
            <w:r>
              <w:rPr>
                <w:sz w:val="19"/>
                <w:szCs w:val="19"/>
              </w:rPr>
              <w:t xml:space="preserve">12</w:t>
            </w:r>
          </w:p>
        </w:tc>
        <w:tc>
          <w:tcPr>
            <w:tcW w:type="pct" w:w="650"/>
            <w:shd w:fill="FFFFFF" w:val="clear"/>
            <w:tcMar>
              <w:top w:type="dxa" w:w="70"/>
              <w:left w:type="dxa" w:w="120"/>
              <w:bottom w:type="dxa" w:w="70"/>
              <w:right w:type="dxa" w:w="120"/>
            </w:tcMar>
          </w:tcPr>
          <w:p>
            <w:r>
              <w:rPr>
                <w:sz w:val="19"/>
                <w:szCs w:val="19"/>
              </w:rPr>
              <w:t xml:space="preserve">-0,095</w:t>
            </w:r>
          </w:p>
        </w:tc>
        <w:tc>
          <w:tcPr>
            <w:tcW w:type="pct" w:w="650"/>
            <w:shd w:fill="FFFFFF" w:val="clear"/>
            <w:tcMar>
              <w:top w:type="dxa" w:w="70"/>
              <w:left w:type="dxa" w:w="120"/>
              <w:bottom w:type="dxa" w:w="70"/>
              <w:right w:type="dxa" w:w="120"/>
            </w:tcMar>
          </w:tcPr>
          <w:p>
            <w:r>
              <w:rPr>
                <w:sz w:val="19"/>
                <w:szCs w:val="19"/>
              </w:rPr>
              <w:t xml:space="preserve">-0,027</w:t>
            </w:r>
          </w:p>
        </w:tc>
        <w:tc>
          <w:tcPr>
            <w:tcW w:type="pct" w:w="550"/>
            <w:shd w:fill="FFFFFF" w:val="clear"/>
            <w:tcMar>
              <w:top w:type="dxa" w:w="70"/>
              <w:left w:type="dxa" w:w="120"/>
              <w:bottom w:type="dxa" w:w="70"/>
              <w:right w:type="dxa" w:w="120"/>
            </w:tcMar>
          </w:tcPr>
          <w:p>
            <w:r>
              <w:rPr>
                <w:sz w:val="19"/>
                <w:szCs w:val="19"/>
              </w:rPr>
              <w:t xml:space="preserve">0,560</w:t>
            </w:r>
          </w:p>
        </w:tc>
        <w:tc>
          <w:tcPr>
            <w:tcW w:type="pct" w:w="700"/>
            <w:shd w:fill="FFFFFF" w:val="clear"/>
            <w:tcMar>
              <w:top w:type="dxa" w:w="70"/>
              <w:left w:type="dxa" w:w="120"/>
              <w:bottom w:type="dxa" w:w="70"/>
              <w:right w:type="dxa" w:w="120"/>
            </w:tcMar>
          </w:tcPr>
          <w:p>
            <w:r>
              <w:rPr>
                <w:sz w:val="19"/>
                <w:szCs w:val="19"/>
              </w:rPr>
              <w:t xml:space="preserve">0,560</w:t>
            </w:r>
          </w:p>
        </w:tc>
      </w:tr>
      <w:tr>
        <w:trPr>
          <w:cantSplit/>
        </w:trPr>
        <w:tc>
          <w:tcPr>
            <w:tcW w:type="pct" w:w="550"/>
            <w:shd w:fill="FAFCFD" w:val="clear"/>
            <w:tcMar>
              <w:top w:type="dxa" w:w="70"/>
              <w:left w:type="dxa" w:w="120"/>
              <w:bottom w:type="dxa" w:w="70"/>
              <w:right w:type="dxa" w:w="120"/>
            </w:tcMar>
          </w:tcPr>
          <w:p>
            <w:r>
              <w:rPr>
                <w:sz w:val="19"/>
                <w:szCs w:val="19"/>
              </w:rPr>
              <w:t xml:space="preserve">Mercado</w:t>
            </w:r>
          </w:p>
        </w:tc>
        <w:tc>
          <w:tcPr>
            <w:tcW w:type="pct" w:w="1450"/>
            <w:shd w:fill="FAFCFD" w:val="clear"/>
            <w:tcMar>
              <w:top w:type="dxa" w:w="70"/>
              <w:left w:type="dxa" w:w="120"/>
              <w:bottom w:type="dxa" w:w="70"/>
              <w:right w:type="dxa" w:w="120"/>
            </w:tcMar>
          </w:tcPr>
          <w:p>
            <w:r>
              <w:rPr>
                <w:sz w:val="19"/>
                <w:szCs w:val="19"/>
              </w:rPr>
              <w:t xml:space="preserve">Volumen anormal después [+1, +5]</w:t>
            </w:r>
          </w:p>
        </w:tc>
        <w:tc>
          <w:tcPr>
            <w:tcW w:type="pct" w:w="450"/>
            <w:shd w:fill="FAFCFD" w:val="clear"/>
            <w:tcMar>
              <w:top w:type="dxa" w:w="70"/>
              <w:left w:type="dxa" w:w="120"/>
              <w:bottom w:type="dxa" w:w="70"/>
              <w:right w:type="dxa" w:w="120"/>
            </w:tcMar>
          </w:tcPr>
          <w:p>
            <w:r>
              <w:rPr>
                <w:sz w:val="19"/>
                <w:szCs w:val="19"/>
              </w:rPr>
              <w:t xml:space="preserve">12</w:t>
            </w:r>
          </w:p>
        </w:tc>
        <w:tc>
          <w:tcPr>
            <w:tcW w:type="pct" w:w="650"/>
            <w:shd w:fill="FAFCFD" w:val="clear"/>
            <w:tcMar>
              <w:top w:type="dxa" w:w="70"/>
              <w:left w:type="dxa" w:w="120"/>
              <w:bottom w:type="dxa" w:w="70"/>
              <w:right w:type="dxa" w:w="120"/>
            </w:tcMar>
          </w:tcPr>
          <w:p>
            <w:r>
              <w:rPr>
                <w:sz w:val="19"/>
                <w:szCs w:val="19"/>
              </w:rPr>
              <w:t xml:space="preserve">-0,167</w:t>
            </w:r>
          </w:p>
        </w:tc>
        <w:tc>
          <w:tcPr>
            <w:tcW w:type="pct" w:w="650"/>
            <w:shd w:fill="FAFCFD" w:val="clear"/>
            <w:tcMar>
              <w:top w:type="dxa" w:w="70"/>
              <w:left w:type="dxa" w:w="120"/>
              <w:bottom w:type="dxa" w:w="70"/>
              <w:right w:type="dxa" w:w="120"/>
            </w:tcMar>
          </w:tcPr>
          <w:p>
            <w:r>
              <w:rPr>
                <w:sz w:val="19"/>
                <w:szCs w:val="19"/>
              </w:rPr>
              <w:t xml:space="preserve">-0,035</w:t>
            </w:r>
          </w:p>
        </w:tc>
        <w:tc>
          <w:tcPr>
            <w:tcW w:type="pct" w:w="550"/>
            <w:shd w:fill="FAFCFD" w:val="clear"/>
            <w:tcMar>
              <w:top w:type="dxa" w:w="70"/>
              <w:left w:type="dxa" w:w="120"/>
              <w:bottom w:type="dxa" w:w="70"/>
              <w:right w:type="dxa" w:w="120"/>
            </w:tcMar>
          </w:tcPr>
          <w:p>
            <w:r>
              <w:rPr>
                <w:sz w:val="19"/>
                <w:szCs w:val="19"/>
              </w:rPr>
              <w:t xml:space="preserve">0,061</w:t>
            </w:r>
          </w:p>
        </w:tc>
        <w:tc>
          <w:tcPr>
            <w:tcW w:type="pct" w:w="700"/>
            <w:shd w:fill="FAFCFD" w:val="clear"/>
            <w:tcMar>
              <w:top w:type="dxa" w:w="70"/>
              <w:left w:type="dxa" w:w="120"/>
              <w:bottom w:type="dxa" w:w="70"/>
              <w:right w:type="dxa" w:w="120"/>
            </w:tcMar>
          </w:tcPr>
          <w:p>
            <w:r>
              <w:rPr>
                <w:sz w:val="19"/>
                <w:szCs w:val="19"/>
              </w:rPr>
              <w:t xml:space="preserve">0,171</w:t>
            </w:r>
          </w:p>
        </w:tc>
      </w:tr>
      <w:tr>
        <w:trPr>
          <w:cantSplit/>
        </w:trPr>
        <w:tc>
          <w:tcPr>
            <w:tcW w:type="pct" w:w="550"/>
            <w:shd w:fill="FFFFFF" w:val="clear"/>
            <w:tcMar>
              <w:top w:type="dxa" w:w="70"/>
              <w:left w:type="dxa" w:w="120"/>
              <w:bottom w:type="dxa" w:w="70"/>
              <w:right w:type="dxa" w:w="120"/>
            </w:tcMar>
          </w:tcPr>
          <w:p>
            <w:r>
              <w:rPr>
                <w:sz w:val="19"/>
                <w:szCs w:val="19"/>
              </w:rPr>
              <w:t xml:space="preserve">Mercado</w:t>
            </w:r>
          </w:p>
        </w:tc>
        <w:tc>
          <w:tcPr>
            <w:tcW w:type="pct" w:w="1450"/>
            <w:shd w:fill="FFFFFF" w:val="clear"/>
            <w:tcMar>
              <w:top w:type="dxa" w:w="70"/>
              <w:left w:type="dxa" w:w="120"/>
              <w:bottom w:type="dxa" w:w="70"/>
              <w:right w:type="dxa" w:w="120"/>
            </w:tcMar>
          </w:tcPr>
          <w:p>
            <w:r>
              <w:rPr>
                <w:sz w:val="19"/>
                <w:szCs w:val="19"/>
              </w:rPr>
              <w:t xml:space="preserve">CAR antes [−3, −1]</w:t>
            </w:r>
          </w:p>
        </w:tc>
        <w:tc>
          <w:tcPr>
            <w:tcW w:type="pct" w:w="450"/>
            <w:shd w:fill="FFFFFF" w:val="clear"/>
            <w:tcMar>
              <w:top w:type="dxa" w:w="70"/>
              <w:left w:type="dxa" w:w="120"/>
              <w:bottom w:type="dxa" w:w="70"/>
              <w:right w:type="dxa" w:w="120"/>
            </w:tcMar>
          </w:tcPr>
          <w:p>
            <w:r>
              <w:rPr>
                <w:sz w:val="19"/>
                <w:szCs w:val="19"/>
              </w:rPr>
              <w:t xml:space="preserve">12</w:t>
            </w:r>
          </w:p>
        </w:tc>
        <w:tc>
          <w:tcPr>
            <w:tcW w:type="pct" w:w="650"/>
            <w:shd w:fill="FFFFFF" w:val="clear"/>
            <w:tcMar>
              <w:top w:type="dxa" w:w="70"/>
              <w:left w:type="dxa" w:w="120"/>
              <w:bottom w:type="dxa" w:w="70"/>
              <w:right w:type="dxa" w:w="120"/>
            </w:tcMar>
          </w:tcPr>
          <w:p>
            <w:r>
              <w:rPr>
                <w:sz w:val="19"/>
                <w:szCs w:val="19"/>
              </w:rPr>
              <w:t xml:space="preserve">-2,59%</w:t>
            </w:r>
          </w:p>
        </w:tc>
        <w:tc>
          <w:tcPr>
            <w:tcW w:type="pct" w:w="650"/>
            <w:shd w:fill="FFFFFF" w:val="clear"/>
            <w:tcMar>
              <w:top w:type="dxa" w:w="70"/>
              <w:left w:type="dxa" w:w="120"/>
              <w:bottom w:type="dxa" w:w="70"/>
              <w:right w:type="dxa" w:w="120"/>
            </w:tcMar>
          </w:tcPr>
          <w:p>
            <w:r>
              <w:rPr>
                <w:sz w:val="19"/>
                <w:szCs w:val="19"/>
              </w:rPr>
              <w:t xml:space="preserve">-0,18%</w:t>
            </w:r>
          </w:p>
        </w:tc>
        <w:tc>
          <w:tcPr>
            <w:tcW w:type="pct" w:w="550"/>
            <w:shd w:fill="FFFFFF" w:val="clear"/>
            <w:tcMar>
              <w:top w:type="dxa" w:w="70"/>
              <w:left w:type="dxa" w:w="120"/>
              <w:bottom w:type="dxa" w:w="70"/>
              <w:right w:type="dxa" w:w="120"/>
            </w:tcMar>
          </w:tcPr>
          <w:p>
            <w:r>
              <w:rPr>
                <w:sz w:val="19"/>
                <w:szCs w:val="19"/>
              </w:rPr>
              <w:t xml:space="preserve">0,055</w:t>
            </w:r>
          </w:p>
        </w:tc>
        <w:tc>
          <w:tcPr>
            <w:tcW w:type="pct" w:w="700"/>
            <w:shd w:fill="FFFFFF" w:val="clear"/>
            <w:tcMar>
              <w:top w:type="dxa" w:w="70"/>
              <w:left w:type="dxa" w:w="120"/>
              <w:bottom w:type="dxa" w:w="70"/>
              <w:right w:type="dxa" w:w="120"/>
            </w:tcMar>
          </w:tcPr>
          <w:p>
            <w:r>
              <w:rPr>
                <w:sz w:val="19"/>
                <w:szCs w:val="19"/>
              </w:rPr>
              <w:t xml:space="preserve">0,171</w:t>
            </w:r>
          </w:p>
        </w:tc>
      </w:tr>
      <w:tr>
        <w:trPr>
          <w:cantSplit/>
        </w:trPr>
        <w:tc>
          <w:tcPr>
            <w:tcW w:type="pct" w:w="550"/>
            <w:shd w:fill="FAFCFD" w:val="clear"/>
            <w:tcMar>
              <w:top w:type="dxa" w:w="70"/>
              <w:left w:type="dxa" w:w="120"/>
              <w:bottom w:type="dxa" w:w="70"/>
              <w:right w:type="dxa" w:w="120"/>
            </w:tcMar>
          </w:tcPr>
          <w:p>
            <w:r>
              <w:rPr>
                <w:sz w:val="19"/>
                <w:szCs w:val="19"/>
              </w:rPr>
              <w:t xml:space="preserve">Mercado</w:t>
            </w:r>
          </w:p>
        </w:tc>
        <w:tc>
          <w:tcPr>
            <w:tcW w:type="pct" w:w="1450"/>
            <w:shd w:fill="FAFCFD" w:val="clear"/>
            <w:tcMar>
              <w:top w:type="dxa" w:w="70"/>
              <w:left w:type="dxa" w:w="120"/>
              <w:bottom w:type="dxa" w:w="70"/>
              <w:right w:type="dxa" w:w="120"/>
            </w:tcMar>
          </w:tcPr>
          <w:p>
            <w:r>
              <w:rPr>
                <w:sz w:val="19"/>
                <w:szCs w:val="19"/>
              </w:rPr>
              <w:t xml:space="preserve">CAR día [0]</w:t>
            </w:r>
          </w:p>
        </w:tc>
        <w:tc>
          <w:tcPr>
            <w:tcW w:type="pct" w:w="450"/>
            <w:shd w:fill="FAFCFD" w:val="clear"/>
            <w:tcMar>
              <w:top w:type="dxa" w:w="70"/>
              <w:left w:type="dxa" w:w="120"/>
              <w:bottom w:type="dxa" w:w="70"/>
              <w:right w:type="dxa" w:w="120"/>
            </w:tcMar>
          </w:tcPr>
          <w:p>
            <w:r>
              <w:rPr>
                <w:sz w:val="19"/>
                <w:szCs w:val="19"/>
              </w:rPr>
              <w:t xml:space="preserve">12</w:t>
            </w:r>
          </w:p>
        </w:tc>
        <w:tc>
          <w:tcPr>
            <w:tcW w:type="pct" w:w="650"/>
            <w:shd w:fill="FAFCFD" w:val="clear"/>
            <w:tcMar>
              <w:top w:type="dxa" w:w="70"/>
              <w:left w:type="dxa" w:w="120"/>
              <w:bottom w:type="dxa" w:w="70"/>
              <w:right w:type="dxa" w:w="120"/>
            </w:tcMar>
          </w:tcPr>
          <w:p>
            <w:r>
              <w:rPr>
                <w:sz w:val="19"/>
                <w:szCs w:val="19"/>
              </w:rPr>
              <w:t xml:space="preserve">-0,90%</w:t>
            </w:r>
          </w:p>
        </w:tc>
        <w:tc>
          <w:tcPr>
            <w:tcW w:type="pct" w:w="650"/>
            <w:shd w:fill="FAFCFD" w:val="clear"/>
            <w:tcMar>
              <w:top w:type="dxa" w:w="70"/>
              <w:left w:type="dxa" w:w="120"/>
              <w:bottom w:type="dxa" w:w="70"/>
              <w:right w:type="dxa" w:w="120"/>
            </w:tcMar>
          </w:tcPr>
          <w:p>
            <w:r>
              <w:rPr>
                <w:sz w:val="19"/>
                <w:szCs w:val="19"/>
              </w:rPr>
              <w:t xml:space="preserve">-0,07%</w:t>
            </w:r>
          </w:p>
        </w:tc>
        <w:tc>
          <w:tcPr>
            <w:tcW w:type="pct" w:w="550"/>
            <w:shd w:fill="FAFCFD" w:val="clear"/>
            <w:tcMar>
              <w:top w:type="dxa" w:w="70"/>
              <w:left w:type="dxa" w:w="120"/>
              <w:bottom w:type="dxa" w:w="70"/>
              <w:right w:type="dxa" w:w="120"/>
            </w:tcMar>
          </w:tcPr>
          <w:p>
            <w:r>
              <w:rPr>
                <w:sz w:val="19"/>
                <w:szCs w:val="19"/>
              </w:rPr>
              <w:t xml:space="preserve">0,212</w:t>
            </w:r>
          </w:p>
        </w:tc>
        <w:tc>
          <w:tcPr>
            <w:tcW w:type="pct" w:w="700"/>
            <w:shd w:fill="FAFCFD" w:val="clear"/>
            <w:tcMar>
              <w:top w:type="dxa" w:w="70"/>
              <w:left w:type="dxa" w:w="120"/>
              <w:bottom w:type="dxa" w:w="70"/>
              <w:right w:type="dxa" w:w="120"/>
            </w:tcMar>
          </w:tcPr>
          <w:p>
            <w:r>
              <w:rPr>
                <w:sz w:val="19"/>
                <w:szCs w:val="19"/>
              </w:rPr>
              <w:t xml:space="preserve">0,424</w:t>
            </w:r>
          </w:p>
        </w:tc>
      </w:tr>
      <w:tr>
        <w:trPr>
          <w:cantSplit/>
        </w:trPr>
        <w:tc>
          <w:tcPr>
            <w:tcW w:type="pct" w:w="550"/>
            <w:shd w:fill="FFFFFF" w:val="clear"/>
            <w:tcMar>
              <w:top w:type="dxa" w:w="70"/>
              <w:left w:type="dxa" w:w="120"/>
              <w:bottom w:type="dxa" w:w="70"/>
              <w:right w:type="dxa" w:w="120"/>
            </w:tcMar>
          </w:tcPr>
          <w:p>
            <w:r>
              <w:rPr>
                <w:sz w:val="19"/>
                <w:szCs w:val="19"/>
              </w:rPr>
              <w:t xml:space="preserve">Mercado</w:t>
            </w:r>
          </w:p>
        </w:tc>
        <w:tc>
          <w:tcPr>
            <w:tcW w:type="pct" w:w="1450"/>
            <w:shd w:fill="FFFFFF" w:val="clear"/>
            <w:tcMar>
              <w:top w:type="dxa" w:w="70"/>
              <w:left w:type="dxa" w:w="120"/>
              <w:bottom w:type="dxa" w:w="70"/>
              <w:right w:type="dxa" w:w="120"/>
            </w:tcMar>
          </w:tcPr>
          <w:p>
            <w:r>
              <w:rPr>
                <w:sz w:val="19"/>
                <w:szCs w:val="19"/>
              </w:rPr>
              <w:t xml:space="preserve">CAR después [+1, +5]</w:t>
            </w:r>
          </w:p>
        </w:tc>
        <w:tc>
          <w:tcPr>
            <w:tcW w:type="pct" w:w="450"/>
            <w:shd w:fill="FFFFFF" w:val="clear"/>
            <w:tcMar>
              <w:top w:type="dxa" w:w="70"/>
              <w:left w:type="dxa" w:w="120"/>
              <w:bottom w:type="dxa" w:w="70"/>
              <w:right w:type="dxa" w:w="120"/>
            </w:tcMar>
          </w:tcPr>
          <w:p>
            <w:r>
              <w:rPr>
                <w:sz w:val="19"/>
                <w:szCs w:val="19"/>
              </w:rPr>
              <w:t xml:space="preserve">12</w:t>
            </w:r>
          </w:p>
        </w:tc>
        <w:tc>
          <w:tcPr>
            <w:tcW w:type="pct" w:w="650"/>
            <w:shd w:fill="FFFFFF" w:val="clear"/>
            <w:tcMar>
              <w:top w:type="dxa" w:w="70"/>
              <w:left w:type="dxa" w:w="120"/>
              <w:bottom w:type="dxa" w:w="70"/>
              <w:right w:type="dxa" w:w="120"/>
            </w:tcMar>
          </w:tcPr>
          <w:p>
            <w:r>
              <w:rPr>
                <w:sz w:val="19"/>
                <w:szCs w:val="19"/>
              </w:rPr>
              <w:t xml:space="preserve">-1,57%</w:t>
            </w:r>
          </w:p>
        </w:tc>
        <w:tc>
          <w:tcPr>
            <w:tcW w:type="pct" w:w="650"/>
            <w:shd w:fill="FFFFFF" w:val="clear"/>
            <w:tcMar>
              <w:top w:type="dxa" w:w="70"/>
              <w:left w:type="dxa" w:w="120"/>
              <w:bottom w:type="dxa" w:w="70"/>
              <w:right w:type="dxa" w:w="120"/>
            </w:tcMar>
          </w:tcPr>
          <w:p>
            <w:r>
              <w:rPr>
                <w:sz w:val="19"/>
                <w:szCs w:val="19"/>
              </w:rPr>
              <w:t xml:space="preserve">-0,45%</w:t>
            </w:r>
          </w:p>
        </w:tc>
        <w:tc>
          <w:tcPr>
            <w:tcW w:type="pct" w:w="550"/>
            <w:shd w:fill="FFFFFF" w:val="clear"/>
            <w:tcMar>
              <w:top w:type="dxa" w:w="70"/>
              <w:left w:type="dxa" w:w="120"/>
              <w:bottom w:type="dxa" w:w="70"/>
              <w:right w:type="dxa" w:w="120"/>
            </w:tcMar>
          </w:tcPr>
          <w:p>
            <w:r>
              <w:rPr>
                <w:sz w:val="19"/>
                <w:szCs w:val="19"/>
              </w:rPr>
              <w:t xml:space="preserve">0,503</w:t>
            </w:r>
          </w:p>
        </w:tc>
        <w:tc>
          <w:tcPr>
            <w:tcW w:type="pct" w:w="700"/>
            <w:shd w:fill="FFFFFF" w:val="clear"/>
            <w:tcMar>
              <w:top w:type="dxa" w:w="70"/>
              <w:left w:type="dxa" w:w="120"/>
              <w:bottom w:type="dxa" w:w="70"/>
              <w:right w:type="dxa" w:w="120"/>
            </w:tcMar>
          </w:tcPr>
          <w:p>
            <w:r>
              <w:rPr>
                <w:sz w:val="19"/>
                <w:szCs w:val="19"/>
              </w:rPr>
              <w:t xml:space="preserve">0,560</w:t>
            </w:r>
          </w:p>
        </w:tc>
      </w:tr>
      <w:tr>
        <w:trPr>
          <w:cantSplit/>
        </w:trPr>
        <w:tc>
          <w:tcPr>
            <w:tcW w:type="pct" w:w="550"/>
            <w:shd w:fill="FAFCFD" w:val="clear"/>
            <w:tcMar>
              <w:top w:type="dxa" w:w="70"/>
              <w:left w:type="dxa" w:w="120"/>
              <w:bottom w:type="dxa" w:w="70"/>
              <w:right w:type="dxa" w:w="120"/>
            </w:tcMar>
          </w:tcPr>
          <w:p>
            <w:r>
              <w:rPr>
                <w:sz w:val="19"/>
                <w:szCs w:val="19"/>
              </w:rPr>
              <w:t xml:space="preserve">Empresas</w:t>
            </w:r>
          </w:p>
        </w:tc>
        <w:tc>
          <w:tcPr>
            <w:tcW w:type="pct" w:w="1450"/>
            <w:shd w:fill="FAFCFD" w:val="clear"/>
            <w:tcMar>
              <w:top w:type="dxa" w:w="70"/>
              <w:left w:type="dxa" w:w="120"/>
              <w:bottom w:type="dxa" w:w="70"/>
              <w:right w:type="dxa" w:w="120"/>
            </w:tcMar>
          </w:tcPr>
          <w:p>
            <w:r>
              <w:rPr>
                <w:sz w:val="19"/>
                <w:szCs w:val="19"/>
              </w:rPr>
              <w:t xml:space="preserve">|retorno anormal| del día [0]</w:t>
            </w:r>
          </w:p>
        </w:tc>
        <w:tc>
          <w:tcPr>
            <w:tcW w:type="pct" w:w="450"/>
            <w:shd w:fill="FAFCFD" w:val="clear"/>
            <w:tcMar>
              <w:top w:type="dxa" w:w="70"/>
              <w:left w:type="dxa" w:w="120"/>
              <w:bottom w:type="dxa" w:w="70"/>
              <w:right w:type="dxa" w:w="120"/>
            </w:tcMar>
          </w:tcPr>
          <w:p>
            <w:r>
              <w:rPr>
                <w:sz w:val="19"/>
                <w:szCs w:val="19"/>
              </w:rPr>
              <w:t xml:space="preserve">105</w:t>
            </w:r>
          </w:p>
        </w:tc>
        <w:tc>
          <w:tcPr>
            <w:tcW w:type="pct" w:w="650"/>
            <w:shd w:fill="FAFCFD" w:val="clear"/>
            <w:tcMar>
              <w:top w:type="dxa" w:w="70"/>
              <w:left w:type="dxa" w:w="120"/>
              <w:bottom w:type="dxa" w:w="70"/>
              <w:right w:type="dxa" w:w="120"/>
            </w:tcMar>
          </w:tcPr>
          <w:p>
            <w:r>
              <w:rPr>
                <w:sz w:val="19"/>
                <w:szCs w:val="19"/>
              </w:rPr>
              <w:t xml:space="preserve">2,15%</w:t>
            </w:r>
          </w:p>
        </w:tc>
        <w:tc>
          <w:tcPr>
            <w:tcW w:type="pct" w:w="650"/>
            <w:shd w:fill="FAFCFD" w:val="clear"/>
            <w:tcMar>
              <w:top w:type="dxa" w:w="70"/>
              <w:left w:type="dxa" w:w="120"/>
              <w:bottom w:type="dxa" w:w="70"/>
              <w:right w:type="dxa" w:w="120"/>
            </w:tcMar>
          </w:tcPr>
          <w:p>
            <w:r>
              <w:rPr>
                <w:sz w:val="19"/>
                <w:szCs w:val="19"/>
              </w:rPr>
              <w:t xml:space="preserve">1,61%</w:t>
            </w:r>
          </w:p>
        </w:tc>
        <w:tc>
          <w:tcPr>
            <w:tcW w:type="pct" w:w="550"/>
            <w:shd w:fill="FAFCFD" w:val="clear"/>
            <w:tcMar>
              <w:top w:type="dxa" w:w="70"/>
              <w:left w:type="dxa" w:w="120"/>
              <w:bottom w:type="dxa" w:w="70"/>
              <w:right w:type="dxa" w:w="120"/>
            </w:tcMar>
          </w:tcPr>
          <w:p>
            <w:r>
              <w:rPr>
                <w:sz w:val="19"/>
                <w:szCs w:val="19"/>
              </w:rPr>
              <w:t xml:space="preserve">&lt; 0,001</w:t>
            </w:r>
          </w:p>
        </w:tc>
        <w:tc>
          <w:tcPr>
            <w:tcW w:type="pct" w:w="700"/>
            <w:shd w:fill="FAFCFD" w:val="clear"/>
            <w:tcMar>
              <w:top w:type="dxa" w:w="70"/>
              <w:left w:type="dxa" w:w="120"/>
              <w:bottom w:type="dxa" w:w="70"/>
              <w:right w:type="dxa" w:w="120"/>
            </w:tcMar>
          </w:tcPr>
          <w:p>
            <w:r>
              <w:rPr>
                <w:sz w:val="19"/>
                <w:szCs w:val="19"/>
              </w:rPr>
              <w:t xml:space="preserve">0,011</w:t>
            </w:r>
          </w:p>
        </w:tc>
      </w:tr>
      <w:tr>
        <w:trPr>
          <w:cantSplit/>
        </w:trPr>
        <w:tc>
          <w:tcPr>
            <w:tcW w:type="pct" w:w="550"/>
            <w:shd w:fill="FFFFFF" w:val="clear"/>
            <w:tcMar>
              <w:top w:type="dxa" w:w="70"/>
              <w:left w:type="dxa" w:w="120"/>
              <w:bottom w:type="dxa" w:w="70"/>
              <w:right w:type="dxa" w:w="120"/>
            </w:tcMar>
          </w:tcPr>
          <w:p>
            <w:r>
              <w:rPr>
                <w:sz w:val="19"/>
                <w:szCs w:val="19"/>
              </w:rPr>
              <w:t xml:space="preserve">Empresas</w:t>
            </w:r>
          </w:p>
        </w:tc>
        <w:tc>
          <w:tcPr>
            <w:tcW w:type="pct" w:w="1450"/>
            <w:shd w:fill="FFFFFF" w:val="clear"/>
            <w:tcMar>
              <w:top w:type="dxa" w:w="70"/>
              <w:left w:type="dxa" w:w="120"/>
              <w:bottom w:type="dxa" w:w="70"/>
              <w:right w:type="dxa" w:w="120"/>
            </w:tcMar>
          </w:tcPr>
          <w:p>
            <w:r>
              <w:rPr>
                <w:sz w:val="19"/>
                <w:szCs w:val="19"/>
              </w:rPr>
              <w:t xml:space="preserve">Volumen anormal antes [−3, −1]</w:t>
            </w:r>
          </w:p>
        </w:tc>
        <w:tc>
          <w:tcPr>
            <w:tcW w:type="pct" w:w="450"/>
            <w:shd w:fill="FFFFFF" w:val="clear"/>
            <w:tcMar>
              <w:top w:type="dxa" w:w="70"/>
              <w:left w:type="dxa" w:w="120"/>
              <w:bottom w:type="dxa" w:w="70"/>
              <w:right w:type="dxa" w:w="120"/>
            </w:tcMar>
          </w:tcPr>
          <w:p>
            <w:r>
              <w:rPr>
                <w:sz w:val="19"/>
                <w:szCs w:val="19"/>
              </w:rPr>
              <w:t xml:space="preserve">105</w:t>
            </w:r>
          </w:p>
        </w:tc>
        <w:tc>
          <w:tcPr>
            <w:tcW w:type="pct" w:w="650"/>
            <w:shd w:fill="FFFFFF" w:val="clear"/>
            <w:tcMar>
              <w:top w:type="dxa" w:w="70"/>
              <w:left w:type="dxa" w:w="120"/>
              <w:bottom w:type="dxa" w:w="70"/>
              <w:right w:type="dxa" w:w="120"/>
            </w:tcMar>
          </w:tcPr>
          <w:p>
            <w:r>
              <w:rPr>
                <w:sz w:val="19"/>
                <w:szCs w:val="19"/>
              </w:rPr>
              <w:t xml:space="preserve">0,039</w:t>
            </w:r>
          </w:p>
        </w:tc>
        <w:tc>
          <w:tcPr>
            <w:tcW w:type="pct" w:w="650"/>
            <w:shd w:fill="FFFFFF" w:val="clear"/>
            <w:tcMar>
              <w:top w:type="dxa" w:w="70"/>
              <w:left w:type="dxa" w:w="120"/>
              <w:bottom w:type="dxa" w:w="70"/>
              <w:right w:type="dxa" w:w="120"/>
            </w:tcMar>
          </w:tcPr>
          <w:p>
            <w:r>
              <w:rPr>
                <w:sz w:val="19"/>
                <w:szCs w:val="19"/>
              </w:rPr>
              <w:t xml:space="preserve">-0,043</w:t>
            </w:r>
          </w:p>
        </w:tc>
        <w:tc>
          <w:tcPr>
            <w:tcW w:type="pct" w:w="550"/>
            <w:shd w:fill="FFFFFF" w:val="clear"/>
            <w:tcMar>
              <w:top w:type="dxa" w:w="70"/>
              <w:left w:type="dxa" w:w="120"/>
              <w:bottom w:type="dxa" w:w="70"/>
              <w:right w:type="dxa" w:w="120"/>
            </w:tcMar>
          </w:tcPr>
          <w:p>
            <w:r>
              <w:rPr>
                <w:sz w:val="19"/>
                <w:szCs w:val="19"/>
              </w:rPr>
              <w:t xml:space="preserve">0,055</w:t>
            </w:r>
          </w:p>
        </w:tc>
        <w:tc>
          <w:tcPr>
            <w:tcW w:type="pct" w:w="700"/>
            <w:shd w:fill="FFFFFF" w:val="clear"/>
            <w:tcMar>
              <w:top w:type="dxa" w:w="70"/>
              <w:left w:type="dxa" w:w="120"/>
              <w:bottom w:type="dxa" w:w="70"/>
              <w:right w:type="dxa" w:w="120"/>
            </w:tcMar>
          </w:tcPr>
          <w:p>
            <w:r>
              <w:rPr>
                <w:sz w:val="19"/>
                <w:szCs w:val="19"/>
              </w:rPr>
              <w:t xml:space="preserve">0,171</w:t>
            </w:r>
          </w:p>
        </w:tc>
      </w:tr>
      <w:tr>
        <w:trPr>
          <w:cantSplit/>
        </w:trPr>
        <w:tc>
          <w:tcPr>
            <w:tcW w:type="pct" w:w="550"/>
            <w:shd w:fill="FAFCFD" w:val="clear"/>
            <w:tcMar>
              <w:top w:type="dxa" w:w="70"/>
              <w:left w:type="dxa" w:w="120"/>
              <w:bottom w:type="dxa" w:w="70"/>
              <w:right w:type="dxa" w:w="120"/>
            </w:tcMar>
          </w:tcPr>
          <w:p>
            <w:r>
              <w:rPr>
                <w:sz w:val="19"/>
                <w:szCs w:val="19"/>
              </w:rPr>
              <w:t xml:space="preserve">Empresas</w:t>
            </w:r>
          </w:p>
        </w:tc>
        <w:tc>
          <w:tcPr>
            <w:tcW w:type="pct" w:w="1450"/>
            <w:shd w:fill="FAFCFD" w:val="clear"/>
            <w:tcMar>
              <w:top w:type="dxa" w:w="70"/>
              <w:left w:type="dxa" w:w="120"/>
              <w:bottom w:type="dxa" w:w="70"/>
              <w:right w:type="dxa" w:w="120"/>
            </w:tcMar>
          </w:tcPr>
          <w:p>
            <w:r>
              <w:rPr>
                <w:sz w:val="19"/>
                <w:szCs w:val="19"/>
              </w:rPr>
              <w:t xml:space="preserve">Volumen anormal día [0]</w:t>
            </w:r>
          </w:p>
        </w:tc>
        <w:tc>
          <w:tcPr>
            <w:tcW w:type="pct" w:w="450"/>
            <w:shd w:fill="FAFCFD" w:val="clear"/>
            <w:tcMar>
              <w:top w:type="dxa" w:w="70"/>
              <w:left w:type="dxa" w:w="120"/>
              <w:bottom w:type="dxa" w:w="70"/>
              <w:right w:type="dxa" w:w="120"/>
            </w:tcMar>
          </w:tcPr>
          <w:p>
            <w:r>
              <w:rPr>
                <w:sz w:val="19"/>
                <w:szCs w:val="19"/>
              </w:rPr>
              <w:t xml:space="preserve">105</w:t>
            </w:r>
          </w:p>
        </w:tc>
        <w:tc>
          <w:tcPr>
            <w:tcW w:type="pct" w:w="650"/>
            <w:shd w:fill="FAFCFD" w:val="clear"/>
            <w:tcMar>
              <w:top w:type="dxa" w:w="70"/>
              <w:left w:type="dxa" w:w="120"/>
              <w:bottom w:type="dxa" w:w="70"/>
              <w:right w:type="dxa" w:w="120"/>
            </w:tcMar>
          </w:tcPr>
          <w:p>
            <w:r>
              <w:rPr>
                <w:sz w:val="19"/>
                <w:szCs w:val="19"/>
              </w:rPr>
              <w:t xml:space="preserve">0,125</w:t>
            </w:r>
          </w:p>
        </w:tc>
        <w:tc>
          <w:tcPr>
            <w:tcW w:type="pct" w:w="650"/>
            <w:shd w:fill="FAFCFD" w:val="clear"/>
            <w:tcMar>
              <w:top w:type="dxa" w:w="70"/>
              <w:left w:type="dxa" w:w="120"/>
              <w:bottom w:type="dxa" w:w="70"/>
              <w:right w:type="dxa" w:w="120"/>
            </w:tcMar>
          </w:tcPr>
          <w:p>
            <w:r>
              <w:rPr>
                <w:sz w:val="19"/>
                <w:szCs w:val="19"/>
              </w:rPr>
              <w:t xml:space="preserve">-0,054</w:t>
            </w:r>
          </w:p>
        </w:tc>
        <w:tc>
          <w:tcPr>
            <w:tcW w:type="pct" w:w="550"/>
            <w:shd w:fill="FAFCFD" w:val="clear"/>
            <w:tcMar>
              <w:top w:type="dxa" w:w="70"/>
              <w:left w:type="dxa" w:w="120"/>
              <w:bottom w:type="dxa" w:w="70"/>
              <w:right w:type="dxa" w:w="120"/>
            </w:tcMar>
          </w:tcPr>
          <w:p>
            <w:r>
              <w:rPr>
                <w:sz w:val="19"/>
                <w:szCs w:val="19"/>
              </w:rPr>
              <w:t xml:space="preserve">0,003</w:t>
            </w:r>
          </w:p>
        </w:tc>
        <w:tc>
          <w:tcPr>
            <w:tcW w:type="pct" w:w="700"/>
            <w:shd w:fill="FAFCFD" w:val="clear"/>
            <w:tcMar>
              <w:top w:type="dxa" w:w="70"/>
              <w:left w:type="dxa" w:w="120"/>
              <w:bottom w:type="dxa" w:w="70"/>
              <w:right w:type="dxa" w:w="120"/>
            </w:tcMar>
          </w:tcPr>
          <w:p>
            <w:r>
              <w:rPr>
                <w:sz w:val="19"/>
                <w:szCs w:val="19"/>
              </w:rPr>
              <w:t xml:space="preserve">0,021</w:t>
            </w:r>
          </w:p>
        </w:tc>
      </w:tr>
      <w:tr>
        <w:trPr>
          <w:cantSplit/>
        </w:trPr>
        <w:tc>
          <w:tcPr>
            <w:tcW w:type="pct" w:w="550"/>
            <w:shd w:fill="FFFFFF" w:val="clear"/>
            <w:tcMar>
              <w:top w:type="dxa" w:w="70"/>
              <w:left w:type="dxa" w:w="120"/>
              <w:bottom w:type="dxa" w:w="70"/>
              <w:right w:type="dxa" w:w="120"/>
            </w:tcMar>
          </w:tcPr>
          <w:p>
            <w:r>
              <w:rPr>
                <w:sz w:val="19"/>
                <w:szCs w:val="19"/>
              </w:rPr>
              <w:t xml:space="preserve">Empresas</w:t>
            </w:r>
          </w:p>
        </w:tc>
        <w:tc>
          <w:tcPr>
            <w:tcW w:type="pct" w:w="1450"/>
            <w:shd w:fill="FFFFFF" w:val="clear"/>
            <w:tcMar>
              <w:top w:type="dxa" w:w="70"/>
              <w:left w:type="dxa" w:w="120"/>
              <w:bottom w:type="dxa" w:w="70"/>
              <w:right w:type="dxa" w:w="120"/>
            </w:tcMar>
          </w:tcPr>
          <w:p>
            <w:r>
              <w:rPr>
                <w:sz w:val="19"/>
                <w:szCs w:val="19"/>
              </w:rPr>
              <w:t xml:space="preserve">Volumen anormal después [+1, +5]</w:t>
            </w:r>
          </w:p>
        </w:tc>
        <w:tc>
          <w:tcPr>
            <w:tcW w:type="pct" w:w="450"/>
            <w:shd w:fill="FFFFFF" w:val="clear"/>
            <w:tcMar>
              <w:top w:type="dxa" w:w="70"/>
              <w:left w:type="dxa" w:w="120"/>
              <w:bottom w:type="dxa" w:w="70"/>
              <w:right w:type="dxa" w:w="120"/>
            </w:tcMar>
          </w:tcPr>
          <w:p>
            <w:r>
              <w:rPr>
                <w:sz w:val="19"/>
                <w:szCs w:val="19"/>
              </w:rPr>
              <w:t xml:space="preserve">105</w:t>
            </w:r>
          </w:p>
        </w:tc>
        <w:tc>
          <w:tcPr>
            <w:tcW w:type="pct" w:w="650"/>
            <w:shd w:fill="FFFFFF" w:val="clear"/>
            <w:tcMar>
              <w:top w:type="dxa" w:w="70"/>
              <w:left w:type="dxa" w:w="120"/>
              <w:bottom w:type="dxa" w:w="70"/>
              <w:right w:type="dxa" w:w="120"/>
            </w:tcMar>
          </w:tcPr>
          <w:p>
            <w:r>
              <w:rPr>
                <w:sz w:val="19"/>
                <w:szCs w:val="19"/>
              </w:rPr>
              <w:t xml:space="preserve">-0,033</w:t>
            </w:r>
          </w:p>
        </w:tc>
        <w:tc>
          <w:tcPr>
            <w:tcW w:type="pct" w:w="650"/>
            <w:shd w:fill="FFFFFF" w:val="clear"/>
            <w:tcMar>
              <w:top w:type="dxa" w:w="70"/>
              <w:left w:type="dxa" w:w="120"/>
              <w:bottom w:type="dxa" w:w="70"/>
              <w:right w:type="dxa" w:w="120"/>
            </w:tcMar>
          </w:tcPr>
          <w:p>
            <w:r>
              <w:rPr>
                <w:sz w:val="19"/>
                <w:szCs w:val="19"/>
              </w:rPr>
              <w:t xml:space="preserve">-0,052</w:t>
            </w:r>
          </w:p>
        </w:tc>
        <w:tc>
          <w:tcPr>
            <w:tcW w:type="pct" w:w="550"/>
            <w:shd w:fill="FFFFFF" w:val="clear"/>
            <w:tcMar>
              <w:top w:type="dxa" w:w="70"/>
              <w:left w:type="dxa" w:w="120"/>
              <w:bottom w:type="dxa" w:w="70"/>
              <w:right w:type="dxa" w:w="120"/>
            </w:tcMar>
          </w:tcPr>
          <w:p>
            <w:r>
              <w:rPr>
                <w:sz w:val="19"/>
                <w:szCs w:val="19"/>
              </w:rPr>
              <w:t xml:space="preserve">0,559</w:t>
            </w:r>
          </w:p>
        </w:tc>
        <w:tc>
          <w:tcPr>
            <w:tcW w:type="pct" w:w="700"/>
            <w:shd w:fill="FFFFFF" w:val="clear"/>
            <w:tcMar>
              <w:top w:type="dxa" w:w="70"/>
              <w:left w:type="dxa" w:w="120"/>
              <w:bottom w:type="dxa" w:w="70"/>
              <w:right w:type="dxa" w:w="120"/>
            </w:tcMar>
          </w:tcPr>
          <w:p>
            <w:r>
              <w:rPr>
                <w:sz w:val="19"/>
                <w:szCs w:val="19"/>
              </w:rPr>
              <w:t xml:space="preserve">0,560</w:t>
            </w:r>
          </w:p>
        </w:tc>
      </w:tr>
      <w:tr>
        <w:trPr>
          <w:cantSplit/>
        </w:trPr>
        <w:tc>
          <w:tcPr>
            <w:tcW w:type="pct" w:w="550"/>
            <w:shd w:fill="FAFCFD" w:val="clear"/>
            <w:tcMar>
              <w:top w:type="dxa" w:w="70"/>
              <w:left w:type="dxa" w:w="120"/>
              <w:bottom w:type="dxa" w:w="70"/>
              <w:right w:type="dxa" w:w="120"/>
            </w:tcMar>
          </w:tcPr>
          <w:p>
            <w:r>
              <w:rPr>
                <w:sz w:val="19"/>
                <w:szCs w:val="19"/>
              </w:rPr>
              <w:t xml:space="preserve">Empresas</w:t>
            </w:r>
          </w:p>
        </w:tc>
        <w:tc>
          <w:tcPr>
            <w:tcW w:type="pct" w:w="1450"/>
            <w:shd w:fill="FAFCFD" w:val="clear"/>
            <w:tcMar>
              <w:top w:type="dxa" w:w="70"/>
              <w:left w:type="dxa" w:w="120"/>
              <w:bottom w:type="dxa" w:w="70"/>
              <w:right w:type="dxa" w:w="120"/>
            </w:tcMar>
          </w:tcPr>
          <w:p>
            <w:r>
              <w:rPr>
                <w:sz w:val="19"/>
                <w:szCs w:val="19"/>
              </w:rPr>
              <w:t xml:space="preserve">CAR antes [−3, −1]</w:t>
            </w:r>
          </w:p>
        </w:tc>
        <w:tc>
          <w:tcPr>
            <w:tcW w:type="pct" w:w="450"/>
            <w:shd w:fill="FAFCFD" w:val="clear"/>
            <w:tcMar>
              <w:top w:type="dxa" w:w="70"/>
              <w:left w:type="dxa" w:w="120"/>
              <w:bottom w:type="dxa" w:w="70"/>
              <w:right w:type="dxa" w:w="120"/>
            </w:tcMar>
          </w:tcPr>
          <w:p>
            <w:r>
              <w:rPr>
                <w:sz w:val="19"/>
                <w:szCs w:val="19"/>
              </w:rPr>
              <w:t xml:space="preserve">105</w:t>
            </w:r>
          </w:p>
        </w:tc>
        <w:tc>
          <w:tcPr>
            <w:tcW w:type="pct" w:w="650"/>
            <w:shd w:fill="FAFCFD" w:val="clear"/>
            <w:tcMar>
              <w:top w:type="dxa" w:w="70"/>
              <w:left w:type="dxa" w:w="120"/>
              <w:bottom w:type="dxa" w:w="70"/>
              <w:right w:type="dxa" w:w="120"/>
            </w:tcMar>
          </w:tcPr>
          <w:p>
            <w:r>
              <w:rPr>
                <w:sz w:val="19"/>
                <w:szCs w:val="19"/>
              </w:rPr>
              <w:t xml:space="preserve">-0,21%</w:t>
            </w:r>
          </w:p>
        </w:tc>
        <w:tc>
          <w:tcPr>
            <w:tcW w:type="pct" w:w="650"/>
            <w:shd w:fill="FAFCFD" w:val="clear"/>
            <w:tcMar>
              <w:top w:type="dxa" w:w="70"/>
              <w:left w:type="dxa" w:w="120"/>
              <w:bottom w:type="dxa" w:w="70"/>
              <w:right w:type="dxa" w:w="120"/>
            </w:tcMar>
          </w:tcPr>
          <w:p>
            <w:r>
              <w:rPr>
                <w:sz w:val="19"/>
                <w:szCs w:val="19"/>
              </w:rPr>
              <w:t xml:space="preserve">0,03%</w:t>
            </w:r>
          </w:p>
        </w:tc>
        <w:tc>
          <w:tcPr>
            <w:tcW w:type="pct" w:w="550"/>
            <w:shd w:fill="FAFCFD" w:val="clear"/>
            <w:tcMar>
              <w:top w:type="dxa" w:w="70"/>
              <w:left w:type="dxa" w:w="120"/>
              <w:bottom w:type="dxa" w:w="70"/>
              <w:right w:type="dxa" w:w="120"/>
            </w:tcMar>
          </w:tcPr>
          <w:p>
            <w:r>
              <w:rPr>
                <w:sz w:val="19"/>
                <w:szCs w:val="19"/>
              </w:rPr>
              <w:t xml:space="preserve">0,553</w:t>
            </w:r>
          </w:p>
        </w:tc>
        <w:tc>
          <w:tcPr>
            <w:tcW w:type="pct" w:w="700"/>
            <w:shd w:fill="FAFCFD" w:val="clear"/>
            <w:tcMar>
              <w:top w:type="dxa" w:w="70"/>
              <w:left w:type="dxa" w:w="120"/>
              <w:bottom w:type="dxa" w:w="70"/>
              <w:right w:type="dxa" w:w="120"/>
            </w:tcMar>
          </w:tcPr>
          <w:p>
            <w:r>
              <w:rPr>
                <w:sz w:val="19"/>
                <w:szCs w:val="19"/>
              </w:rPr>
              <w:t xml:space="preserve">0,560</w:t>
            </w:r>
          </w:p>
        </w:tc>
      </w:tr>
      <w:tr>
        <w:trPr>
          <w:cantSplit/>
        </w:trPr>
        <w:tc>
          <w:tcPr>
            <w:tcW w:type="pct" w:w="550"/>
            <w:shd w:fill="FFFFFF" w:val="clear"/>
            <w:tcMar>
              <w:top w:type="dxa" w:w="70"/>
              <w:left w:type="dxa" w:w="120"/>
              <w:bottom w:type="dxa" w:w="70"/>
              <w:right w:type="dxa" w:w="120"/>
            </w:tcMar>
          </w:tcPr>
          <w:p>
            <w:r>
              <w:rPr>
                <w:sz w:val="19"/>
                <w:szCs w:val="19"/>
              </w:rPr>
              <w:t xml:space="preserve">Empresas</w:t>
            </w:r>
          </w:p>
        </w:tc>
        <w:tc>
          <w:tcPr>
            <w:tcW w:type="pct" w:w="1450"/>
            <w:shd w:fill="FFFFFF" w:val="clear"/>
            <w:tcMar>
              <w:top w:type="dxa" w:w="70"/>
              <w:left w:type="dxa" w:w="120"/>
              <w:bottom w:type="dxa" w:w="70"/>
              <w:right w:type="dxa" w:w="120"/>
            </w:tcMar>
          </w:tcPr>
          <w:p>
            <w:r>
              <w:rPr>
                <w:sz w:val="19"/>
                <w:szCs w:val="19"/>
              </w:rPr>
              <w:t xml:space="preserve">CAR día [0]</w:t>
            </w:r>
          </w:p>
        </w:tc>
        <w:tc>
          <w:tcPr>
            <w:tcW w:type="pct" w:w="450"/>
            <w:shd w:fill="FFFFFF" w:val="clear"/>
            <w:tcMar>
              <w:top w:type="dxa" w:w="70"/>
              <w:left w:type="dxa" w:w="120"/>
              <w:bottom w:type="dxa" w:w="70"/>
              <w:right w:type="dxa" w:w="120"/>
            </w:tcMar>
          </w:tcPr>
          <w:p>
            <w:r>
              <w:rPr>
                <w:sz w:val="19"/>
                <w:szCs w:val="19"/>
              </w:rPr>
              <w:t xml:space="preserve">105</w:t>
            </w:r>
          </w:p>
        </w:tc>
        <w:tc>
          <w:tcPr>
            <w:tcW w:type="pct" w:w="650"/>
            <w:shd w:fill="FFFFFF" w:val="clear"/>
            <w:tcMar>
              <w:top w:type="dxa" w:w="70"/>
              <w:left w:type="dxa" w:w="120"/>
              <w:bottom w:type="dxa" w:w="70"/>
              <w:right w:type="dxa" w:w="120"/>
            </w:tcMar>
          </w:tcPr>
          <w:p>
            <w:r>
              <w:rPr>
                <w:sz w:val="19"/>
                <w:szCs w:val="19"/>
              </w:rPr>
              <w:t xml:space="preserve">0,19%</w:t>
            </w:r>
          </w:p>
        </w:tc>
        <w:tc>
          <w:tcPr>
            <w:tcW w:type="pct" w:w="650"/>
            <w:shd w:fill="FFFFFF" w:val="clear"/>
            <w:tcMar>
              <w:top w:type="dxa" w:w="70"/>
              <w:left w:type="dxa" w:w="120"/>
              <w:bottom w:type="dxa" w:w="70"/>
              <w:right w:type="dxa" w:w="120"/>
            </w:tcMar>
          </w:tcPr>
          <w:p>
            <w:r>
              <w:rPr>
                <w:sz w:val="19"/>
                <w:szCs w:val="19"/>
              </w:rPr>
              <w:t xml:space="preserve">0,01%</w:t>
            </w:r>
          </w:p>
        </w:tc>
        <w:tc>
          <w:tcPr>
            <w:tcW w:type="pct" w:w="550"/>
            <w:shd w:fill="FFFFFF" w:val="clear"/>
            <w:tcMar>
              <w:top w:type="dxa" w:w="70"/>
              <w:left w:type="dxa" w:w="120"/>
              <w:bottom w:type="dxa" w:w="70"/>
              <w:right w:type="dxa" w:w="120"/>
            </w:tcMar>
          </w:tcPr>
          <w:p>
            <w:r>
              <w:rPr>
                <w:sz w:val="19"/>
                <w:szCs w:val="19"/>
              </w:rPr>
              <w:t xml:space="preserve">0,406</w:t>
            </w:r>
          </w:p>
        </w:tc>
        <w:tc>
          <w:tcPr>
            <w:tcW w:type="pct" w:w="700"/>
            <w:shd w:fill="FFFFFF" w:val="clear"/>
            <w:tcMar>
              <w:top w:type="dxa" w:w="70"/>
              <w:left w:type="dxa" w:w="120"/>
              <w:bottom w:type="dxa" w:w="70"/>
              <w:right w:type="dxa" w:w="120"/>
            </w:tcMar>
          </w:tcPr>
          <w:p>
            <w:r>
              <w:rPr>
                <w:sz w:val="19"/>
                <w:szCs w:val="19"/>
              </w:rPr>
              <w:t xml:space="preserve">0,560</w:t>
            </w:r>
          </w:p>
        </w:tc>
      </w:tr>
      <w:tr>
        <w:trPr>
          <w:cantSplit/>
        </w:trPr>
        <w:tc>
          <w:tcPr>
            <w:tcW w:type="pct" w:w="550"/>
            <w:shd w:fill="FAFCFD" w:val="clear"/>
            <w:tcMar>
              <w:top w:type="dxa" w:w="70"/>
              <w:left w:type="dxa" w:w="120"/>
              <w:bottom w:type="dxa" w:w="70"/>
              <w:right w:type="dxa" w:w="120"/>
            </w:tcMar>
          </w:tcPr>
          <w:p>
            <w:r>
              <w:rPr>
                <w:sz w:val="19"/>
                <w:szCs w:val="19"/>
              </w:rPr>
              <w:t xml:space="preserve">Empresas</w:t>
            </w:r>
          </w:p>
        </w:tc>
        <w:tc>
          <w:tcPr>
            <w:tcW w:type="pct" w:w="1450"/>
            <w:shd w:fill="FAFCFD" w:val="clear"/>
            <w:tcMar>
              <w:top w:type="dxa" w:w="70"/>
              <w:left w:type="dxa" w:w="120"/>
              <w:bottom w:type="dxa" w:w="70"/>
              <w:right w:type="dxa" w:w="120"/>
            </w:tcMar>
          </w:tcPr>
          <w:p>
            <w:r>
              <w:rPr>
                <w:sz w:val="19"/>
                <w:szCs w:val="19"/>
              </w:rPr>
              <w:t xml:space="preserve">CAR después [+1, +5]</w:t>
            </w:r>
          </w:p>
        </w:tc>
        <w:tc>
          <w:tcPr>
            <w:tcW w:type="pct" w:w="450"/>
            <w:shd w:fill="FAFCFD" w:val="clear"/>
            <w:tcMar>
              <w:top w:type="dxa" w:w="70"/>
              <w:left w:type="dxa" w:w="120"/>
              <w:bottom w:type="dxa" w:w="70"/>
              <w:right w:type="dxa" w:w="120"/>
            </w:tcMar>
          </w:tcPr>
          <w:p>
            <w:r>
              <w:rPr>
                <w:sz w:val="19"/>
                <w:szCs w:val="19"/>
              </w:rPr>
              <w:t xml:space="preserve">105</w:t>
            </w:r>
          </w:p>
        </w:tc>
        <w:tc>
          <w:tcPr>
            <w:tcW w:type="pct" w:w="650"/>
            <w:shd w:fill="FAFCFD" w:val="clear"/>
            <w:tcMar>
              <w:top w:type="dxa" w:w="70"/>
              <w:left w:type="dxa" w:w="120"/>
              <w:bottom w:type="dxa" w:w="70"/>
              <w:right w:type="dxa" w:w="120"/>
            </w:tcMar>
          </w:tcPr>
          <w:p>
            <w:r>
              <w:rPr>
                <w:sz w:val="19"/>
                <w:szCs w:val="19"/>
              </w:rPr>
              <w:t xml:space="preserve">-0,27%</w:t>
            </w:r>
          </w:p>
        </w:tc>
        <w:tc>
          <w:tcPr>
            <w:tcW w:type="pct" w:w="650"/>
            <w:shd w:fill="FAFCFD" w:val="clear"/>
            <w:tcMar>
              <w:top w:type="dxa" w:w="70"/>
              <w:left w:type="dxa" w:w="120"/>
              <w:bottom w:type="dxa" w:w="70"/>
              <w:right w:type="dxa" w:w="120"/>
            </w:tcMar>
          </w:tcPr>
          <w:p>
            <w:r>
              <w:rPr>
                <w:sz w:val="19"/>
                <w:szCs w:val="19"/>
              </w:rPr>
              <w:t xml:space="preserve">0,06%</w:t>
            </w:r>
          </w:p>
        </w:tc>
        <w:tc>
          <w:tcPr>
            <w:tcW w:type="pct" w:w="550"/>
            <w:shd w:fill="FAFCFD" w:val="clear"/>
            <w:tcMar>
              <w:top w:type="dxa" w:w="70"/>
              <w:left w:type="dxa" w:w="120"/>
              <w:bottom w:type="dxa" w:w="70"/>
              <w:right w:type="dxa" w:w="120"/>
            </w:tcMar>
          </w:tcPr>
          <w:p>
            <w:r>
              <w:rPr>
                <w:sz w:val="19"/>
                <w:szCs w:val="19"/>
              </w:rPr>
              <w:t xml:space="preserve">0,534</w:t>
            </w:r>
          </w:p>
        </w:tc>
        <w:tc>
          <w:tcPr>
            <w:tcW w:type="pct" w:w="700"/>
            <w:shd w:fill="FAFCFD" w:val="clear"/>
            <w:tcMar>
              <w:top w:type="dxa" w:w="70"/>
              <w:left w:type="dxa" w:w="120"/>
              <w:bottom w:type="dxa" w:w="70"/>
              <w:right w:type="dxa" w:w="120"/>
            </w:tcMar>
          </w:tcPr>
          <w:p>
            <w:r>
              <w:rPr>
                <w:sz w:val="19"/>
                <w:szCs w:val="19"/>
              </w:rPr>
              <w:t xml:space="preserve">0,560</w:t>
            </w:r>
          </w:p>
        </w:tc>
      </w:tr>
    </w:tbl>
    <w:p>
      <w:pPr>
        <w:spacing w:after="160" w:line="300"/>
      </w:pPr>
      <w:r>
        <w:rPr>
          <w:i/>
          <w:iCs/>
          <w:color w:val="5C6B7A"/>
          <w:sz w:val="18"/>
          <w:szCs w:val="18"/>
        </w:rPr>
        <w:t xml:space="preserve">Cantidad por rueda, sin dividir por los días que cubre. Sus eventos del mercado son todos ruedas después de un día sin mercado (sección 2).</w:t>
      </w:r>
    </w:p>
    <w:p>
      <w:pPr>
        <w:pStyle w:val="Heading1"/>
        <w:keepNext/>
        <w:spacing w:after="160" w:before="360"/>
      </w:pPr>
      <w:r>
        <w:t xml:space="preserve">7. Conclusión</w:t>
      </w:r>
    </w:p>
    <w:p>
      <w:pPr>
        <w:spacing w:after="160" w:line="300"/>
        <w:ind w:left="360" w:hanging="240"/>
      </w:pPr>
      <w:r>
        <w:t xml:space="preserve">•  </w:t>
      </w:r>
      <w:r>
        <w:rPr>
          <w:b/>
          <w:bCs/>
        </w:rPr>
        <w:t xml:space="preserve">H1 encuentra un apoyo parcial, en el volumen. </w:t>
      </w:r>
      <w:r>
        <w:t xml:space="preserve">Según la regla fijada antes, el volumen anormal del día del shock en las empresas cuenta como evidencia, y es significativo tras la corrección. Cuando una empresa está en muchas más notas, ese día se opera más.</w:t>
      </w:r>
    </w:p>
    <w:p>
      <w:pPr>
        <w:spacing w:after="160" w:line="300"/>
        <w:ind w:left="360" w:hanging="240"/>
      </w:pPr>
      <w:r>
        <w:t xml:space="preserve">•  </w:t>
      </w:r>
      <w:r>
        <w:rPr>
          <w:b/>
          <w:bCs/>
        </w:rPr>
        <w:t xml:space="preserve">No hay un efecto con dirección sobre el precio. </w:t>
      </w:r>
      <w:r>
        <w:t xml:space="preserve">El precio se mueve algo más el día del shock, para un lado o para el otro, pero no sube ni baja de forma sistemática y no hay arrastre en los días siguientes.</w:t>
      </w:r>
    </w:p>
    <w:p>
      <w:pPr>
        <w:spacing w:after="160" w:line="300"/>
        <w:ind w:left="360" w:hanging="240"/>
      </w:pPr>
      <w:r>
        <w:t xml:space="preserve">•  </w:t>
      </w:r>
      <w:r>
        <w:rPr>
          <w:b/>
          <w:bCs/>
        </w:rPr>
        <w:t xml:space="preserve">Las notas de la noche no anticipan la apertura de cada empresa. </w:t>
      </w:r>
      <w:r>
        <w:t xml:space="preserve">Con la prueba que ordena en el tiempo, el precio de apertura no se mueve más. El movimiento del día puede ser tanto la reacción a la noticia como la noticia contando el movimiento.</w:t>
      </w:r>
    </w:p>
    <w:p>
      <w:pPr>
        <w:spacing w:after="160" w:line="300"/>
        <w:ind w:left="360" w:hanging="240"/>
      </w:pPr>
      <w:r>
        <w:t xml:space="preserve">•  </w:t>
      </w:r>
      <w:r>
        <w:rPr>
          <w:b/>
          <w:bCs/>
        </w:rPr>
        <w:t xml:space="preserve">Encaja con el resto de la tesis. </w:t>
      </w:r>
      <w:r>
        <w:t xml:space="preserve">Los hechos grandes (las elecciones, el anuncio del Tesoro de Estados Unidos) mueven el precio y generan muchas noticias a la vez. La cantidad de cobertura acompaña a la actividad del mercado, pero no la anticipa.</w:t>
      </w:r>
    </w:p>
    <w:p>
      <w:pPr>
        <w:pStyle w:val="Heading1"/>
        <w:keepNext/>
        <w:spacing w:after="160" w:before="360"/>
      </w:pPr>
      <w:r>
        <w:t xml:space="preserve">8. Controles</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7903"/>
        <w:gridCol w:w="1735"/>
      </w:tblGrid>
      <w:tr>
        <w:trPr>
          <w:tblHeader/>
        </w:trPr>
        <w:tc>
          <w:tcPr>
            <w:tcW w:type="pct" w:w="4100"/>
            <w:shd w:fill="1C3A5C" w:val="clear"/>
            <w:tcMar>
              <w:top w:type="dxa" w:w="80"/>
              <w:left w:type="dxa" w:w="120"/>
              <w:bottom w:type="dxa" w:w="80"/>
              <w:right w:type="dxa" w:w="120"/>
            </w:tcMar>
          </w:tcPr>
          <w:p>
            <w:r>
              <w:rPr>
                <w:b/>
                <w:bCs/>
                <w:color w:val="FFFFFF"/>
                <w:sz w:val="19"/>
                <w:szCs w:val="19"/>
              </w:rPr>
              <w:t xml:space="preserve">Control</w:t>
            </w:r>
          </w:p>
        </w:tc>
        <w:tc>
          <w:tcPr>
            <w:tcW w:type="pct" w:w="900"/>
            <w:shd w:fill="1C3A5C" w:val="clear"/>
            <w:tcMar>
              <w:top w:type="dxa" w:w="80"/>
              <w:left w:type="dxa" w:w="120"/>
              <w:bottom w:type="dxa" w:w="80"/>
              <w:right w:type="dxa" w:w="120"/>
            </w:tcMar>
          </w:tcPr>
          <w:p>
            <w:r>
              <w:rPr>
                <w:b/>
                <w:bCs/>
                <w:color w:val="FFFFFF"/>
                <w:sz w:val="19"/>
                <w:szCs w:val="19"/>
              </w:rPr>
              <w:t xml:space="preserve">Resultado</w:t>
            </w:r>
          </w:p>
        </w:tc>
      </w:tr>
      <w:tr>
        <w:trPr>
          <w:cantSplit/>
        </w:trPr>
        <w:tc>
          <w:tcPr>
            <w:tcW w:type="pct" w:w="4100"/>
            <w:shd w:fill="FFFFFF" w:val="clear"/>
            <w:tcMar>
              <w:top w:type="dxa" w:w="70"/>
              <w:left w:type="dxa" w:w="120"/>
              <w:bottom w:type="dxa" w:w="70"/>
              <w:right w:type="dxa" w:w="120"/>
            </w:tcMar>
          </w:tcPr>
          <w:p>
            <w:r>
              <w:rPr>
                <w:sz w:val="19"/>
                <w:szCs w:val="19"/>
              </w:rPr>
              <w:t xml:space="preserve">El z de una rueda usa solo las 30 ruedas previas (recalculado a mano)</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Todos los eventos tienen ventanas de estimación y de evento completas</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Ruedas seguidas con shock cuentan como un solo evento (mercado, versión principal)</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Ningún evento de empresa se solapa con el anterior de la misma empresa</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Todos los eventos de empresa tienen al menos 3 artículos en la rueda</w:t>
            </w:r>
          </w:p>
        </w:tc>
        <w:tc>
          <w:tcPr>
            <w:tcW w:type="pct" w:w="900"/>
            <w:shd w:fill="FFFFFF" w:val="clear"/>
            <w:tcMar>
              <w:top w:type="dxa" w:w="70"/>
              <w:left w:type="dxa" w:w="120"/>
              <w:bottom w:type="dxa" w:w="70"/>
              <w:right w:type="dxa" w:w="120"/>
            </w:tcMar>
          </w:tcPr>
          <w:p>
            <w:r>
              <w:rPr>
                <w:sz w:val="19"/>
                <w:szCs w:val="19"/>
              </w:rPr>
              <w:t xml:space="preserve">Pasa</w:t>
            </w:r>
          </w:p>
        </w:tc>
      </w:tr>
      <w:tr>
        <w:trPr>
          <w:cantSplit/>
        </w:trPr>
        <w:tc>
          <w:tcPr>
            <w:tcW w:type="pct" w:w="4100"/>
            <w:shd w:fill="FAFCFD" w:val="clear"/>
            <w:tcMar>
              <w:top w:type="dxa" w:w="70"/>
              <w:left w:type="dxa" w:w="120"/>
              <w:bottom w:type="dxa" w:w="70"/>
              <w:right w:type="dxa" w:w="120"/>
            </w:tcMar>
          </w:tcPr>
          <w:p>
            <w:r>
              <w:rPr>
                <w:sz w:val="19"/>
                <w:szCs w:val="19"/>
              </w:rPr>
              <w:t xml:space="preserve">Las notas pre-apertura nunca superan a las de la rueda (mercado y cada empresa)</w:t>
            </w:r>
          </w:p>
        </w:tc>
        <w:tc>
          <w:tcPr>
            <w:tcW w:type="pct" w:w="900"/>
            <w:shd w:fill="FAFCFD" w:val="clear"/>
            <w:tcMar>
              <w:top w:type="dxa" w:w="70"/>
              <w:left w:type="dxa" w:w="120"/>
              <w:bottom w:type="dxa" w:w="70"/>
              <w:right w:type="dxa" w:w="120"/>
            </w:tcMar>
          </w:tcPr>
          <w:p>
            <w:r>
              <w:rPr>
                <w:sz w:val="19"/>
                <w:szCs w:val="19"/>
              </w:rPr>
              <w:t xml:space="preserve">Pasa</w:t>
            </w:r>
          </w:p>
        </w:tc>
      </w:tr>
      <w:tr>
        <w:trPr>
          <w:cantSplit/>
        </w:trPr>
        <w:tc>
          <w:tcPr>
            <w:tcW w:type="pct" w:w="4100"/>
            <w:shd w:fill="FFFFFF" w:val="clear"/>
            <w:tcMar>
              <w:top w:type="dxa" w:w="70"/>
              <w:left w:type="dxa" w:w="120"/>
              <w:bottom w:type="dxa" w:w="70"/>
              <w:right w:type="dxa" w:w="120"/>
            </w:tcMar>
          </w:tcPr>
          <w:p>
            <w:r>
              <w:rPr>
                <w:sz w:val="19"/>
                <w:szCs w:val="19"/>
              </w:rPr>
              <w:t xml:space="preserve">Retornos anormales de fechas al azar promedian cerca de 0 (mercado y empresas)</w:t>
            </w:r>
          </w:p>
        </w:tc>
        <w:tc>
          <w:tcPr>
            <w:tcW w:type="pct" w:w="900"/>
            <w:shd w:fill="FFFFFF" w:val="clear"/>
            <w:tcMar>
              <w:top w:type="dxa" w:w="70"/>
              <w:left w:type="dxa" w:w="120"/>
              <w:bottom w:type="dxa" w:w="70"/>
              <w:right w:type="dxa" w:w="120"/>
            </w:tcMar>
          </w:tcPr>
          <w:p>
            <w:r>
              <w:rPr>
                <w:sz w:val="19"/>
                <w:szCs w:val="19"/>
              </w:rPr>
              <w:t xml:space="preserve">Pasa</w:t>
            </w:r>
          </w:p>
        </w:tc>
      </w:tr>
    </w:tbl>
    <w:p>
      <w:pPr>
        <w:pStyle w:val="Heading1"/>
        <w:keepNext/>
        <w:spacing w:after="160" w:before="360"/>
      </w:pPr>
      <w:r>
        <w:t xml:space="preserve">9. Archivos que genera</w:t>
      </w:r>
    </w:p>
    <w:tbl>
      <w:tblPr>
        <w:tblW w:type="pct" w:w="5000"/>
        <w:tblBorders>
          <w:top w:val="single" w:color="D9E0E7" w:sz="4"/>
          <w:left w:val="single" w:color="D9E0E7" w:sz="4"/>
          <w:bottom w:val="single" w:color="D9E0E7" w:sz="4"/>
          <w:right w:val="single" w:color="D9E0E7" w:sz="4"/>
          <w:insideH w:val="single" w:color="D9E0E7" w:sz="4"/>
          <w:insideV w:val="single" w:color="D9E0E7" w:sz="4"/>
        </w:tblBorders>
      </w:tblPr>
      <w:tblGrid>
        <w:gridCol w:w="3662"/>
        <w:gridCol w:w="5976"/>
      </w:tblGrid>
      <w:tr>
        <w:trPr>
          <w:tblHeader/>
        </w:trPr>
        <w:tc>
          <w:tcPr>
            <w:tcW w:type="pct" w:w="1900"/>
            <w:shd w:fill="1C3A5C" w:val="clear"/>
            <w:tcMar>
              <w:top w:type="dxa" w:w="80"/>
              <w:left w:type="dxa" w:w="120"/>
              <w:bottom w:type="dxa" w:w="80"/>
              <w:right w:type="dxa" w:w="120"/>
            </w:tcMar>
          </w:tcPr>
          <w:p>
            <w:r>
              <w:rPr>
                <w:b/>
                <w:bCs/>
                <w:color w:val="FFFFFF"/>
                <w:sz w:val="19"/>
                <w:szCs w:val="19"/>
              </w:rPr>
              <w:t xml:space="preserve">Archivo</w:t>
            </w:r>
          </w:p>
        </w:tc>
        <w:tc>
          <w:tcPr>
            <w:tcW w:type="pct" w:w="3100"/>
            <w:shd w:fill="1C3A5C" w:val="clear"/>
            <w:tcMar>
              <w:top w:type="dxa" w:w="80"/>
              <w:left w:type="dxa" w:w="120"/>
              <w:bottom w:type="dxa" w:w="80"/>
              <w:right w:type="dxa" w:w="120"/>
            </w:tcMar>
          </w:tcPr>
          <w:p>
            <w:r>
              <w:rPr>
                <w:b/>
                <w:bCs/>
                <w:color w:val="FFFFFF"/>
                <w:sz w:val="19"/>
                <w:szCs w:val="19"/>
              </w:rPr>
              <w:t xml:space="preserve">Qué tiene</w:t>
            </w:r>
          </w:p>
        </w:tc>
      </w:tr>
      <w:tr>
        <w:trPr>
          <w:cantSplit/>
        </w:trPr>
        <w:tc>
          <w:tcPr>
            <w:tcW w:type="pct" w:w="1900"/>
            <w:shd w:fill="FFFFFF" w:val="clear"/>
            <w:tcMar>
              <w:top w:type="dxa" w:w="70"/>
              <w:left w:type="dxa" w:w="120"/>
              <w:bottom w:type="dxa" w:w="70"/>
              <w:right w:type="dxa" w:w="120"/>
            </w:tcMar>
          </w:tcPr>
          <w:p>
            <w:r>
              <w:rPr>
                <w:rFonts w:ascii="Consolas" w:cs="Consolas" w:eastAsia="Consolas" w:hAnsi="Consolas"/>
                <w:color w:val="1C3A5C"/>
                <w:sz w:val="19"/>
                <w:szCs w:val="19"/>
              </w:rPr>
              <w:t xml:space="preserve">especificacion_previa.md</w:t>
            </w:r>
          </w:p>
        </w:tc>
        <w:tc>
          <w:tcPr>
            <w:tcW w:type="pct" w:w="3100"/>
            <w:shd w:fill="FFFFFF" w:val="clear"/>
            <w:tcMar>
              <w:top w:type="dxa" w:w="70"/>
              <w:left w:type="dxa" w:w="120"/>
              <w:bottom w:type="dxa" w:w="70"/>
              <w:right w:type="dxa" w:w="120"/>
            </w:tcMar>
          </w:tcPr>
          <w:p>
            <w:r>
              <w:rPr>
                <w:sz w:val="19"/>
                <w:szCs w:val="19"/>
              </w:rPr>
              <w:t xml:space="preserve">La especificación previa, el cambio posterior, la prueba pre-apertura y la sensibilidad, cada uno con su fecha</w:t>
            </w:r>
          </w:p>
        </w:tc>
      </w:tr>
      <w:tr>
        <w:trPr>
          <w:cantSplit/>
        </w:trPr>
        <w:tc>
          <w:tcPr>
            <w:tcW w:type="pct" w:w="1900"/>
            <w:shd w:fill="FAFCFD" w:val="clear"/>
            <w:tcMar>
              <w:top w:type="dxa" w:w="70"/>
              <w:left w:type="dxa" w:w="120"/>
              <w:bottom w:type="dxa" w:w="70"/>
              <w:right w:type="dxa" w:w="120"/>
            </w:tcMar>
          </w:tcPr>
          <w:p>
            <w:r>
              <w:rPr>
                <w:rFonts w:ascii="Consolas" w:cs="Consolas" w:eastAsia="Consolas" w:hAnsi="Consolas"/>
                <w:color w:val="1C3A5C"/>
                <w:sz w:val="19"/>
                <w:szCs w:val="19"/>
              </w:rPr>
              <w:t xml:space="preserve">eventos_mercado.csv</w:t>
            </w:r>
            <w:r>
              <w:t xml:space="preserve">, </w:t>
            </w:r>
            <w:r>
              <w:rPr>
                <w:rFonts w:ascii="Consolas" w:cs="Consolas" w:eastAsia="Consolas" w:hAnsi="Consolas"/>
                <w:color w:val="1C3A5C"/>
                <w:sz w:val="19"/>
                <w:szCs w:val="19"/>
              </w:rPr>
              <w:t xml:space="preserve">eventos_empresa.csv</w:t>
            </w:r>
          </w:p>
        </w:tc>
        <w:tc>
          <w:tcPr>
            <w:tcW w:type="pct" w:w="3100"/>
            <w:shd w:fill="FAFCFD" w:val="clear"/>
            <w:tcMar>
              <w:top w:type="dxa" w:w="70"/>
              <w:left w:type="dxa" w:w="120"/>
              <w:bottom w:type="dxa" w:w="70"/>
              <w:right w:type="dxa" w:w="120"/>
            </w:tcMar>
          </w:tcPr>
          <w:p>
            <w:r>
              <w:rPr>
                <w:sz w:val="19"/>
                <w:szCs w:val="19"/>
              </w:rPr>
              <w:t xml:space="preserve">Los eventos de la versión principal, con todas sus medidas</w:t>
            </w:r>
          </w:p>
        </w:tc>
      </w:tr>
      <w:tr>
        <w:trPr>
          <w:cantSplit/>
        </w:trPr>
        <w:tc>
          <w:tcPr>
            <w:tcW w:type="pct" w:w="1900"/>
            <w:shd w:fill="FFFFFF" w:val="clear"/>
            <w:tcMar>
              <w:top w:type="dxa" w:w="70"/>
              <w:left w:type="dxa" w:w="120"/>
              <w:bottom w:type="dxa" w:w="70"/>
              <w:right w:type="dxa" w:w="120"/>
            </w:tcMar>
          </w:tcPr>
          <w:p>
            <w:r>
              <w:rPr>
                <w:rFonts w:ascii="Consolas" w:cs="Consolas" w:eastAsia="Consolas" w:hAnsi="Consolas"/>
                <w:color w:val="1C3A5C"/>
                <w:sz w:val="19"/>
                <w:szCs w:val="19"/>
              </w:rPr>
              <w:t xml:space="preserve">eventos_*_original.csv</w:t>
            </w:r>
            <w:r>
              <w:t xml:space="preserve">, </w:t>
            </w:r>
            <w:r>
              <w:rPr>
                <w:rFonts w:ascii="Consolas" w:cs="Consolas" w:eastAsia="Consolas" w:hAnsi="Consolas"/>
                <w:color w:val="1C3A5C"/>
                <w:sz w:val="19"/>
                <w:szCs w:val="19"/>
              </w:rPr>
              <w:t xml:space="preserve">eventos_*_preapertura.csv</w:t>
            </w:r>
          </w:p>
        </w:tc>
        <w:tc>
          <w:tcPr>
            <w:tcW w:type="pct" w:w="3100"/>
            <w:shd w:fill="FFFFFF" w:val="clear"/>
            <w:tcMar>
              <w:top w:type="dxa" w:w="70"/>
              <w:left w:type="dxa" w:w="120"/>
              <w:bottom w:type="dxa" w:w="70"/>
              <w:right w:type="dxa" w:w="120"/>
            </w:tcMar>
          </w:tcPr>
          <w:p>
            <w:r>
              <w:rPr>
                <w:sz w:val="19"/>
                <w:szCs w:val="19"/>
              </w:rPr>
              <w:t xml:space="preserve">Los eventos de la versión original y de la prueba pre-apertura</w:t>
            </w:r>
          </w:p>
        </w:tc>
      </w:tr>
      <w:tr>
        <w:trPr>
          <w:cantSplit/>
        </w:trPr>
        <w:tc>
          <w:tcPr>
            <w:tcW w:type="pct" w:w="1900"/>
            <w:shd w:fill="FAFCFD" w:val="clear"/>
            <w:tcMar>
              <w:top w:type="dxa" w:w="70"/>
              <w:left w:type="dxa" w:w="120"/>
              <w:bottom w:type="dxa" w:w="70"/>
              <w:right w:type="dxa" w:w="120"/>
            </w:tcMar>
          </w:tcPr>
          <w:p>
            <w:r>
              <w:rPr>
                <w:rFonts w:ascii="Consolas" w:cs="Consolas" w:eastAsia="Consolas" w:hAnsi="Consolas"/>
                <w:color w:val="1C3A5C"/>
                <w:sz w:val="19"/>
                <w:szCs w:val="19"/>
              </w:rPr>
              <w:t xml:space="preserve">resultados_principales.csv</w:t>
            </w:r>
          </w:p>
        </w:tc>
        <w:tc>
          <w:tcPr>
            <w:tcW w:type="pct" w:w="3100"/>
            <w:shd w:fill="FAFCFD" w:val="clear"/>
            <w:tcMar>
              <w:top w:type="dxa" w:w="70"/>
              <w:left w:type="dxa" w:w="120"/>
              <w:bottom w:type="dxa" w:w="70"/>
              <w:right w:type="dxa" w:w="120"/>
            </w:tcMar>
          </w:tcPr>
          <w:p>
            <w:r>
              <w:rPr>
                <w:sz w:val="19"/>
                <w:szCs w:val="19"/>
              </w:rPr>
              <w:t xml:space="preserve">Las 14 pruebas de la versión principal y las 14 de la original</w:t>
            </w:r>
          </w:p>
        </w:tc>
      </w:tr>
      <w:tr>
        <w:trPr>
          <w:cantSplit/>
        </w:trPr>
        <w:tc>
          <w:tcPr>
            <w:tcW w:type="pct" w:w="19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resultados_preapertura.csv</w:t>
            </w:r>
            <w:r>
              <w:t xml:space="preserve">, </w:t>
            </w:r>
            <w:r>
              <w:rPr>
                <w:rFonts w:ascii="Consolas" w:cs="Consolas" w:eastAsia="Consolas" w:hAnsi="Consolas"/>
                <w:color w:val="1C3A5C"/>
                <w:sz w:val="19"/>
                <w:szCs w:val="19"/>
              </w:rPr>
              <w:t xml:space="preserve">sensibilidad_preapertura.csv</w:t>
            </w:r>
          </w:p>
        </w:tc>
        <w:tc>
          <w:tcPr>
            <w:tcW w:type="pct" w:w="3100"/>
            <w:shd w:fill="FFFFFF" w:val="clear"/>
            <w:tcMar>
              <w:top w:type="dxa" w:w="70"/>
              <w:left w:type="dxa" w:w="120"/>
              <w:bottom w:type="dxa" w:w="70"/>
              <w:right w:type="dxa" w:w="120"/>
            </w:tcMar>
          </w:tcPr>
          <w:p>
            <w:r>
              <w:rPr>
                <w:sz w:val="19"/>
                <w:szCs w:val="19"/>
              </w:rPr>
              <w:t xml:space="preserve">Las 6 pruebas pre-apertura y el salto del mercado sacando un evento por vez</w:t>
            </w:r>
          </w:p>
        </w:tc>
      </w:tr>
      <w:tr>
        <w:trPr>
          <w:cantSplit/>
        </w:trPr>
        <w:tc>
          <w:tcPr>
            <w:tcW w:type="pct" w:w="1900"/>
            <w:shd w:fill="FAFCFD" w:val="clear"/>
            <w:tcMar>
              <w:top w:type="dxa" w:w="70"/>
              <w:left w:type="dxa" w:w="120"/>
              <w:bottom w:type="dxa" w:w="70"/>
              <w:right w:type="dxa" w:w="120"/>
            </w:tcMar>
          </w:tcPr>
          <w:p>
            <w:r>
              <w:rPr>
                <w:rFonts w:ascii="Consolas" w:cs="Consolas" w:eastAsia="Consolas" w:hAnsi="Consolas"/>
                <w:color w:val="1C3A5C"/>
                <w:sz w:val="19"/>
                <w:szCs w:val="19"/>
              </w:rPr>
              <w:t xml:space="preserve">resultados_secundarios.csv</w:t>
            </w:r>
          </w:p>
        </w:tc>
        <w:tc>
          <w:tcPr>
            <w:tcW w:type="pct" w:w="3100"/>
            <w:shd w:fill="FAFCFD" w:val="clear"/>
            <w:tcMar>
              <w:top w:type="dxa" w:w="70"/>
              <w:left w:type="dxa" w:w="120"/>
              <w:bottom w:type="dxa" w:w="70"/>
              <w:right w:type="dxa" w:w="120"/>
            </w:tcMar>
          </w:tcPr>
          <w:p>
            <w:r>
              <w:rPr>
                <w:sz w:val="19"/>
                <w:szCs w:val="19"/>
              </w:rPr>
              <w:t xml:space="preserve">Por tono de la rueda y las tres pruebas de robustez</w:t>
            </w:r>
          </w:p>
        </w:tc>
      </w:tr>
      <w:tr>
        <w:trPr>
          <w:cantSplit/>
        </w:trPr>
        <w:tc>
          <w:tcPr>
            <w:tcW w:type="pct" w:w="1900"/>
            <w:shd w:fill="FFFFFF" w:val="clear"/>
            <w:tcMar>
              <w:top w:type="dxa" w:w="70"/>
              <w:left w:type="dxa" w:w="120"/>
              <w:bottom w:type="dxa" w:w="70"/>
              <w:right w:type="dxa" w:w="120"/>
            </w:tcMar>
          </w:tcPr>
          <w:p>
            <w:r>
              <w:rPr>
                <w:rFonts w:ascii="Consolas" w:cs="Consolas" w:eastAsia="Consolas" w:hAnsi="Consolas"/>
                <w:color w:val="1C3A5C"/>
                <w:sz w:val="19"/>
                <w:szCs w:val="19"/>
              </w:rPr>
              <w:t xml:space="preserve">resumen_u7b.csv</w:t>
            </w:r>
            <w:r>
              <w:t xml:space="preserve">, </w:t>
            </w:r>
            <w:r>
              <w:rPr>
                <w:rFonts w:ascii="Consolas" w:cs="Consolas" w:eastAsia="Consolas" w:hAnsi="Consolas"/>
                <w:color w:val="1C3A5C"/>
                <w:sz w:val="19"/>
                <w:szCs w:val="19"/>
              </w:rPr>
              <w:t xml:space="preserve">verificaciones.csv</w:t>
            </w:r>
          </w:p>
        </w:tc>
        <w:tc>
          <w:tcPr>
            <w:tcW w:type="pct" w:w="3100"/>
            <w:shd w:fill="FFFFFF" w:val="clear"/>
            <w:tcMar>
              <w:top w:type="dxa" w:w="70"/>
              <w:left w:type="dxa" w:w="120"/>
              <w:bottom w:type="dxa" w:w="70"/>
              <w:right w:type="dxa" w:w="120"/>
            </w:tcMar>
          </w:tcPr>
          <w:p>
            <w:r>
              <w:rPr>
                <w:sz w:val="19"/>
                <w:szCs w:val="19"/>
              </w:rPr>
              <w:t xml:space="preserve">Las cifras y los controles de este documento</w:t>
            </w:r>
          </w:p>
        </w:tc>
      </w:tr>
      <w:tr>
        <w:trPr>
          <w:cantSplit/>
        </w:trPr>
        <w:tc>
          <w:tcPr>
            <w:tcW w:type="pct" w:w="1900"/>
            <w:shd w:fill="FAFCFD" w:val="clear"/>
            <w:tcMar>
              <w:top w:type="dxa" w:w="70"/>
              <w:left w:type="dxa" w:w="120"/>
              <w:bottom w:type="dxa" w:w="70"/>
              <w:right w:type="dxa" w:w="120"/>
            </w:tcMar>
          </w:tcPr>
          <w:p>
            <w:r>
              <w:rPr>
                <w:rFonts w:ascii="Consolas" w:cs="Consolas" w:eastAsia="Consolas" w:hAnsi="Consolas"/>
                <w:color w:val="1C3A5C"/>
                <w:sz w:val="19"/>
                <w:szCs w:val="19"/>
              </w:rPr>
              <w:t xml:space="preserve">u7b_shock_volumen.png</w:t>
            </w:r>
          </w:p>
        </w:tc>
        <w:tc>
          <w:tcPr>
            <w:tcW w:type="pct" w:w="3100"/>
            <w:shd w:fill="FAFCFD" w:val="clear"/>
            <w:tcMar>
              <w:top w:type="dxa" w:w="70"/>
              <w:left w:type="dxa" w:w="120"/>
              <w:bottom w:type="dxa" w:w="70"/>
              <w:right w:type="dxa" w:w="120"/>
            </w:tcMar>
          </w:tcPr>
          <w:p>
            <w:r>
              <w:rPr>
                <w:sz w:val="19"/>
                <w:szCs w:val="19"/>
              </w:rPr>
              <w:t xml:space="preserve">La figura de la sección 3</w:t>
            </w:r>
          </w:p>
        </w:tc>
      </w:tr>
    </w:tbl>
    <w:p>
      <w:pPr>
        <w:pStyle w:val="Heading1"/>
        <w:keepNext/>
        <w:spacing w:after="160" w:before="360"/>
      </w:pPr>
      <w:r>
        <w:t xml:space="preserve">10. Limitaciones</w:t>
      </w:r>
    </w:p>
    <w:p>
      <w:pPr>
        <w:spacing w:after="160" w:line="300"/>
        <w:ind w:left="360" w:hanging="240"/>
      </w:pPr>
      <w:r>
        <w:t xml:space="preserve">•  Pocos eventos de mercado: con la definición corregida son 6, y 5 en la prueba pre-apertura. Un efecto chico en el mercado no se detectaría.</w:t>
      </w:r>
    </w:p>
    <w:p>
      <w:pPr>
        <w:spacing w:after="160" w:line="300"/>
        <w:ind w:left="360" w:hanging="240"/>
      </w:pPr>
      <w:r>
        <w:t xml:space="preserve">•  Con datos diarios no se puede ordenar lo que pasa dentro de la sesión; la prueba pre-apertura es la aproximación más cercana.</w:t>
      </w:r>
    </w:p>
    <w:p>
      <w:pPr>
        <w:spacing w:after="160" w:line="300"/>
        <w:ind w:left="360" w:hanging="240"/>
      </w:pPr>
      <w:r>
        <w:t xml:space="preserve">•  Algunas acciones argentinas cotizan también en Nueva York (ADR) hasta después del cierre local; las notas de la noche pueden estar contando esos movimientos, que la apertura local después refleja.</w:t>
      </w:r>
    </w:p>
    <w:p>
      <w:pPr>
        <w:spacing w:after="160" w:line="300"/>
        <w:ind w:left="360" w:hanging="240"/>
      </w:pPr>
      <w:r>
        <w:t xml:space="preserve">•  Los precios de apertura vienen de Yahoo Finance; en algunos días la apertura puede no reflejar la primera operación real.</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C6B7A"/>
        <w:sz w:val="16"/>
        <w:szCs w:val="16"/>
      </w:rPr>
      <w:t xml:space="preserve">Nicolás Diddi · Gino Frigoni · Página </w:t>
    </w:r>
    <w:r>
      <w:rPr>
        <w:color w:val="5C6B7A"/>
        <w:sz w:val="16"/>
        <w:szCs w:val="16"/>
      </w:rPr>
      <w:fldChar w:fldCharType="begin"/>
      <w:instrText xml:space="preserve">PAGE</w:instrText>
      <w:fldChar w:fldCharType="separate"/>
      <w:fldChar w:fldCharType="end"/>
    </w:r>
    <w:r>
      <w:rPr>
        <w:color w:val="5C6B7A"/>
        <w:sz w:val="16"/>
        <w:szCs w:val="16"/>
      </w:rPr>
      <w:t xml:space="preserve"> de </w:t>
    </w:r>
    <w:r>
      <w:rPr>
        <w:color w:val="5C6B7A"/>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C6B7A"/>
        <w:sz w:val="16"/>
        <w:szCs w:val="16"/>
      </w:rPr>
      <w:t xml:space="preserve">U7b · Shock de cantidad de noticias — tesis version 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40798C" w:sz="6" w:space="4"/>
      </w:pBdr>
      <w:spacing w:after="160" w:before="360"/>
    </w:pPr>
    <w:rPr>
      <w:rFonts w:ascii="Cambria" w:cs="Cambria" w:eastAsia="Cambria" w:hAnsi="Cambria"/>
      <w:b/>
      <w:bCs/>
      <w:color w:val="12263A"/>
      <w:sz w:val="30"/>
      <w:szCs w:val="3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806ae3a51291149fd97dd2f159047576ae6bbd4e.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2026-10-24T20:07:37.920Z</dcterms:created>
  <dcterms:modified xsi:type="dcterms:W3CDTF">2026-10-24T20:07:37.921Z</dcterms:modified>
</cp:coreProperties>
</file>

<file path=docProps/custom.xml><?xml version="1.0" encoding="utf-8"?>
<Properties xmlns="http://schemas.openxmlformats.org/officeDocument/2006/custom-properties" xmlns:vt="http://schemas.openxmlformats.org/officeDocument/2006/docPropsVTypes"/>
</file>