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mbria" w:cs="Cambria" w:eastAsia="Cambria" w:hAnsi="Cambria"/>
          <w:b/>
          <w:bCs/>
          <w:color w:val="12263A"/>
          <w:sz w:val="44"/>
          <w:szCs w:val="44"/>
        </w:rPr>
        <w:t xml:space="preserve">U8 · Robustez</w:t>
      </w:r>
    </w:p>
    <w:p>
      <w:pPr>
        <w:spacing w:after="200"/>
      </w:pPr>
      <w:r>
        <w:rPr>
          <w:rFonts w:ascii="Cambria" w:cs="Cambria" w:eastAsia="Cambria" w:hAnsi="Cambria"/>
          <w:i/>
          <w:iCs/>
          <w:color w:val="1C3A5C"/>
          <w:sz w:val="24"/>
          <w:szCs w:val="24"/>
        </w:rPr>
        <w:t xml:space="preserve">¿Los resultados se sostienen si se cambia una decisión por vez?</w:t>
      </w:r>
    </w:p>
    <w:p>
      <w:pPr>
        <w:pBdr>
          <w:bottom w:val="single" w:color="D9E0E7" w:sz="4" w:space="8"/>
        </w:pBdr>
        <w:spacing w:after="200"/>
      </w:pPr>
      <w:r>
        <w:rPr>
          <w:color w:val="5C6B7A"/>
          <w:sz w:val="19"/>
          <w:szCs w:val="19"/>
        </w:rPr>
        <w:t xml:space="preserve">Tesina — Impacto de shocks informativos en acciones argentinas (BYMA / S&amp;P Merval). Documento de la unión: lee el lado bursátil y el lado de noticias sin modificarlos.</w:t>
      </w:r>
    </w:p>
    <w:p>
      <w:pPr>
        <w:spacing w:after="160" w:line="300"/>
      </w:pPr>
      <w:r>
        <w:rPr>
          <w:b/>
          <w:bCs/>
        </w:rPr>
        <w:t xml:space="preserve">Ubicación. </w:t>
      </w:r>
      <w:r>
        <w:rPr>
          <w:rFonts w:ascii="Consolas" w:cs="Consolas" w:eastAsia="Consolas" w:hAnsi="Consolas"/>
          <w:color w:val="1C3A5C"/>
          <w:sz w:val="19"/>
          <w:szCs w:val="19"/>
        </w:rPr>
        <w:t xml:space="preserve">D:\2.Tesina\tesis version 3.0\Unión\08_robustez\</w:t>
      </w:r>
      <w:r>
        <w:t xml:space="preserve">. Script: </w:t>
      </w:r>
      <w:r>
        <w:rPr>
          <w:rFonts w:ascii="Consolas" w:cs="Consolas" w:eastAsia="Consolas" w:hAnsi="Consolas"/>
          <w:color w:val="1C3A5C"/>
          <w:sz w:val="19"/>
          <w:szCs w:val="19"/>
        </w:rPr>
        <w:t xml:space="preserve">robustez.py</w:t>
      </w:r>
      <w:r>
        <w:t xml:space="preserve">.</w:t>
      </w:r>
    </w:p>
    <w:tbl>
      <w:tblPr>
        <w:tblW w:type="pct" w:w="5000"/>
        <w:tblBorders>
          <w:top w:val="single" w:color="D9E0E7" w:sz="4"/>
          <w:left w:val="single" w:color="40798C" w:sz="24"/>
          <w:bottom w:val="single" w:color="D9E0E7" w:sz="4"/>
          <w:right w:val="single" w:color="D9E0E7" w:sz="4"/>
          <w:insideH w:val="none" w:color="FFFFFF" w:sz="0"/>
          <w:insideV w:val="none" w:color="FFFFFF" w:sz="0"/>
        </w:tblBorders>
      </w:tblPr>
      <w:tblGrid>
        <w:gridCol w:w="9638"/>
      </w:tblGrid>
      <w:tr>
        <w:trPr>
          <w:cantSplit/>
        </w:trPr>
        <w:tc>
          <w:tcPr>
            <w:shd w:fill="F5F8FA" w:val="clear"/>
            <w:tcMar>
              <w:top w:type="dxa" w:w="160"/>
              <w:left w:type="dxa" w:w="220"/>
              <w:bottom w:type="dxa" w:w="160"/>
              <w:right w:type="dxa" w:w="220"/>
            </w:tcMar>
          </w:tcPr>
          <w:p>
            <w:pPr>
              <w:spacing w:after="80"/>
            </w:pPr>
            <w:r>
              <w:rPr>
                <w:b/>
                <w:bCs/>
                <w:color w:val="1C3A5C"/>
              </w:rPr>
              <w:t xml:space="preserve">En una frase</w:t>
            </w:r>
          </w:p>
          <w:p>
            <w:pPr>
              <w:spacing w:after="60" w:line="276"/>
            </w:pPr>
            <w:r>
              <w:t xml:space="preserve">De 106 comparaciones, 93 mantienen la conclusión. Que el tono de las noticias no anticipa al mercado se sostiene en todas las variantes. Que el mercado anticipa al tono también, salvo en dos variantes, y esas dos muestran dónde está el efecto: en las notas publicadas la misma noche, después del cierre (un desvío del retorno sube 4,8 puntos su tono). A la mañana siguiente ya no queda.</w:t>
            </w:r>
          </w:p>
        </w:tc>
      </w:tr>
    </w:tbl>
    <w:p>
      <w:pPr>
        <w:pStyle w:val="Heading1"/>
        <w:keepNext/>
        <w:spacing w:after="160" w:before="360"/>
      </w:pPr>
      <w:r>
        <w:t xml:space="preserve">1. Cómo se prueba</w:t>
      </w:r>
    </w:p>
    <w:p>
      <w:pPr>
        <w:spacing w:after="160" w:line="300"/>
      </w:pPr>
      <w:r>
        <w:t xml:space="preserve">Cada resultado de la tesis depende de decisiones: qué tono usar, cómo asignar las notas a las ruedas, qué días incluir. Una prueba de robustez cambia una sola decisión por vez y mira si la conclusión sigue en pie. Un resultado que aparece con una sola opción es frágil; uno que aparece con todas se puede defender.</w:t>
      </w:r>
    </w:p>
    <w:p>
      <w:pPr>
        <w:spacing w:after="160" w:line="300"/>
      </w:pPr>
      <w:r>
        <w:t xml:space="preserve">Antes de cambiar nada, el script rearma todo con las decisiones originales y comprueba que reproduce exactamente U6 y U7 (sección 7). Así las diferencias se deben a la decisión cambiada y no al código.</w:t>
      </w:r>
    </w:p>
    <w:p>
      <w:pPr>
        <w:spacing w:after="160" w:line="300"/>
      </w:pPr>
      <w:r>
        <w:t xml:space="preserve">Los resultados que se repiten son los principales: en el mercado, si el retorno anticipa el tono y si el tono anticipa el retorno; en las 17 empresas con tono propio y en las 47 con el tono del mercado, en cuántas aparece cada dirección; por régimen; y, en el event study, el retorno del Merval en las ruedas de tono extremo positivo.</w:t>
      </w:r>
    </w:p>
    <w:p>
      <w:pPr>
        <w:pStyle w:val="Heading1"/>
        <w:keepNext/>
        <w:spacing w:after="160" w:before="360"/>
      </w:pPr>
      <w:r>
        <w:t xml:space="preserve">2. Los resultados en cada variante</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2699"/>
        <w:gridCol w:w="1446"/>
        <w:gridCol w:w="1446"/>
        <w:gridCol w:w="1446"/>
        <w:gridCol w:w="1349"/>
        <w:gridCol w:w="1253"/>
      </w:tblGrid>
      <w:tr>
        <w:trPr>
          <w:tblHeader/>
        </w:trPr>
        <w:tc>
          <w:tcPr>
            <w:tcW w:type="pct" w:w="1400"/>
            <w:shd w:fill="1C3A5C" w:val="clear"/>
            <w:tcMar>
              <w:top w:type="dxa" w:w="80"/>
              <w:left w:type="dxa" w:w="120"/>
              <w:bottom w:type="dxa" w:w="80"/>
              <w:right w:type="dxa" w:w="120"/>
            </w:tcMar>
          </w:tcPr>
          <w:p>
            <w:r>
              <w:rPr>
                <w:b/>
                <w:bCs/>
                <w:color w:val="FFFFFF"/>
                <w:sz w:val="19"/>
                <w:szCs w:val="19"/>
              </w:rPr>
              <w:t xml:space="preserve">Variante</w:t>
            </w:r>
          </w:p>
        </w:tc>
        <w:tc>
          <w:tcPr>
            <w:tcW w:type="pct" w:w="750"/>
            <w:shd w:fill="1C3A5C" w:val="clear"/>
            <w:tcMar>
              <w:top w:type="dxa" w:w="80"/>
              <w:left w:type="dxa" w:w="120"/>
              <w:bottom w:type="dxa" w:w="80"/>
              <w:right w:type="dxa" w:w="120"/>
            </w:tcMar>
          </w:tcPr>
          <w:p>
            <w:r>
              <w:rPr>
                <w:b/>
                <w:bCs/>
                <w:color w:val="FFFFFF"/>
                <w:sz w:val="19"/>
                <w:szCs w:val="19"/>
              </w:rPr>
              <w:t xml:space="preserve">Retorno → tono (p)</w:t>
            </w:r>
          </w:p>
        </w:tc>
        <w:tc>
          <w:tcPr>
            <w:tcW w:type="pct" w:w="750"/>
            <w:shd w:fill="1C3A5C" w:val="clear"/>
            <w:tcMar>
              <w:top w:type="dxa" w:w="80"/>
              <w:left w:type="dxa" w:w="120"/>
              <w:bottom w:type="dxa" w:w="80"/>
              <w:right w:type="dxa" w:w="120"/>
            </w:tcMar>
          </w:tcPr>
          <w:p>
            <w:r>
              <w:rPr>
                <w:b/>
                <w:bCs/>
                <w:color w:val="FFFFFF"/>
                <w:sz w:val="19"/>
                <w:szCs w:val="19"/>
              </w:rPr>
              <w:t xml:space="preserve">Tono → retorno (p)</w:t>
            </w:r>
          </w:p>
        </w:tc>
        <w:tc>
          <w:tcPr>
            <w:tcW w:type="pct" w:w="750"/>
            <w:shd w:fill="1C3A5C" w:val="clear"/>
            <w:tcMar>
              <w:top w:type="dxa" w:w="80"/>
              <w:left w:type="dxa" w:w="120"/>
              <w:bottom w:type="dxa" w:w="80"/>
              <w:right w:type="dxa" w:w="120"/>
            </w:tcMar>
          </w:tcPr>
          <w:p>
            <w:r>
              <w:rPr>
                <w:b/>
                <w:bCs/>
                <w:color w:val="FFFFFF"/>
                <w:sz w:val="19"/>
                <w:szCs w:val="19"/>
              </w:rPr>
              <w:t xml:space="preserve">Retorno → tono propio (de 17)</w:t>
            </w:r>
          </w:p>
        </w:tc>
        <w:tc>
          <w:tcPr>
            <w:tcW w:type="pct" w:w="700"/>
            <w:shd w:fill="1C3A5C" w:val="clear"/>
            <w:tcMar>
              <w:top w:type="dxa" w:w="80"/>
              <w:left w:type="dxa" w:w="120"/>
              <w:bottom w:type="dxa" w:w="80"/>
              <w:right w:type="dxa" w:w="120"/>
            </w:tcMar>
          </w:tcPr>
          <w:p>
            <w:r>
              <w:rPr>
                <w:b/>
                <w:bCs/>
                <w:color w:val="FFFFFF"/>
                <w:sz w:val="19"/>
                <w:szCs w:val="19"/>
              </w:rPr>
              <w:t xml:space="preserve">Tono propio → retorno (de 17)</w:t>
            </w:r>
          </w:p>
        </w:tc>
        <w:tc>
          <w:tcPr>
            <w:tcW w:type="pct" w:w="650"/>
            <w:shd w:fill="1C3A5C" w:val="clear"/>
            <w:tcMar>
              <w:top w:type="dxa" w:w="80"/>
              <w:left w:type="dxa" w:w="120"/>
              <w:bottom w:type="dxa" w:w="80"/>
              <w:right w:type="dxa" w:w="120"/>
            </w:tcMar>
          </w:tcPr>
          <w:p>
            <w:r>
              <w:rPr>
                <w:b/>
                <w:bCs/>
                <w:color w:val="FFFFFF"/>
                <w:sz w:val="19"/>
                <w:szCs w:val="19"/>
              </w:rPr>
              <w:t xml:space="preserve">Retorno → tono (de 47)</w:t>
            </w:r>
          </w:p>
        </w:tc>
      </w:tr>
      <w:tr>
        <w:trPr>
          <w:cantSplit/>
        </w:trPr>
        <w:tc>
          <w:tcPr>
            <w:tcW w:type="pct" w:w="1400"/>
            <w:shd w:fill="FFFFFF" w:val="clear"/>
            <w:tcMar>
              <w:top w:type="dxa" w:w="70"/>
              <w:left w:type="dxa" w:w="120"/>
              <w:bottom w:type="dxa" w:w="70"/>
              <w:right w:type="dxa" w:w="120"/>
            </w:tcMar>
          </w:tcPr>
          <w:p>
            <w:r>
              <w:rPr>
                <w:sz w:val="19"/>
                <w:szCs w:val="19"/>
              </w:rPr>
              <w:t xml:space="preserve">Base (U6 y U7)</w:t>
            </w:r>
          </w:p>
        </w:tc>
        <w:tc>
          <w:tcPr>
            <w:tcW w:type="pct" w:w="750"/>
            <w:shd w:fill="FFFFFF" w:val="clear"/>
            <w:tcMar>
              <w:top w:type="dxa" w:w="70"/>
              <w:left w:type="dxa" w:w="120"/>
              <w:bottom w:type="dxa" w:w="70"/>
              <w:right w:type="dxa" w:w="120"/>
            </w:tcMar>
          </w:tcPr>
          <w:p>
            <w:r>
              <w:rPr>
                <w:sz w:val="19"/>
                <w:szCs w:val="19"/>
              </w:rPr>
              <w:t xml:space="preserve">0,0003</w:t>
            </w:r>
          </w:p>
        </w:tc>
        <w:tc>
          <w:tcPr>
            <w:tcW w:type="pct" w:w="750"/>
            <w:shd w:fill="FFFFFF" w:val="clear"/>
            <w:tcMar>
              <w:top w:type="dxa" w:w="70"/>
              <w:left w:type="dxa" w:w="120"/>
              <w:bottom w:type="dxa" w:w="70"/>
              <w:right w:type="dxa" w:w="120"/>
            </w:tcMar>
          </w:tcPr>
          <w:p>
            <w:r>
              <w:rPr>
                <w:sz w:val="19"/>
                <w:szCs w:val="19"/>
              </w:rPr>
              <w:t xml:space="preserve">0,4238</w:t>
            </w:r>
          </w:p>
        </w:tc>
        <w:tc>
          <w:tcPr>
            <w:tcW w:type="pct" w:w="750"/>
            <w:shd w:fill="FFFFFF" w:val="clear"/>
            <w:tcMar>
              <w:top w:type="dxa" w:w="70"/>
              <w:left w:type="dxa" w:w="120"/>
              <w:bottom w:type="dxa" w:w="70"/>
              <w:right w:type="dxa" w:w="120"/>
            </w:tcMar>
          </w:tcPr>
          <w:p>
            <w:r>
              <w:rPr>
                <w:sz w:val="19"/>
                <w:szCs w:val="19"/>
              </w:rPr>
              <w:t xml:space="preserve">15</w:t>
            </w:r>
          </w:p>
        </w:tc>
        <w:tc>
          <w:tcPr>
            <w:tcW w:type="pct" w:w="700"/>
            <w:shd w:fill="FFFFFF" w:val="clear"/>
            <w:tcMar>
              <w:top w:type="dxa" w:w="70"/>
              <w:left w:type="dxa" w:w="120"/>
              <w:bottom w:type="dxa" w:w="70"/>
              <w:right w:type="dxa" w:w="120"/>
            </w:tcMar>
          </w:tcPr>
          <w:p>
            <w:r>
              <w:rPr>
                <w:sz w:val="19"/>
                <w:szCs w:val="19"/>
              </w:rPr>
              <w:t xml:space="preserve">0</w:t>
            </w:r>
          </w:p>
        </w:tc>
        <w:tc>
          <w:tcPr>
            <w:tcW w:type="pct" w:w="650"/>
            <w:shd w:fill="FFFFFF" w:val="clear"/>
            <w:tcMar>
              <w:top w:type="dxa" w:w="70"/>
              <w:left w:type="dxa" w:w="120"/>
              <w:bottom w:type="dxa" w:w="70"/>
              <w:right w:type="dxa" w:w="120"/>
            </w:tcMar>
          </w:tcPr>
          <w:p>
            <w:r>
              <w:rPr>
                <w:sz w:val="19"/>
                <w:szCs w:val="19"/>
              </w:rPr>
              <w:t xml:space="preserve">39</w:t>
            </w:r>
          </w:p>
        </w:tc>
      </w:tr>
      <w:tr>
        <w:trPr>
          <w:cantSplit/>
        </w:trPr>
        <w:tc>
          <w:tcPr>
            <w:tcW w:type="pct" w:w="1400"/>
            <w:shd w:fill="FAFCFD" w:val="clear"/>
            <w:tcMar>
              <w:top w:type="dxa" w:w="70"/>
              <w:left w:type="dxa" w:w="120"/>
              <w:bottom w:type="dxa" w:w="70"/>
              <w:right w:type="dxa" w:w="120"/>
            </w:tcMar>
          </w:tcPr>
          <w:p>
            <w:r>
              <w:rPr>
                <w:sz w:val="19"/>
                <w:szCs w:val="19"/>
              </w:rPr>
              <w:t xml:space="preserve">Tono ajustado por portal</w:t>
            </w:r>
          </w:p>
        </w:tc>
        <w:tc>
          <w:tcPr>
            <w:tcW w:type="pct" w:w="750"/>
            <w:shd w:fill="FAFCFD" w:val="clear"/>
            <w:tcMar>
              <w:top w:type="dxa" w:w="70"/>
              <w:left w:type="dxa" w:w="120"/>
              <w:bottom w:type="dxa" w:w="70"/>
              <w:right w:type="dxa" w:w="120"/>
            </w:tcMar>
          </w:tcPr>
          <w:p>
            <w:r>
              <w:rPr>
                <w:sz w:val="19"/>
                <w:szCs w:val="19"/>
              </w:rPr>
              <w:t xml:space="preserve">0,0003</w:t>
            </w:r>
          </w:p>
        </w:tc>
        <w:tc>
          <w:tcPr>
            <w:tcW w:type="pct" w:w="750"/>
            <w:shd w:fill="FAFCFD" w:val="clear"/>
            <w:tcMar>
              <w:top w:type="dxa" w:w="70"/>
              <w:left w:type="dxa" w:w="120"/>
              <w:bottom w:type="dxa" w:w="70"/>
              <w:right w:type="dxa" w:w="120"/>
            </w:tcMar>
          </w:tcPr>
          <w:p>
            <w:r>
              <w:rPr>
                <w:sz w:val="19"/>
                <w:szCs w:val="19"/>
              </w:rPr>
              <w:t xml:space="preserve">0,4483</w:t>
            </w:r>
          </w:p>
        </w:tc>
        <w:tc>
          <w:tcPr>
            <w:tcW w:type="pct" w:w="750"/>
            <w:shd w:fill="FAFCFD" w:val="clear"/>
            <w:tcMar>
              <w:top w:type="dxa" w:w="70"/>
              <w:left w:type="dxa" w:w="120"/>
              <w:bottom w:type="dxa" w:w="70"/>
              <w:right w:type="dxa" w:w="120"/>
            </w:tcMar>
          </w:tcPr>
          <w:p>
            <w:r>
              <w:rPr>
                <w:sz w:val="19"/>
                <w:szCs w:val="19"/>
              </w:rPr>
              <w:t xml:space="preserve">15</w:t>
            </w:r>
          </w:p>
        </w:tc>
        <w:tc>
          <w:tcPr>
            <w:tcW w:type="pct" w:w="700"/>
            <w:shd w:fill="FAFCFD" w:val="clear"/>
            <w:tcMar>
              <w:top w:type="dxa" w:w="70"/>
              <w:left w:type="dxa" w:w="120"/>
              <w:bottom w:type="dxa" w:w="70"/>
              <w:right w:type="dxa" w:w="120"/>
            </w:tcMar>
          </w:tcPr>
          <w:p>
            <w:r>
              <w:rPr>
                <w:sz w:val="19"/>
                <w:szCs w:val="19"/>
              </w:rPr>
              <w:t xml:space="preserve">0</w:t>
            </w:r>
          </w:p>
        </w:tc>
        <w:tc>
          <w:tcPr>
            <w:tcW w:type="pct" w:w="650"/>
            <w:shd w:fill="FAFCFD" w:val="clear"/>
            <w:tcMar>
              <w:top w:type="dxa" w:w="70"/>
              <w:left w:type="dxa" w:w="120"/>
              <w:bottom w:type="dxa" w:w="70"/>
              <w:right w:type="dxa" w:w="120"/>
            </w:tcMar>
          </w:tcPr>
          <w:p>
            <w:r>
              <w:rPr>
                <w:sz w:val="19"/>
                <w:szCs w:val="19"/>
              </w:rPr>
              <w:t xml:space="preserve">39</w:t>
            </w:r>
          </w:p>
        </w:tc>
      </w:tr>
      <w:tr>
        <w:trPr>
          <w:cantSplit/>
        </w:trPr>
        <w:tc>
          <w:tcPr>
            <w:tcW w:type="pct" w:w="1400"/>
            <w:shd w:fill="FFFFFF" w:val="clear"/>
            <w:tcMar>
              <w:top w:type="dxa" w:w="70"/>
              <w:left w:type="dxa" w:w="120"/>
              <w:bottom w:type="dxa" w:w="70"/>
              <w:right w:type="dxa" w:w="120"/>
            </w:tcMar>
          </w:tcPr>
          <w:p>
            <w:r>
              <w:rPr>
                <w:sz w:val="19"/>
                <w:szCs w:val="19"/>
              </w:rPr>
              <w:t xml:space="preserve">Tono en nivel (no anormal)</w:t>
            </w:r>
          </w:p>
        </w:tc>
        <w:tc>
          <w:tcPr>
            <w:tcW w:type="pct" w:w="750"/>
            <w:shd w:fill="FFFFFF" w:val="clear"/>
            <w:tcMar>
              <w:top w:type="dxa" w:w="70"/>
              <w:left w:type="dxa" w:w="120"/>
              <w:bottom w:type="dxa" w:w="70"/>
              <w:right w:type="dxa" w:w="120"/>
            </w:tcMar>
          </w:tcPr>
          <w:p>
            <w:r>
              <w:rPr>
                <w:sz w:val="19"/>
                <w:szCs w:val="19"/>
              </w:rPr>
              <w:t xml:space="preserve">0,0002</w:t>
            </w:r>
          </w:p>
        </w:tc>
        <w:tc>
          <w:tcPr>
            <w:tcW w:type="pct" w:w="750"/>
            <w:shd w:fill="FFFFFF" w:val="clear"/>
            <w:tcMar>
              <w:top w:type="dxa" w:w="70"/>
              <w:left w:type="dxa" w:w="120"/>
              <w:bottom w:type="dxa" w:w="70"/>
              <w:right w:type="dxa" w:w="120"/>
            </w:tcMar>
          </w:tcPr>
          <w:p>
            <w:r>
              <w:rPr>
                <w:sz w:val="19"/>
                <w:szCs w:val="19"/>
              </w:rPr>
              <w:t xml:space="preserve">0,4752</w:t>
            </w:r>
          </w:p>
        </w:tc>
        <w:tc>
          <w:tcPr>
            <w:tcW w:type="pct" w:w="750"/>
            <w:shd w:fill="FFFFFF" w:val="clear"/>
            <w:tcMar>
              <w:top w:type="dxa" w:w="70"/>
              <w:left w:type="dxa" w:w="120"/>
              <w:bottom w:type="dxa" w:w="70"/>
              <w:right w:type="dxa" w:w="120"/>
            </w:tcMar>
          </w:tcPr>
          <w:p>
            <w:r>
              <w:rPr>
                <w:sz w:val="19"/>
                <w:szCs w:val="19"/>
              </w:rPr>
              <w:t xml:space="preserve">11</w:t>
            </w:r>
          </w:p>
        </w:tc>
        <w:tc>
          <w:tcPr>
            <w:tcW w:type="pct" w:w="700"/>
            <w:shd w:fill="FFFFFF" w:val="clear"/>
            <w:tcMar>
              <w:top w:type="dxa" w:w="70"/>
              <w:left w:type="dxa" w:w="120"/>
              <w:bottom w:type="dxa" w:w="70"/>
              <w:right w:type="dxa" w:w="120"/>
            </w:tcMar>
          </w:tcPr>
          <w:p>
            <w:r>
              <w:rPr>
                <w:sz w:val="19"/>
                <w:szCs w:val="19"/>
              </w:rPr>
              <w:t xml:space="preserve">0</w:t>
            </w:r>
          </w:p>
        </w:tc>
        <w:tc>
          <w:tcPr>
            <w:tcW w:type="pct" w:w="650"/>
            <w:shd w:fill="FFFFFF" w:val="clear"/>
            <w:tcMar>
              <w:top w:type="dxa" w:w="70"/>
              <w:left w:type="dxa" w:w="120"/>
              <w:bottom w:type="dxa" w:w="70"/>
              <w:right w:type="dxa" w:w="120"/>
            </w:tcMar>
          </w:tcPr>
          <w:p>
            <w:r>
              <w:rPr>
                <w:sz w:val="19"/>
                <w:szCs w:val="19"/>
              </w:rPr>
              <w:t xml:space="preserve">34</w:t>
            </w:r>
          </w:p>
        </w:tc>
      </w:tr>
      <w:tr>
        <w:trPr>
          <w:cantSplit/>
        </w:trPr>
        <w:tc>
          <w:tcPr>
            <w:tcW w:type="pct" w:w="1400"/>
            <w:shd w:fill="FAFCFD" w:val="clear"/>
            <w:tcMar>
              <w:top w:type="dxa" w:w="70"/>
              <w:left w:type="dxa" w:w="120"/>
              <w:bottom w:type="dxa" w:w="70"/>
              <w:right w:type="dxa" w:w="120"/>
            </w:tcMar>
          </w:tcPr>
          <w:p>
            <w:r>
              <w:rPr>
                <w:sz w:val="19"/>
                <w:szCs w:val="19"/>
              </w:rPr>
              <w:t xml:space="preserve">Sin notas de hora sospechosa</w:t>
            </w:r>
          </w:p>
        </w:tc>
        <w:tc>
          <w:tcPr>
            <w:tcW w:type="pct" w:w="750"/>
            <w:shd w:fill="FAFCFD" w:val="clear"/>
            <w:tcMar>
              <w:top w:type="dxa" w:w="70"/>
              <w:left w:type="dxa" w:w="120"/>
              <w:bottom w:type="dxa" w:w="70"/>
              <w:right w:type="dxa" w:w="120"/>
            </w:tcMar>
          </w:tcPr>
          <w:p>
            <w:r>
              <w:rPr>
                <w:sz w:val="19"/>
                <w:szCs w:val="19"/>
              </w:rPr>
              <w:t xml:space="preserve">0,0002</w:t>
            </w:r>
          </w:p>
        </w:tc>
        <w:tc>
          <w:tcPr>
            <w:tcW w:type="pct" w:w="750"/>
            <w:shd w:fill="FAFCFD" w:val="clear"/>
            <w:tcMar>
              <w:top w:type="dxa" w:w="70"/>
              <w:left w:type="dxa" w:w="120"/>
              <w:bottom w:type="dxa" w:w="70"/>
              <w:right w:type="dxa" w:w="120"/>
            </w:tcMar>
          </w:tcPr>
          <w:p>
            <w:r>
              <w:rPr>
                <w:sz w:val="19"/>
                <w:szCs w:val="19"/>
              </w:rPr>
              <w:t xml:space="preserve">0,4903</w:t>
            </w:r>
          </w:p>
        </w:tc>
        <w:tc>
          <w:tcPr>
            <w:tcW w:type="pct" w:w="750"/>
            <w:shd w:fill="FAFCFD" w:val="clear"/>
            <w:tcMar>
              <w:top w:type="dxa" w:w="70"/>
              <w:left w:type="dxa" w:w="120"/>
              <w:bottom w:type="dxa" w:w="70"/>
              <w:right w:type="dxa" w:w="120"/>
            </w:tcMar>
          </w:tcPr>
          <w:p>
            <w:r>
              <w:rPr>
                <w:sz w:val="19"/>
                <w:szCs w:val="19"/>
              </w:rPr>
              <w:t xml:space="preserve">16</w:t>
            </w:r>
          </w:p>
        </w:tc>
        <w:tc>
          <w:tcPr>
            <w:tcW w:type="pct" w:w="700"/>
            <w:shd w:fill="FAFCFD" w:val="clear"/>
            <w:tcMar>
              <w:top w:type="dxa" w:w="70"/>
              <w:left w:type="dxa" w:w="120"/>
              <w:bottom w:type="dxa" w:w="70"/>
              <w:right w:type="dxa" w:w="120"/>
            </w:tcMar>
          </w:tcPr>
          <w:p>
            <w:r>
              <w:rPr>
                <w:sz w:val="19"/>
                <w:szCs w:val="19"/>
              </w:rPr>
              <w:t xml:space="preserve">0</w:t>
            </w:r>
          </w:p>
        </w:tc>
        <w:tc>
          <w:tcPr>
            <w:tcW w:type="pct" w:w="650"/>
            <w:shd w:fill="FAFCFD" w:val="clear"/>
            <w:tcMar>
              <w:top w:type="dxa" w:w="70"/>
              <w:left w:type="dxa" w:w="120"/>
              <w:bottom w:type="dxa" w:w="70"/>
              <w:right w:type="dxa" w:w="120"/>
            </w:tcMar>
          </w:tcPr>
          <w:p>
            <w:r>
              <w:rPr>
                <w:sz w:val="19"/>
                <w:szCs w:val="19"/>
              </w:rPr>
              <w:t xml:space="preserve">40</w:t>
            </w:r>
          </w:p>
        </w:tc>
      </w:tr>
      <w:tr>
        <w:trPr>
          <w:cantSplit/>
        </w:trPr>
        <w:tc>
          <w:tcPr>
            <w:tcW w:type="pct" w:w="1400"/>
            <w:shd w:fill="FFFFFF" w:val="clear"/>
            <w:tcMar>
              <w:top w:type="dxa" w:w="70"/>
              <w:left w:type="dxa" w:w="120"/>
              <w:bottom w:type="dxa" w:w="70"/>
              <w:right w:type="dxa" w:w="120"/>
            </w:tcMar>
          </w:tcPr>
          <w:p>
            <w:r>
              <w:rPr>
                <w:sz w:val="19"/>
                <w:szCs w:val="19"/>
              </w:rPr>
              <w:t xml:space="preserve">Fecha de calendario (sin regla de las 17:00)</w:t>
            </w:r>
          </w:p>
        </w:tc>
        <w:tc>
          <w:tcPr>
            <w:tcW w:type="pct" w:w="750"/>
            <w:shd w:fill="FFFFFF" w:val="clear"/>
            <w:tcMar>
              <w:top w:type="dxa" w:w="70"/>
              <w:left w:type="dxa" w:w="120"/>
              <w:bottom w:type="dxa" w:w="70"/>
              <w:right w:type="dxa" w:w="120"/>
            </w:tcMar>
          </w:tcPr>
          <w:p>
            <w:r>
              <w:rPr>
                <w:sz w:val="19"/>
                <w:szCs w:val="19"/>
              </w:rPr>
              <w:t xml:space="preserve">0,3389</w:t>
            </w:r>
          </w:p>
        </w:tc>
        <w:tc>
          <w:tcPr>
            <w:tcW w:type="pct" w:w="750"/>
            <w:shd w:fill="FFFFFF" w:val="clear"/>
            <w:tcMar>
              <w:top w:type="dxa" w:w="70"/>
              <w:left w:type="dxa" w:w="120"/>
              <w:bottom w:type="dxa" w:w="70"/>
              <w:right w:type="dxa" w:w="120"/>
            </w:tcMar>
          </w:tcPr>
          <w:p>
            <w:r>
              <w:rPr>
                <w:sz w:val="19"/>
                <w:szCs w:val="19"/>
              </w:rPr>
              <w:t xml:space="preserve">0,4183</w:t>
            </w:r>
          </w:p>
        </w:tc>
        <w:tc>
          <w:tcPr>
            <w:tcW w:type="pct" w:w="750"/>
            <w:shd w:fill="FFFFFF" w:val="clear"/>
            <w:tcMar>
              <w:top w:type="dxa" w:w="70"/>
              <w:left w:type="dxa" w:w="120"/>
              <w:bottom w:type="dxa" w:w="70"/>
              <w:right w:type="dxa" w:w="120"/>
            </w:tcMar>
          </w:tcPr>
          <w:p>
            <w:r>
              <w:rPr>
                <w:sz w:val="19"/>
                <w:szCs w:val="19"/>
              </w:rPr>
              <w:t xml:space="preserve">0</w:t>
            </w:r>
          </w:p>
        </w:tc>
        <w:tc>
          <w:tcPr>
            <w:tcW w:type="pct" w:w="700"/>
            <w:shd w:fill="FFFFFF" w:val="clear"/>
            <w:tcMar>
              <w:top w:type="dxa" w:w="70"/>
              <w:left w:type="dxa" w:w="120"/>
              <w:bottom w:type="dxa" w:w="70"/>
              <w:right w:type="dxa" w:w="120"/>
            </w:tcMar>
          </w:tcPr>
          <w:p>
            <w:r>
              <w:rPr>
                <w:sz w:val="19"/>
                <w:szCs w:val="19"/>
              </w:rPr>
              <w:t xml:space="preserve">0</w:t>
            </w:r>
          </w:p>
        </w:tc>
        <w:tc>
          <w:tcPr>
            <w:tcW w:type="pct" w:w="650"/>
            <w:shd w:fill="FFFFFF" w:val="clear"/>
            <w:tcMar>
              <w:top w:type="dxa" w:w="70"/>
              <w:left w:type="dxa" w:w="120"/>
              <w:bottom w:type="dxa" w:w="70"/>
              <w:right w:type="dxa" w:w="120"/>
            </w:tcMar>
          </w:tcPr>
          <w:p>
            <w:r>
              <w:rPr>
                <w:sz w:val="19"/>
                <w:szCs w:val="19"/>
              </w:rPr>
              <w:t xml:space="preserve">0</w:t>
            </w:r>
          </w:p>
        </w:tc>
      </w:tr>
      <w:tr>
        <w:trPr>
          <w:cantSplit/>
        </w:trPr>
        <w:tc>
          <w:tcPr>
            <w:tcW w:type="pct" w:w="1400"/>
            <w:shd w:fill="FAFCFD" w:val="clear"/>
            <w:tcMar>
              <w:top w:type="dxa" w:w="70"/>
              <w:left w:type="dxa" w:w="120"/>
              <w:bottom w:type="dxa" w:w="70"/>
              <w:right w:type="dxa" w:w="120"/>
            </w:tcMar>
          </w:tcPr>
          <w:p>
            <w:r>
              <w:rPr>
                <w:sz w:val="19"/>
                <w:szCs w:val="19"/>
              </w:rPr>
              <w:t xml:space="preserve">Solo notas del día, antes del cierre</w:t>
            </w:r>
          </w:p>
        </w:tc>
        <w:tc>
          <w:tcPr>
            <w:tcW w:type="pct" w:w="750"/>
            <w:shd w:fill="FAFCFD" w:val="clear"/>
            <w:tcMar>
              <w:top w:type="dxa" w:w="70"/>
              <w:left w:type="dxa" w:w="120"/>
              <w:bottom w:type="dxa" w:w="70"/>
              <w:right w:type="dxa" w:w="120"/>
            </w:tcMar>
          </w:tcPr>
          <w:p>
            <w:r>
              <w:rPr>
                <w:sz w:val="19"/>
                <w:szCs w:val="19"/>
              </w:rPr>
              <w:t xml:space="preserve">0,7000</w:t>
            </w:r>
          </w:p>
        </w:tc>
        <w:tc>
          <w:tcPr>
            <w:tcW w:type="pct" w:w="750"/>
            <w:shd w:fill="FAFCFD" w:val="clear"/>
            <w:tcMar>
              <w:top w:type="dxa" w:w="70"/>
              <w:left w:type="dxa" w:w="120"/>
              <w:bottom w:type="dxa" w:w="70"/>
              <w:right w:type="dxa" w:w="120"/>
            </w:tcMar>
          </w:tcPr>
          <w:p>
            <w:r>
              <w:rPr>
                <w:sz w:val="19"/>
                <w:szCs w:val="19"/>
              </w:rPr>
              <w:t xml:space="preserve">0,4450</w:t>
            </w:r>
          </w:p>
        </w:tc>
        <w:tc>
          <w:tcPr>
            <w:tcW w:type="pct" w:w="750"/>
            <w:shd w:fill="FAFCFD" w:val="clear"/>
            <w:tcMar>
              <w:top w:type="dxa" w:w="70"/>
              <w:left w:type="dxa" w:w="120"/>
              <w:bottom w:type="dxa" w:w="70"/>
              <w:right w:type="dxa" w:w="120"/>
            </w:tcMar>
          </w:tcPr>
          <w:p>
            <w:r>
              <w:rPr>
                <w:sz w:val="19"/>
                <w:szCs w:val="19"/>
              </w:rPr>
              <w:t xml:space="preserve">0</w:t>
            </w:r>
          </w:p>
        </w:tc>
        <w:tc>
          <w:tcPr>
            <w:tcW w:type="pct" w:w="700"/>
            <w:shd w:fill="FAFCFD" w:val="clear"/>
            <w:tcMar>
              <w:top w:type="dxa" w:w="70"/>
              <w:left w:type="dxa" w:w="120"/>
              <w:bottom w:type="dxa" w:w="70"/>
              <w:right w:type="dxa" w:w="120"/>
            </w:tcMar>
          </w:tcPr>
          <w:p>
            <w:r>
              <w:rPr>
                <w:sz w:val="19"/>
                <w:szCs w:val="19"/>
              </w:rPr>
              <w:t xml:space="preserve">0</w:t>
            </w:r>
          </w:p>
        </w:tc>
        <w:tc>
          <w:tcPr>
            <w:tcW w:type="pct" w:w="650"/>
            <w:shd w:fill="FAFCFD" w:val="clear"/>
            <w:tcMar>
              <w:top w:type="dxa" w:w="70"/>
              <w:left w:type="dxa" w:w="120"/>
              <w:bottom w:type="dxa" w:w="70"/>
              <w:right w:type="dxa" w:w="120"/>
            </w:tcMar>
          </w:tcPr>
          <w:p>
            <w:r>
              <w:rPr>
                <w:sz w:val="19"/>
                <w:szCs w:val="19"/>
              </w:rPr>
              <w:t xml:space="preserve">0</w:t>
            </w:r>
          </w:p>
        </w:tc>
      </w:tr>
      <w:tr>
        <w:trPr>
          <w:cantSplit/>
        </w:trPr>
        <w:tc>
          <w:tcPr>
            <w:tcW w:type="pct" w:w="1400"/>
            <w:shd w:fill="FFFFFF" w:val="clear"/>
            <w:tcMar>
              <w:top w:type="dxa" w:w="70"/>
              <w:left w:type="dxa" w:w="120"/>
              <w:bottom w:type="dxa" w:w="70"/>
              <w:right w:type="dxa" w:w="120"/>
            </w:tcMar>
          </w:tcPr>
          <w:p>
            <w:r>
              <w:rPr>
                <w:sz w:val="19"/>
                <w:szCs w:val="19"/>
              </w:rPr>
              <w:t xml:space="preserve">Sin abril de 2026</w:t>
            </w:r>
          </w:p>
        </w:tc>
        <w:tc>
          <w:tcPr>
            <w:tcW w:type="pct" w:w="750"/>
            <w:shd w:fill="FFFFFF" w:val="clear"/>
            <w:tcMar>
              <w:top w:type="dxa" w:w="70"/>
              <w:left w:type="dxa" w:w="120"/>
              <w:bottom w:type="dxa" w:w="70"/>
              <w:right w:type="dxa" w:w="120"/>
            </w:tcMar>
          </w:tcPr>
          <w:p>
            <w:r>
              <w:rPr>
                <w:sz w:val="19"/>
                <w:szCs w:val="19"/>
              </w:rPr>
              <w:t xml:space="preserve">0,0004</w:t>
            </w:r>
          </w:p>
        </w:tc>
        <w:tc>
          <w:tcPr>
            <w:tcW w:type="pct" w:w="750"/>
            <w:shd w:fill="FFFFFF" w:val="clear"/>
            <w:tcMar>
              <w:top w:type="dxa" w:w="70"/>
              <w:left w:type="dxa" w:w="120"/>
              <w:bottom w:type="dxa" w:w="70"/>
              <w:right w:type="dxa" w:w="120"/>
            </w:tcMar>
          </w:tcPr>
          <w:p>
            <w:r>
              <w:rPr>
                <w:sz w:val="19"/>
                <w:szCs w:val="19"/>
              </w:rPr>
              <w:t xml:space="preserve">0,2239</w:t>
            </w:r>
          </w:p>
        </w:tc>
        <w:tc>
          <w:tcPr>
            <w:tcW w:type="pct" w:w="750"/>
            <w:shd w:fill="FFFFFF" w:val="clear"/>
            <w:tcMar>
              <w:top w:type="dxa" w:w="70"/>
              <w:left w:type="dxa" w:w="120"/>
              <w:bottom w:type="dxa" w:w="70"/>
              <w:right w:type="dxa" w:w="120"/>
            </w:tcMar>
          </w:tcPr>
          <w:p>
            <w:r>
              <w:rPr>
                <w:sz w:val="19"/>
                <w:szCs w:val="19"/>
              </w:rPr>
              <w:t xml:space="preserve">16</w:t>
            </w:r>
          </w:p>
        </w:tc>
        <w:tc>
          <w:tcPr>
            <w:tcW w:type="pct" w:w="700"/>
            <w:shd w:fill="FFFFFF" w:val="clear"/>
            <w:tcMar>
              <w:top w:type="dxa" w:w="70"/>
              <w:left w:type="dxa" w:w="120"/>
              <w:bottom w:type="dxa" w:w="70"/>
              <w:right w:type="dxa" w:w="120"/>
            </w:tcMar>
          </w:tcPr>
          <w:p>
            <w:r>
              <w:rPr>
                <w:sz w:val="19"/>
                <w:szCs w:val="19"/>
              </w:rPr>
              <w:t xml:space="preserve">0</w:t>
            </w:r>
          </w:p>
        </w:tc>
        <w:tc>
          <w:tcPr>
            <w:tcW w:type="pct" w:w="650"/>
            <w:shd w:fill="FFFFFF" w:val="clear"/>
            <w:tcMar>
              <w:top w:type="dxa" w:w="70"/>
              <w:left w:type="dxa" w:w="120"/>
              <w:bottom w:type="dxa" w:w="70"/>
              <w:right w:type="dxa" w:w="120"/>
            </w:tcMar>
          </w:tcPr>
          <w:p>
            <w:r>
              <w:rPr>
                <w:sz w:val="19"/>
                <w:szCs w:val="19"/>
              </w:rPr>
              <w:t xml:space="preserve">39</w:t>
            </w:r>
          </w:p>
        </w:tc>
      </w:tr>
      <w:tr>
        <w:trPr>
          <w:cantSplit/>
        </w:trPr>
        <w:tc>
          <w:tcPr>
            <w:tcW w:type="pct" w:w="1400"/>
            <w:shd w:fill="FAFCFD" w:val="clear"/>
            <w:tcMar>
              <w:top w:type="dxa" w:w="70"/>
              <w:left w:type="dxa" w:w="120"/>
              <w:bottom w:type="dxa" w:w="70"/>
              <w:right w:type="dxa" w:w="120"/>
            </w:tcMar>
          </w:tcPr>
          <w:p>
            <w:r>
              <w:rPr>
                <w:sz w:val="19"/>
                <w:szCs w:val="19"/>
              </w:rPr>
              <w:t xml:space="preserve">Días electorales como control</w:t>
            </w:r>
          </w:p>
        </w:tc>
        <w:tc>
          <w:tcPr>
            <w:tcW w:type="pct" w:w="750"/>
            <w:shd w:fill="FAFCFD" w:val="clear"/>
            <w:tcMar>
              <w:top w:type="dxa" w:w="70"/>
              <w:left w:type="dxa" w:w="120"/>
              <w:bottom w:type="dxa" w:w="70"/>
              <w:right w:type="dxa" w:w="120"/>
            </w:tcMar>
          </w:tcPr>
          <w:p>
            <w:r>
              <w:rPr>
                <w:sz w:val="19"/>
                <w:szCs w:val="19"/>
              </w:rPr>
              <w:t xml:space="preserve">0,0003</w:t>
            </w:r>
          </w:p>
        </w:tc>
        <w:tc>
          <w:tcPr>
            <w:tcW w:type="pct" w:w="750"/>
            <w:shd w:fill="FAFCFD" w:val="clear"/>
            <w:tcMar>
              <w:top w:type="dxa" w:w="70"/>
              <w:left w:type="dxa" w:w="120"/>
              <w:bottom w:type="dxa" w:w="70"/>
              <w:right w:type="dxa" w:w="120"/>
            </w:tcMar>
          </w:tcPr>
          <w:p>
            <w:r>
              <w:rPr>
                <w:sz w:val="19"/>
                <w:szCs w:val="19"/>
              </w:rPr>
              <w:t xml:space="preserve">0,5602</w:t>
            </w:r>
          </w:p>
        </w:tc>
        <w:tc>
          <w:tcPr>
            <w:tcW w:type="pct" w:w="750"/>
            <w:shd w:fill="FAFCFD" w:val="clear"/>
            <w:tcMar>
              <w:top w:type="dxa" w:w="70"/>
              <w:left w:type="dxa" w:w="120"/>
              <w:bottom w:type="dxa" w:w="70"/>
              <w:right w:type="dxa" w:w="120"/>
            </w:tcMar>
          </w:tcPr>
          <w:p>
            <w:r>
              <w:rPr>
                <w:sz w:val="19"/>
                <w:szCs w:val="19"/>
              </w:rPr>
              <w:t xml:space="preserve">15</w:t>
            </w:r>
          </w:p>
        </w:tc>
        <w:tc>
          <w:tcPr>
            <w:tcW w:type="pct" w:w="700"/>
            <w:shd w:fill="FAFCFD" w:val="clear"/>
            <w:tcMar>
              <w:top w:type="dxa" w:w="70"/>
              <w:left w:type="dxa" w:w="120"/>
              <w:bottom w:type="dxa" w:w="70"/>
              <w:right w:type="dxa" w:w="120"/>
            </w:tcMar>
          </w:tcPr>
          <w:p>
            <w:r>
              <w:rPr>
                <w:sz w:val="19"/>
                <w:szCs w:val="19"/>
              </w:rPr>
              <w:t xml:space="preserve">0</w:t>
            </w:r>
          </w:p>
        </w:tc>
        <w:tc>
          <w:tcPr>
            <w:tcW w:type="pct" w:w="650"/>
            <w:shd w:fill="FAFCFD" w:val="clear"/>
            <w:tcMar>
              <w:top w:type="dxa" w:w="70"/>
              <w:left w:type="dxa" w:w="120"/>
              <w:bottom w:type="dxa" w:w="70"/>
              <w:right w:type="dxa" w:w="120"/>
            </w:tcMar>
          </w:tcPr>
          <w:p>
            <w:r>
              <w:rPr>
                <w:sz w:val="19"/>
                <w:szCs w:val="19"/>
              </w:rPr>
              <w:t xml:space="preserve">38</w:t>
            </w:r>
          </w:p>
        </w:tc>
      </w:tr>
    </w:tbl>
    <w:p>
      <w:pPr>
        <w:spacing w:after="160" w:line="300"/>
      </w:pPr>
      <w:r>
        <w:rPr>
          <w:i/>
          <w:iCs/>
          <w:color w:val="5C6B7A"/>
          <w:sz w:val="18"/>
          <w:szCs w:val="18"/>
        </w:rPr>
        <w:t xml:space="preserve">Los p están corregidos por pruebas múltiples, como en U6. Sin las 4 acciones ilíquidas, el retorno anticipa el tono en 36 de 43 empresas y el tono anticipa el retorno en 0.</w:t>
      </w:r>
    </w:p>
    <w:p>
      <w:pPr>
        <w:spacing w:after="160"/>
        <w:jc w:val="center"/>
      </w:pPr>
      <w:r>
        <w:drawing>
          <wp:inline distT="0" distB="0" distL="0" distR="0">
            <wp:extent cx="5334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09850"/>
                    </a:xfrm>
                    <a:prstGeom prst="rect">
                      <a:avLst/>
                    </a:prstGeom>
                  </pic:spPr>
                </pic:pic>
              </a:graphicData>
            </a:graphic>
          </wp:inline>
        </w:drawing>
      </w:r>
    </w:p>
    <w:p>
      <w:pPr>
        <w:pStyle w:val="Heading1"/>
        <w:keepNext/>
        <w:spacing w:after="160" w:before="360"/>
      </w:pPr>
      <w:r>
        <w:t xml:space="preserve">3. Lo que se sostiene en todas las variantes</w:t>
      </w:r>
    </w:p>
    <w:p>
      <w:pPr>
        <w:spacing w:after="160" w:line="300"/>
        <w:ind w:left="360" w:hanging="240"/>
      </w:pPr>
      <w:r>
        <w:t xml:space="preserve">•  </w:t>
      </w:r>
      <w:r>
        <w:rPr>
          <w:b/>
          <w:bCs/>
        </w:rPr>
        <w:t xml:space="preserve">El tono no anticipa al mercado. </w:t>
      </w:r>
      <w:r>
        <w:t xml:space="preserve">En ninguna variante el tono anticipa el retorno, ni en el mercado ni en ninguna empresa. Es el resultado más firme de la tesis.</w:t>
      </w:r>
    </w:p>
    <w:p>
      <w:pPr>
        <w:spacing w:after="160" w:line="300"/>
        <w:ind w:left="360" w:hanging="240"/>
      </w:pPr>
      <w:r>
        <w:t xml:space="preserve">•  </w:t>
      </w:r>
      <w:r>
        <w:rPr>
          <w:b/>
          <w:bCs/>
        </w:rPr>
        <w:t xml:space="preserve">El mercado anticipa al tono, con cualquier tono y sin los días dudosos. </w:t>
      </w:r>
      <w:r>
        <w:t xml:space="preserve">Se mantiene con el tono ajustado por portal, con el tono en nivel, sin las notas de hora sospechosa, sin abril de 2026, con los días electorales como control y sin las acciones ilíquidas.</w:t>
      </w:r>
    </w:p>
    <w:p>
      <w:pPr>
        <w:pStyle w:val="Heading1"/>
        <w:keepNext/>
        <w:spacing w:after="160" w:before="360"/>
      </w:pPr>
      <w:r>
        <w:t xml:space="preserve">4. Lo que cambia, y qué enseña</w:t>
      </w:r>
    </w:p>
    <w:p>
      <w:pPr>
        <w:spacing w:after="160" w:line="300"/>
      </w:pPr>
      <w:r>
        <w:t xml:space="preserve">Con dos variantes el efecto del retorno sobre el tono desaparece: la fecha de calendario y las notas del día antes del cierre. Las dos tienen algo en común: dejan afuera, o mueven de rueda, las notas publicadas después del cierre. Para ver exactamente dónde está el efecto, se separaron las notas según la franja en que se publicaron y se midió, para cada franja, cuánto se relaciona su tono con el retorno de la rueda anterior:</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3470"/>
        <w:gridCol w:w="1157"/>
        <w:gridCol w:w="3277"/>
        <w:gridCol w:w="1735"/>
      </w:tblGrid>
      <w:tr>
        <w:trPr>
          <w:tblHeader/>
        </w:trPr>
        <w:tc>
          <w:tcPr>
            <w:tcW w:type="pct" w:w="1800"/>
            <w:shd w:fill="1C3A5C" w:val="clear"/>
            <w:tcMar>
              <w:top w:type="dxa" w:w="80"/>
              <w:left w:type="dxa" w:w="120"/>
              <w:bottom w:type="dxa" w:w="80"/>
              <w:right w:type="dxa" w:w="120"/>
            </w:tcMar>
          </w:tcPr>
          <w:p>
            <w:r>
              <w:rPr>
                <w:b/>
                <w:bCs/>
                <w:color w:val="FFFFFF"/>
                <w:sz w:val="19"/>
                <w:szCs w:val="19"/>
              </w:rPr>
              <w:t xml:space="preserve">Franja de publicación</w:t>
            </w:r>
          </w:p>
        </w:tc>
        <w:tc>
          <w:tcPr>
            <w:tcW w:type="pct" w:w="600"/>
            <w:shd w:fill="1C3A5C" w:val="clear"/>
            <w:tcMar>
              <w:top w:type="dxa" w:w="80"/>
              <w:left w:type="dxa" w:w="120"/>
              <w:bottom w:type="dxa" w:w="80"/>
              <w:right w:type="dxa" w:w="120"/>
            </w:tcMar>
          </w:tcPr>
          <w:p>
            <w:r>
              <w:rPr>
                <w:b/>
                <w:bCs/>
                <w:color w:val="FFFFFF"/>
                <w:sz w:val="19"/>
                <w:szCs w:val="19"/>
              </w:rPr>
              <w:t xml:space="preserve">Notas</w:t>
            </w:r>
          </w:p>
        </w:tc>
        <w:tc>
          <w:tcPr>
            <w:tcW w:type="pct" w:w="1700"/>
            <w:shd w:fill="1C3A5C" w:val="clear"/>
            <w:tcMar>
              <w:top w:type="dxa" w:w="80"/>
              <w:left w:type="dxa" w:w="120"/>
              <w:bottom w:type="dxa" w:w="80"/>
              <w:right w:type="dxa" w:w="120"/>
            </w:tcMar>
          </w:tcPr>
          <w:p>
            <w:r>
              <w:rPr>
                <w:b/>
                <w:bCs/>
                <w:color w:val="FFFFFF"/>
                <w:sz w:val="19"/>
                <w:szCs w:val="19"/>
              </w:rPr>
              <w:t xml:space="preserve">Efecto de un desvío del retorno (puntos de tono)</w:t>
            </w:r>
          </w:p>
        </w:tc>
        <w:tc>
          <w:tcPr>
            <w:tcW w:type="pct" w:w="900"/>
            <w:shd w:fill="1C3A5C" w:val="clear"/>
            <w:tcMar>
              <w:top w:type="dxa" w:w="80"/>
              <w:left w:type="dxa" w:w="120"/>
              <w:bottom w:type="dxa" w:w="80"/>
              <w:right w:type="dxa" w:w="120"/>
            </w:tcMar>
          </w:tcPr>
          <w:p>
            <w:r>
              <w:rPr>
                <w:b/>
                <w:bCs/>
                <w:color w:val="FFFFFF"/>
                <w:sz w:val="19"/>
                <w:szCs w:val="19"/>
              </w:rPr>
              <w:t xml:space="preserve">p</w:t>
            </w:r>
          </w:p>
        </w:tc>
      </w:tr>
      <w:tr>
        <w:trPr>
          <w:cantSplit/>
        </w:trPr>
        <w:tc>
          <w:tcPr>
            <w:tcW w:type="pct" w:w="1800"/>
            <w:shd w:fill="FFFFFF" w:val="clear"/>
            <w:tcMar>
              <w:top w:type="dxa" w:w="70"/>
              <w:left w:type="dxa" w:w="120"/>
              <w:bottom w:type="dxa" w:w="70"/>
              <w:right w:type="dxa" w:w="120"/>
            </w:tcMar>
          </w:tcPr>
          <w:p>
            <w:r>
              <w:rPr>
                <w:sz w:val="19"/>
                <w:szCs w:val="19"/>
              </w:rPr>
              <w:t xml:space="preserve">noche anterior (17 a 24 h)</w:t>
            </w:r>
          </w:p>
        </w:tc>
        <w:tc>
          <w:tcPr>
            <w:tcW w:type="pct" w:w="600"/>
            <w:shd w:fill="FFFFFF" w:val="clear"/>
            <w:tcMar>
              <w:top w:type="dxa" w:w="70"/>
              <w:left w:type="dxa" w:w="120"/>
              <w:bottom w:type="dxa" w:w="70"/>
              <w:right w:type="dxa" w:w="120"/>
            </w:tcMar>
          </w:tcPr>
          <w:p>
            <w:r>
              <w:rPr>
                <w:sz w:val="19"/>
                <w:szCs w:val="19"/>
              </w:rPr>
              <w:t xml:space="preserve">3451</w:t>
            </w:r>
          </w:p>
        </w:tc>
        <w:tc>
          <w:tcPr>
            <w:tcW w:type="pct" w:w="1700"/>
            <w:shd w:fill="FFFFFF" w:val="clear"/>
            <w:tcMar>
              <w:top w:type="dxa" w:w="70"/>
              <w:left w:type="dxa" w:w="120"/>
              <w:bottom w:type="dxa" w:w="70"/>
              <w:right w:type="dxa" w:w="120"/>
            </w:tcMar>
          </w:tcPr>
          <w:p>
            <w:r>
              <w:rPr>
                <w:sz w:val="19"/>
                <w:szCs w:val="19"/>
              </w:rPr>
              <w:t xml:space="preserve">+4,77</w:t>
            </w:r>
          </w:p>
        </w:tc>
        <w:tc>
          <w:tcPr>
            <w:tcW w:type="pct" w:w="900"/>
            <w:shd w:fill="FFFFFF" w:val="clear"/>
            <w:tcMar>
              <w:top w:type="dxa" w:w="70"/>
              <w:left w:type="dxa" w:w="120"/>
              <w:bottom w:type="dxa" w:w="70"/>
              <w:right w:type="dxa" w:w="120"/>
            </w:tcMar>
          </w:tcPr>
          <w:p>
            <w:r>
              <w:rPr>
                <w:sz w:val="19"/>
                <w:szCs w:val="19"/>
              </w:rPr>
              <w:t xml:space="preserve">&lt; 0,0001</w:t>
            </w:r>
          </w:p>
        </w:tc>
      </w:tr>
      <w:tr>
        <w:trPr>
          <w:cantSplit/>
        </w:trPr>
        <w:tc>
          <w:tcPr>
            <w:tcW w:type="pct" w:w="1800"/>
            <w:shd w:fill="FAFCFD" w:val="clear"/>
            <w:tcMar>
              <w:top w:type="dxa" w:w="70"/>
              <w:left w:type="dxa" w:w="120"/>
              <w:bottom w:type="dxa" w:w="70"/>
              <w:right w:type="dxa" w:w="120"/>
            </w:tcMar>
          </w:tcPr>
          <w:p>
            <w:r>
              <w:rPr>
                <w:sz w:val="19"/>
                <w:szCs w:val="19"/>
              </w:rPr>
              <w:t xml:space="preserve">día sin rueda</w:t>
            </w:r>
          </w:p>
        </w:tc>
        <w:tc>
          <w:tcPr>
            <w:tcW w:type="pct" w:w="600"/>
            <w:shd w:fill="FAFCFD" w:val="clear"/>
            <w:tcMar>
              <w:top w:type="dxa" w:w="70"/>
              <w:left w:type="dxa" w:w="120"/>
              <w:bottom w:type="dxa" w:w="70"/>
              <w:right w:type="dxa" w:w="120"/>
            </w:tcMar>
          </w:tcPr>
          <w:p>
            <w:r>
              <w:rPr>
                <w:sz w:val="19"/>
                <w:szCs w:val="19"/>
              </w:rPr>
              <w:t xml:space="preserve">2142</w:t>
            </w:r>
          </w:p>
        </w:tc>
        <w:tc>
          <w:tcPr>
            <w:tcW w:type="pct" w:w="1700"/>
            <w:shd w:fill="FAFCFD" w:val="clear"/>
            <w:tcMar>
              <w:top w:type="dxa" w:w="70"/>
              <w:left w:type="dxa" w:w="120"/>
              <w:bottom w:type="dxa" w:w="70"/>
              <w:right w:type="dxa" w:w="120"/>
            </w:tcMar>
          </w:tcPr>
          <w:p>
            <w:r>
              <w:rPr>
                <w:sz w:val="19"/>
                <w:szCs w:val="19"/>
              </w:rPr>
              <w:t xml:space="preserve">+3,11</w:t>
            </w:r>
          </w:p>
        </w:tc>
        <w:tc>
          <w:tcPr>
            <w:tcW w:type="pct" w:w="900"/>
            <w:shd w:fill="FAFCFD" w:val="clear"/>
            <w:tcMar>
              <w:top w:type="dxa" w:w="70"/>
              <w:left w:type="dxa" w:w="120"/>
              <w:bottom w:type="dxa" w:w="70"/>
              <w:right w:type="dxa" w:w="120"/>
            </w:tcMar>
          </w:tcPr>
          <w:p>
            <w:r>
              <w:rPr>
                <w:sz w:val="19"/>
                <w:szCs w:val="19"/>
              </w:rPr>
              <w:t xml:space="preserve">0,1133</w:t>
            </w:r>
          </w:p>
        </w:tc>
      </w:tr>
      <w:tr>
        <w:trPr>
          <w:cantSplit/>
        </w:trPr>
        <w:tc>
          <w:tcPr>
            <w:tcW w:type="pct" w:w="1800"/>
            <w:shd w:fill="FFFFFF" w:val="clear"/>
            <w:tcMar>
              <w:top w:type="dxa" w:w="70"/>
              <w:left w:type="dxa" w:w="120"/>
              <w:bottom w:type="dxa" w:w="70"/>
              <w:right w:type="dxa" w:w="120"/>
            </w:tcMar>
          </w:tcPr>
          <w:p>
            <w:r>
              <w:rPr>
                <w:sz w:val="19"/>
                <w:szCs w:val="19"/>
              </w:rPr>
              <w:t xml:space="preserve">madrugada y mañana (antes de las 11)</w:t>
            </w:r>
          </w:p>
        </w:tc>
        <w:tc>
          <w:tcPr>
            <w:tcW w:type="pct" w:w="600"/>
            <w:shd w:fill="FFFFFF" w:val="clear"/>
            <w:tcMar>
              <w:top w:type="dxa" w:w="70"/>
              <w:left w:type="dxa" w:w="120"/>
              <w:bottom w:type="dxa" w:w="70"/>
              <w:right w:type="dxa" w:w="120"/>
            </w:tcMar>
          </w:tcPr>
          <w:p>
            <w:r>
              <w:rPr>
                <w:sz w:val="19"/>
                <w:szCs w:val="19"/>
              </w:rPr>
              <w:t xml:space="preserve">4331</w:t>
            </w:r>
          </w:p>
        </w:tc>
        <w:tc>
          <w:tcPr>
            <w:tcW w:type="pct" w:w="1700"/>
            <w:shd w:fill="FFFFFF" w:val="clear"/>
            <w:tcMar>
              <w:top w:type="dxa" w:w="70"/>
              <w:left w:type="dxa" w:w="120"/>
              <w:bottom w:type="dxa" w:w="70"/>
              <w:right w:type="dxa" w:w="120"/>
            </w:tcMar>
          </w:tcPr>
          <w:p>
            <w:r>
              <w:rPr>
                <w:sz w:val="19"/>
                <w:szCs w:val="19"/>
              </w:rPr>
              <w:t xml:space="preserve">+0,54</w:t>
            </w:r>
          </w:p>
        </w:tc>
        <w:tc>
          <w:tcPr>
            <w:tcW w:type="pct" w:w="900"/>
            <w:shd w:fill="FFFFFF" w:val="clear"/>
            <w:tcMar>
              <w:top w:type="dxa" w:w="70"/>
              <w:left w:type="dxa" w:w="120"/>
              <w:bottom w:type="dxa" w:w="70"/>
              <w:right w:type="dxa" w:w="120"/>
            </w:tcMar>
          </w:tcPr>
          <w:p>
            <w:r>
              <w:rPr>
                <w:sz w:val="19"/>
                <w:szCs w:val="19"/>
              </w:rPr>
              <w:t xml:space="preserve">0,5142</w:t>
            </w:r>
          </w:p>
        </w:tc>
      </w:tr>
      <w:tr>
        <w:trPr>
          <w:cantSplit/>
        </w:trPr>
        <w:tc>
          <w:tcPr>
            <w:tcW w:type="pct" w:w="1800"/>
            <w:shd w:fill="FAFCFD" w:val="clear"/>
            <w:tcMar>
              <w:top w:type="dxa" w:w="70"/>
              <w:left w:type="dxa" w:w="120"/>
              <w:bottom w:type="dxa" w:w="70"/>
              <w:right w:type="dxa" w:w="120"/>
            </w:tcMar>
          </w:tcPr>
          <w:p>
            <w:r>
              <w:rPr>
                <w:sz w:val="19"/>
                <w:szCs w:val="19"/>
              </w:rPr>
              <w:t xml:space="preserve">sesión (11 a 17 h)</w:t>
            </w:r>
          </w:p>
        </w:tc>
        <w:tc>
          <w:tcPr>
            <w:tcW w:type="pct" w:w="600"/>
            <w:shd w:fill="FAFCFD" w:val="clear"/>
            <w:tcMar>
              <w:top w:type="dxa" w:w="70"/>
              <w:left w:type="dxa" w:w="120"/>
              <w:bottom w:type="dxa" w:w="70"/>
              <w:right w:type="dxa" w:w="120"/>
            </w:tcMar>
          </w:tcPr>
          <w:p>
            <w:r>
              <w:rPr>
                <w:sz w:val="19"/>
                <w:szCs w:val="19"/>
              </w:rPr>
              <w:t xml:space="preserve">4001</w:t>
            </w:r>
          </w:p>
        </w:tc>
        <w:tc>
          <w:tcPr>
            <w:tcW w:type="pct" w:w="1700"/>
            <w:shd w:fill="FAFCFD" w:val="clear"/>
            <w:tcMar>
              <w:top w:type="dxa" w:w="70"/>
              <w:left w:type="dxa" w:w="120"/>
              <w:bottom w:type="dxa" w:w="70"/>
              <w:right w:type="dxa" w:w="120"/>
            </w:tcMar>
          </w:tcPr>
          <w:p>
            <w:r>
              <w:rPr>
                <w:sz w:val="19"/>
                <w:szCs w:val="19"/>
              </w:rPr>
              <w:t xml:space="preserve">+1,26</w:t>
            </w:r>
          </w:p>
        </w:tc>
        <w:tc>
          <w:tcPr>
            <w:tcW w:type="pct" w:w="900"/>
            <w:shd w:fill="FAFCFD" w:val="clear"/>
            <w:tcMar>
              <w:top w:type="dxa" w:w="70"/>
              <w:left w:type="dxa" w:w="120"/>
              <w:bottom w:type="dxa" w:w="70"/>
              <w:right w:type="dxa" w:w="120"/>
            </w:tcMar>
          </w:tcPr>
          <w:p>
            <w:r>
              <w:rPr>
                <w:sz w:val="19"/>
                <w:szCs w:val="19"/>
              </w:rPr>
              <w:t xml:space="preserve">0,1028</w:t>
            </w:r>
          </w:p>
        </w:tc>
      </w:tr>
    </w:tbl>
    <w:p>
      <w:pPr>
        <w:spacing w:after="160" w:line="300"/>
      </w:pPr>
      <w:r>
        <w:t xml:space="preserve">El efecto está en las notas de la misma noche, publicadas entre las 17:00 y la medianoche del día de la rueda: un desvío del retorno sube su tono 4,8 puntos (p &lt; 0,0001). En las notas del fin de semana es más chico y no llega al 5% (p = 0,11); en las de la madrugada y la mañana siguiente es casi nulo (p = 0,51); en las de la sesión, chico (p = 0,10).</w:t>
      </w:r>
    </w:p>
    <w:p>
      <w:pPr>
        <w:spacing w:after="160" w:line="300"/>
      </w:pPr>
      <w:r>
        <w:rPr>
          <w:b/>
          <w:bCs/>
        </w:rPr>
        <w:t xml:space="preserve">Qué significa. </w:t>
      </w:r>
      <w:r>
        <w:t xml:space="preserve">La regla de las 17:00 manda las notas de la noche a la rueda siguiente, y por eso en U6 el efecto aparecía como "el retorno de hoy anticipa el tono de mañana". En realidad es más directo: después del cierre, los medios cuentan cómo le fue al mercado y a cada empresa, con un tono que acompaña la suba o la baja. Con la fecha de calendario, esas notas quedan en el mismo día del retorno, y el efecto pasa a ser del mismo día, que el Granger no mide. A la mañana siguiente, el tono ya no refleja el retorno del día anterior.</w:t>
      </w:r>
    </w:p>
    <w:p>
      <w:pPr>
        <w:spacing w:after="160" w:line="300"/>
      </w:pPr>
      <w:r>
        <w:rPr>
          <w:b/>
          <w:bCs/>
        </w:rPr>
        <w:t xml:space="preserve">Cómo cambia la conclusión. </w:t>
      </w:r>
      <w:r>
        <w:t xml:space="preserve">No cambia la dirección: los medios siguen al mercado. Precisa el cuándo: lo siguen esa misma noche, en las notas posteriores al cierre, y no hay un arrastre que dure días. Con el tono propio de cada empresa pasa lo mismo: usando solo las notas del día antes del cierre, el efecto desaparece en las 17 empresas (0 de 17, contra 15 en la base). La descomposición por franja se midió para el mercado, no para cada empresa.</w:t>
      </w:r>
    </w:p>
    <w:p>
      <w:pPr>
        <w:pStyle w:val="Heading1"/>
        <w:keepNext/>
        <w:spacing w:after="160" w:before="360"/>
      </w:pPr>
      <w:r>
        <w:t xml:space="preserve">5. Régimen</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3855"/>
        <w:gridCol w:w="1928"/>
        <w:gridCol w:w="1928"/>
        <w:gridCol w:w="1928"/>
      </w:tblGrid>
      <w:tr>
        <w:trPr>
          <w:tblHeader/>
        </w:trPr>
        <w:tc>
          <w:tcPr>
            <w:tcW w:type="pct" w:w="2000"/>
            <w:shd w:fill="1C3A5C" w:val="clear"/>
            <w:tcMar>
              <w:top w:type="dxa" w:w="80"/>
              <w:left w:type="dxa" w:w="120"/>
              <w:bottom w:type="dxa" w:w="80"/>
              <w:right w:type="dxa" w:w="120"/>
            </w:tcMar>
          </w:tcPr>
          <w:p>
            <w:r>
              <w:rPr>
                <w:b/>
                <w:bCs/>
                <w:color w:val="FFFFFF"/>
                <w:sz w:val="19"/>
                <w:szCs w:val="19"/>
              </w:rPr>
              <w:t xml:space="preserve">Prueba</w:t>
            </w:r>
          </w:p>
        </w:tc>
        <w:tc>
          <w:tcPr>
            <w:tcW w:type="pct" w:w="1000"/>
            <w:shd w:fill="1C3A5C" w:val="clear"/>
            <w:tcMar>
              <w:top w:type="dxa" w:w="80"/>
              <w:left w:type="dxa" w:w="120"/>
              <w:bottom w:type="dxa" w:w="80"/>
              <w:right w:type="dxa" w:w="120"/>
            </w:tcMar>
          </w:tcPr>
          <w:p>
            <w:r>
              <w:rPr>
                <w:b/>
                <w:bCs/>
                <w:color w:val="FFFFFF"/>
                <w:sz w:val="19"/>
                <w:szCs w:val="19"/>
              </w:rPr>
              <w:t xml:space="preserve">Base</w:t>
            </w:r>
          </w:p>
        </w:tc>
        <w:tc>
          <w:tcPr>
            <w:tcW w:type="pct" w:w="1000"/>
            <w:shd w:fill="1C3A5C" w:val="clear"/>
            <w:tcMar>
              <w:top w:type="dxa" w:w="80"/>
              <w:left w:type="dxa" w:w="120"/>
              <w:bottom w:type="dxa" w:w="80"/>
              <w:right w:type="dxa" w:w="120"/>
            </w:tcMar>
          </w:tcPr>
          <w:p>
            <w:r>
              <w:rPr>
                <w:b/>
                <w:bCs/>
                <w:color w:val="FFFFFF"/>
                <w:sz w:val="19"/>
                <w:szCs w:val="19"/>
              </w:rPr>
              <w:t xml:space="preserve">Régimen filtrado</w:t>
            </w:r>
          </w:p>
        </w:tc>
        <w:tc>
          <w:tcPr>
            <w:tcW w:type="pct" w:w="1000"/>
            <w:shd w:fill="1C3A5C" w:val="clear"/>
            <w:tcMar>
              <w:top w:type="dxa" w:w="80"/>
              <w:left w:type="dxa" w:w="120"/>
              <w:bottom w:type="dxa" w:w="80"/>
              <w:right w:type="dxa" w:w="120"/>
            </w:tcMar>
          </w:tcPr>
          <w:p>
            <w:r>
              <w:rPr>
                <w:b/>
                <w:bCs/>
                <w:color w:val="FFFFFF"/>
                <w:sz w:val="19"/>
                <w:szCs w:val="19"/>
              </w:rPr>
              <w:t xml:space="preserve">Calmo contra No calmo</w:t>
            </w:r>
          </w:p>
        </w:tc>
      </w:tr>
      <w:tr>
        <w:trPr>
          <w:cantSplit/>
        </w:trPr>
        <w:tc>
          <w:tcPr>
            <w:tcW w:type="pct" w:w="2000"/>
            <w:shd w:fill="FFFFFF" w:val="clear"/>
            <w:tcMar>
              <w:top w:type="dxa" w:w="70"/>
              <w:left w:type="dxa" w:w="120"/>
              <w:bottom w:type="dxa" w:w="70"/>
              <w:right w:type="dxa" w:w="120"/>
            </w:tcMar>
          </w:tcPr>
          <w:p>
            <w:r>
              <w:rPr>
                <w:sz w:val="19"/>
                <w:szCs w:val="19"/>
              </w:rPr>
              <w:t xml:space="preserve">Retorno → tono en días Calmo</w:t>
            </w:r>
          </w:p>
        </w:tc>
        <w:tc>
          <w:tcPr>
            <w:tcW w:type="pct" w:w="1000"/>
            <w:shd w:fill="FFFFFF" w:val="clear"/>
            <w:tcMar>
              <w:top w:type="dxa" w:w="70"/>
              <w:left w:type="dxa" w:w="120"/>
              <w:bottom w:type="dxa" w:w="70"/>
              <w:right w:type="dxa" w:w="120"/>
            </w:tcMar>
          </w:tcPr>
          <w:p>
            <w:r>
              <w:rPr>
                <w:sz w:val="19"/>
                <w:szCs w:val="19"/>
              </w:rPr>
              <w:t xml:space="preserve">0,0011</w:t>
            </w:r>
          </w:p>
        </w:tc>
        <w:tc>
          <w:tcPr>
            <w:tcW w:type="pct" w:w="1000"/>
            <w:shd w:fill="FFFFFF" w:val="clear"/>
            <w:tcMar>
              <w:top w:type="dxa" w:w="70"/>
              <w:left w:type="dxa" w:w="120"/>
              <w:bottom w:type="dxa" w:w="70"/>
              <w:right w:type="dxa" w:w="120"/>
            </w:tcMar>
          </w:tcPr>
          <w:p>
            <w:r>
              <w:rPr>
                <w:sz w:val="19"/>
                <w:szCs w:val="19"/>
              </w:rPr>
              <w:t xml:space="preserve">0,0010</w:t>
            </w:r>
          </w:p>
        </w:tc>
        <w:tc>
          <w:tcPr>
            <w:tcW w:type="pct" w:w="1000"/>
            <w:shd w:fill="FFFFFF" w:val="clear"/>
            <w:tcMar>
              <w:top w:type="dxa" w:w="70"/>
              <w:left w:type="dxa" w:w="120"/>
              <w:bottom w:type="dxa" w:w="70"/>
              <w:right w:type="dxa" w:w="120"/>
            </w:tcMar>
          </w:tcPr>
          <w:p>
            <w:r>
              <w:rPr>
                <w:sz w:val="19"/>
                <w:szCs w:val="19"/>
              </w:rPr>
              <w:t xml:space="preserve">0,0010</w:t>
            </w:r>
          </w:p>
        </w:tc>
      </w:tr>
      <w:tr>
        <w:trPr>
          <w:cantSplit/>
        </w:trPr>
        <w:tc>
          <w:tcPr>
            <w:tcW w:type="pct" w:w="2000"/>
            <w:shd w:fill="FAFCFD" w:val="clear"/>
            <w:tcMar>
              <w:top w:type="dxa" w:w="70"/>
              <w:left w:type="dxa" w:w="120"/>
              <w:bottom w:type="dxa" w:w="70"/>
              <w:right w:type="dxa" w:w="120"/>
            </w:tcMar>
          </w:tcPr>
          <w:p>
            <w:r>
              <w:rPr>
                <w:sz w:val="19"/>
                <w:szCs w:val="19"/>
              </w:rPr>
              <w:t xml:space="preserve">Retorno → tono en días Tenso (No calmo)</w:t>
            </w:r>
          </w:p>
        </w:tc>
        <w:tc>
          <w:tcPr>
            <w:tcW w:type="pct" w:w="1000"/>
            <w:shd w:fill="FAFCFD" w:val="clear"/>
            <w:tcMar>
              <w:top w:type="dxa" w:w="70"/>
              <w:left w:type="dxa" w:w="120"/>
              <w:bottom w:type="dxa" w:w="70"/>
              <w:right w:type="dxa" w:w="120"/>
            </w:tcMar>
          </w:tcPr>
          <w:p>
            <w:r>
              <w:rPr>
                <w:sz w:val="19"/>
                <w:szCs w:val="19"/>
              </w:rPr>
              <w:t xml:space="preserve">0,0006</w:t>
            </w:r>
          </w:p>
        </w:tc>
        <w:tc>
          <w:tcPr>
            <w:tcW w:type="pct" w:w="1000"/>
            <w:shd w:fill="FAFCFD" w:val="clear"/>
            <w:tcMar>
              <w:top w:type="dxa" w:w="70"/>
              <w:left w:type="dxa" w:w="120"/>
              <w:bottom w:type="dxa" w:w="70"/>
              <w:right w:type="dxa" w:w="120"/>
            </w:tcMar>
          </w:tcPr>
          <w:p>
            <w:r>
              <w:rPr>
                <w:sz w:val="19"/>
                <w:szCs w:val="19"/>
              </w:rPr>
              <w:t xml:space="preserve">0,0008</w:t>
            </w:r>
          </w:p>
        </w:tc>
        <w:tc>
          <w:tcPr>
            <w:tcW w:type="pct" w:w="1000"/>
            <w:shd w:fill="FAFCFD" w:val="clear"/>
            <w:tcMar>
              <w:top w:type="dxa" w:w="70"/>
              <w:left w:type="dxa" w:w="120"/>
              <w:bottom w:type="dxa" w:w="70"/>
              <w:right w:type="dxa" w:w="120"/>
            </w:tcMar>
          </w:tcPr>
          <w:p>
            <w:r>
              <w:rPr>
                <w:sz w:val="19"/>
                <w:szCs w:val="19"/>
              </w:rPr>
              <w:t xml:space="preserve">0,0001</w:t>
            </w:r>
          </w:p>
        </w:tc>
      </w:tr>
      <w:tr>
        <w:trPr>
          <w:cantSplit/>
        </w:trPr>
        <w:tc>
          <w:tcPr>
            <w:tcW w:type="pct" w:w="2000"/>
            <w:shd w:fill="FFFFFF" w:val="clear"/>
            <w:tcMar>
              <w:top w:type="dxa" w:w="70"/>
              <w:left w:type="dxa" w:w="120"/>
              <w:bottom w:type="dxa" w:w="70"/>
              <w:right w:type="dxa" w:w="120"/>
            </w:tcMar>
          </w:tcPr>
          <w:p>
            <w:r>
              <w:rPr>
                <w:sz w:val="19"/>
                <w:szCs w:val="19"/>
              </w:rPr>
              <w:t xml:space="preserve">Tono → retorno en días Calmo</w:t>
            </w:r>
          </w:p>
        </w:tc>
        <w:tc>
          <w:tcPr>
            <w:tcW w:type="pct" w:w="1000"/>
            <w:shd w:fill="FFFFFF" w:val="clear"/>
            <w:tcMar>
              <w:top w:type="dxa" w:w="70"/>
              <w:left w:type="dxa" w:w="120"/>
              <w:bottom w:type="dxa" w:w="70"/>
              <w:right w:type="dxa" w:w="120"/>
            </w:tcMar>
          </w:tcPr>
          <w:p>
            <w:r>
              <w:rPr>
                <w:sz w:val="19"/>
                <w:szCs w:val="19"/>
              </w:rPr>
              <w:t xml:space="preserve">0,2720</w:t>
            </w:r>
          </w:p>
        </w:tc>
        <w:tc>
          <w:tcPr>
            <w:tcW w:type="pct" w:w="1000"/>
            <w:shd w:fill="FFFFFF" w:val="clear"/>
            <w:tcMar>
              <w:top w:type="dxa" w:w="70"/>
              <w:left w:type="dxa" w:w="120"/>
              <w:bottom w:type="dxa" w:w="70"/>
              <w:right w:type="dxa" w:w="120"/>
            </w:tcMar>
          </w:tcPr>
          <w:p>
            <w:r>
              <w:rPr>
                <w:sz w:val="19"/>
                <w:szCs w:val="19"/>
              </w:rPr>
              <w:t xml:space="preserve">0,2857</w:t>
            </w:r>
          </w:p>
        </w:tc>
        <w:tc>
          <w:tcPr>
            <w:tcW w:type="pct" w:w="1000"/>
            <w:shd w:fill="FFFFFF" w:val="clear"/>
            <w:tcMar>
              <w:top w:type="dxa" w:w="70"/>
              <w:left w:type="dxa" w:w="120"/>
              <w:bottom w:type="dxa" w:w="70"/>
              <w:right w:type="dxa" w:w="120"/>
            </w:tcMar>
          </w:tcPr>
          <w:p>
            <w:r>
              <w:rPr>
                <w:sz w:val="19"/>
                <w:szCs w:val="19"/>
              </w:rPr>
              <w:t xml:space="preserve">0,2668</w:t>
            </w:r>
          </w:p>
        </w:tc>
      </w:tr>
      <w:tr>
        <w:trPr>
          <w:cantSplit/>
        </w:trPr>
        <w:tc>
          <w:tcPr>
            <w:tcW w:type="pct" w:w="2000"/>
            <w:shd w:fill="FAFCFD" w:val="clear"/>
            <w:tcMar>
              <w:top w:type="dxa" w:w="70"/>
              <w:left w:type="dxa" w:w="120"/>
              <w:bottom w:type="dxa" w:w="70"/>
              <w:right w:type="dxa" w:w="120"/>
            </w:tcMar>
          </w:tcPr>
          <w:p>
            <w:r>
              <w:rPr>
                <w:sz w:val="19"/>
                <w:szCs w:val="19"/>
              </w:rPr>
              <w:t xml:space="preserve">Tono → retorno en días Tenso (No calmo)</w:t>
            </w:r>
          </w:p>
        </w:tc>
        <w:tc>
          <w:tcPr>
            <w:tcW w:type="pct" w:w="1000"/>
            <w:shd w:fill="FAFCFD" w:val="clear"/>
            <w:tcMar>
              <w:top w:type="dxa" w:w="70"/>
              <w:left w:type="dxa" w:w="120"/>
              <w:bottom w:type="dxa" w:w="70"/>
              <w:right w:type="dxa" w:w="120"/>
            </w:tcMar>
          </w:tcPr>
          <w:p>
            <w:r>
              <w:rPr>
                <w:sz w:val="19"/>
                <w:szCs w:val="19"/>
              </w:rPr>
              <w:t xml:space="preserve">0,8436</w:t>
            </w:r>
          </w:p>
        </w:tc>
        <w:tc>
          <w:tcPr>
            <w:tcW w:type="pct" w:w="1000"/>
            <w:shd w:fill="FAFCFD" w:val="clear"/>
            <w:tcMar>
              <w:top w:type="dxa" w:w="70"/>
              <w:left w:type="dxa" w:w="120"/>
              <w:bottom w:type="dxa" w:w="70"/>
              <w:right w:type="dxa" w:w="120"/>
            </w:tcMar>
          </w:tcPr>
          <w:p>
            <w:r>
              <w:rPr>
                <w:sz w:val="19"/>
                <w:szCs w:val="19"/>
              </w:rPr>
              <w:t xml:space="preserve">0,7334</w:t>
            </w:r>
          </w:p>
        </w:tc>
        <w:tc>
          <w:tcPr>
            <w:tcW w:type="pct" w:w="1000"/>
            <w:shd w:fill="FAFCFD" w:val="clear"/>
            <w:tcMar>
              <w:top w:type="dxa" w:w="70"/>
              <w:left w:type="dxa" w:w="120"/>
              <w:bottom w:type="dxa" w:w="70"/>
              <w:right w:type="dxa" w:w="120"/>
            </w:tcMar>
          </w:tcPr>
          <w:p>
            <w:r>
              <w:rPr>
                <w:sz w:val="19"/>
                <w:szCs w:val="19"/>
              </w:rPr>
              <w:t xml:space="preserve">0,3007</w:t>
            </w:r>
          </w:p>
        </w:tc>
      </w:tr>
    </w:tbl>
    <w:p>
      <w:pPr>
        <w:spacing w:after="160" w:line="300"/>
      </w:pPr>
      <w:r>
        <w:t xml:space="preserve">Con el régimen filtrado o juntando Moderado con Tenso, la conclusión es la misma: el retorno anticipa el tono en los dos tipos de días y el tono no anticipa el retorno en ninguno.</w:t>
      </w:r>
    </w:p>
    <w:p>
      <w:pPr>
        <w:pStyle w:val="Heading1"/>
        <w:keepNext/>
        <w:spacing w:after="160" w:before="360"/>
      </w:pPr>
      <w:r>
        <w:t xml:space="preserve">6. Event study</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2891"/>
        <w:gridCol w:w="1349"/>
        <w:gridCol w:w="2120"/>
        <w:gridCol w:w="1349"/>
        <w:gridCol w:w="1928"/>
      </w:tblGrid>
      <w:tr>
        <w:trPr>
          <w:tblHeader/>
        </w:trPr>
        <w:tc>
          <w:tcPr>
            <w:tcW w:type="pct" w:w="1500"/>
            <w:shd w:fill="1C3A5C" w:val="clear"/>
            <w:tcMar>
              <w:top w:type="dxa" w:w="80"/>
              <w:left w:type="dxa" w:w="120"/>
              <w:bottom w:type="dxa" w:w="80"/>
              <w:right w:type="dxa" w:w="120"/>
            </w:tcMar>
          </w:tcPr>
          <w:p>
            <w:r>
              <w:rPr>
                <w:b/>
                <w:bCs/>
                <w:color w:val="FFFFFF"/>
                <w:sz w:val="19"/>
                <w:szCs w:val="19"/>
              </w:rPr>
              <w:t xml:space="preserve">Variante</w:t>
            </w:r>
          </w:p>
        </w:tc>
        <w:tc>
          <w:tcPr>
            <w:tcW w:type="pct" w:w="700"/>
            <w:shd w:fill="1C3A5C" w:val="clear"/>
            <w:tcMar>
              <w:top w:type="dxa" w:w="80"/>
              <w:left w:type="dxa" w:w="120"/>
              <w:bottom w:type="dxa" w:w="80"/>
              <w:right w:type="dxa" w:w="120"/>
            </w:tcMar>
          </w:tcPr>
          <w:p>
            <w:r>
              <w:rPr>
                <w:b/>
                <w:bCs/>
                <w:color w:val="FFFFFF"/>
                <w:sz w:val="19"/>
                <w:szCs w:val="19"/>
              </w:rPr>
              <w:t xml:space="preserve">Eventos positivos</w:t>
            </w:r>
          </w:p>
        </w:tc>
        <w:tc>
          <w:tcPr>
            <w:tcW w:type="pct" w:w="1100"/>
            <w:shd w:fill="1C3A5C" w:val="clear"/>
            <w:tcMar>
              <w:top w:type="dxa" w:w="80"/>
              <w:left w:type="dxa" w:w="120"/>
              <w:bottom w:type="dxa" w:w="80"/>
              <w:right w:type="dxa" w:w="120"/>
            </w:tcMar>
          </w:tcPr>
          <w:p>
            <w:r>
              <w:rPr>
                <w:b/>
                <w:bCs/>
                <w:color w:val="FFFFFF"/>
                <w:sz w:val="19"/>
                <w:szCs w:val="19"/>
              </w:rPr>
              <w:t xml:space="preserve">Retorno del Merval el día del evento</w:t>
            </w:r>
          </w:p>
        </w:tc>
        <w:tc>
          <w:tcPr>
            <w:tcW w:type="pct" w:w="700"/>
            <w:shd w:fill="1C3A5C" w:val="clear"/>
            <w:tcMar>
              <w:top w:type="dxa" w:w="80"/>
              <w:left w:type="dxa" w:w="120"/>
              <w:bottom w:type="dxa" w:w="80"/>
              <w:right w:type="dxa" w:w="120"/>
            </w:tcMar>
          </w:tcPr>
          <w:p>
            <w:r>
              <w:rPr>
                <w:b/>
                <w:bCs/>
                <w:color w:val="FFFFFF"/>
                <w:sz w:val="19"/>
                <w:szCs w:val="19"/>
              </w:rPr>
              <w:t xml:space="preserve">p</w:t>
            </w:r>
          </w:p>
        </w:tc>
        <w:tc>
          <w:tcPr>
            <w:tcW w:type="pct" w:w="1000"/>
            <w:shd w:fill="1C3A5C" w:val="clear"/>
            <w:tcMar>
              <w:top w:type="dxa" w:w="80"/>
              <w:left w:type="dxa" w:w="120"/>
              <w:bottom w:type="dxa" w:w="80"/>
              <w:right w:type="dxa" w:w="120"/>
            </w:tcMar>
          </w:tcPr>
          <w:p>
            <w:r>
              <w:rPr>
                <w:b/>
                <w:bCs/>
                <w:color w:val="FFFFFF"/>
                <w:sz w:val="19"/>
                <w:szCs w:val="19"/>
              </w:rPr>
              <w:t xml:space="preserve">En las 3 ruedas previas</w:t>
            </w:r>
          </w:p>
        </w:tc>
      </w:tr>
      <w:tr>
        <w:trPr>
          <w:cantSplit/>
        </w:trPr>
        <w:tc>
          <w:tcPr>
            <w:tcW w:type="pct" w:w="1500"/>
            <w:shd w:fill="FFFFFF" w:val="clear"/>
            <w:tcMar>
              <w:top w:type="dxa" w:w="70"/>
              <w:left w:type="dxa" w:w="120"/>
              <w:bottom w:type="dxa" w:w="70"/>
              <w:right w:type="dxa" w:w="120"/>
            </w:tcMar>
          </w:tcPr>
          <w:p>
            <w:r>
              <w:rPr>
                <w:sz w:val="19"/>
                <w:szCs w:val="19"/>
              </w:rPr>
              <w:t xml:space="preserve">Base (U6 y U7)</w:t>
            </w:r>
          </w:p>
        </w:tc>
        <w:tc>
          <w:tcPr>
            <w:tcW w:type="pct" w:w="700"/>
            <w:shd w:fill="FFFFFF" w:val="clear"/>
            <w:tcMar>
              <w:top w:type="dxa" w:w="70"/>
              <w:left w:type="dxa" w:w="120"/>
              <w:bottom w:type="dxa" w:w="70"/>
              <w:right w:type="dxa" w:w="120"/>
            </w:tcMar>
          </w:tcPr>
          <w:p>
            <w:r>
              <w:rPr>
                <w:sz w:val="19"/>
                <w:szCs w:val="19"/>
              </w:rPr>
              <w:t xml:space="preserve">7</w:t>
            </w:r>
          </w:p>
        </w:tc>
        <w:tc>
          <w:tcPr>
            <w:tcW w:type="pct" w:w="1100"/>
            <w:shd w:fill="FFFFFF" w:val="clear"/>
            <w:tcMar>
              <w:top w:type="dxa" w:w="70"/>
              <w:left w:type="dxa" w:w="120"/>
              <w:bottom w:type="dxa" w:w="70"/>
              <w:right w:type="dxa" w:w="120"/>
            </w:tcMar>
          </w:tcPr>
          <w:p>
            <w:r>
              <w:rPr>
                <w:sz w:val="19"/>
                <w:szCs w:val="19"/>
              </w:rPr>
              <w:t xml:space="preserve">+2,01%</w:t>
            </w:r>
          </w:p>
        </w:tc>
        <w:tc>
          <w:tcPr>
            <w:tcW w:type="pct" w:w="700"/>
            <w:shd w:fill="FFFFFF" w:val="clear"/>
            <w:tcMar>
              <w:top w:type="dxa" w:w="70"/>
              <w:left w:type="dxa" w:w="120"/>
              <w:bottom w:type="dxa" w:w="70"/>
              <w:right w:type="dxa" w:w="120"/>
            </w:tcMar>
          </w:tcPr>
          <w:p>
            <w:r>
              <w:rPr>
                <w:sz w:val="19"/>
                <w:szCs w:val="19"/>
              </w:rPr>
              <w:t xml:space="preserve">0,0085</w:t>
            </w:r>
          </w:p>
        </w:tc>
        <w:tc>
          <w:tcPr>
            <w:tcW w:type="pct" w:w="1000"/>
            <w:shd w:fill="FFFFFF" w:val="clear"/>
            <w:tcMar>
              <w:top w:type="dxa" w:w="70"/>
              <w:left w:type="dxa" w:w="120"/>
              <w:bottom w:type="dxa" w:w="70"/>
              <w:right w:type="dxa" w:w="120"/>
            </w:tcMar>
          </w:tcPr>
          <w:p>
            <w:r>
              <w:rPr>
                <w:sz w:val="19"/>
                <w:szCs w:val="19"/>
              </w:rPr>
              <w:t xml:space="preserve">+3,19%</w:t>
            </w:r>
          </w:p>
        </w:tc>
      </w:tr>
      <w:tr>
        <w:trPr>
          <w:cantSplit/>
        </w:trPr>
        <w:tc>
          <w:tcPr>
            <w:tcW w:type="pct" w:w="1500"/>
            <w:shd w:fill="FAFCFD" w:val="clear"/>
            <w:tcMar>
              <w:top w:type="dxa" w:w="70"/>
              <w:left w:type="dxa" w:w="120"/>
              <w:bottom w:type="dxa" w:w="70"/>
              <w:right w:type="dxa" w:w="120"/>
            </w:tcMar>
          </w:tcPr>
          <w:p>
            <w:r>
              <w:rPr>
                <w:sz w:val="19"/>
                <w:szCs w:val="19"/>
              </w:rPr>
              <w:t xml:space="preserve">Umbral de shocks 3</w:t>
            </w:r>
          </w:p>
        </w:tc>
        <w:tc>
          <w:tcPr>
            <w:tcW w:type="pct" w:w="700"/>
            <w:shd w:fill="FAFCFD" w:val="clear"/>
            <w:tcMar>
              <w:top w:type="dxa" w:w="70"/>
              <w:left w:type="dxa" w:w="120"/>
              <w:bottom w:type="dxa" w:w="70"/>
              <w:right w:type="dxa" w:w="120"/>
            </w:tcMar>
          </w:tcPr>
          <w:p>
            <w:r>
              <w:rPr>
                <w:sz w:val="19"/>
                <w:szCs w:val="19"/>
              </w:rPr>
              <w:t xml:space="preserve">4</w:t>
            </w:r>
          </w:p>
        </w:tc>
        <w:tc>
          <w:tcPr>
            <w:tcW w:type="pct" w:w="1100"/>
            <w:shd w:fill="FAFCFD" w:val="clear"/>
            <w:tcMar>
              <w:top w:type="dxa" w:w="70"/>
              <w:left w:type="dxa" w:w="120"/>
              <w:bottom w:type="dxa" w:w="70"/>
              <w:right w:type="dxa" w:w="120"/>
            </w:tcMar>
          </w:tcPr>
          <w:p>
            <w:r>
              <w:rPr>
                <w:sz w:val="19"/>
                <w:szCs w:val="19"/>
              </w:rPr>
              <w:t xml:space="preserve">+1,50%</w:t>
            </w:r>
          </w:p>
        </w:tc>
        <w:tc>
          <w:tcPr>
            <w:tcW w:type="pct" w:w="700"/>
            <w:shd w:fill="FAFCFD" w:val="clear"/>
            <w:tcMar>
              <w:top w:type="dxa" w:w="70"/>
              <w:left w:type="dxa" w:w="120"/>
              <w:bottom w:type="dxa" w:w="70"/>
              <w:right w:type="dxa" w:w="120"/>
            </w:tcMar>
          </w:tcPr>
          <w:p>
            <w:r>
              <w:rPr>
                <w:sz w:val="19"/>
                <w:szCs w:val="19"/>
              </w:rPr>
              <w:t xml:space="preserve">0,0383</w:t>
            </w:r>
          </w:p>
        </w:tc>
        <w:tc>
          <w:tcPr>
            <w:tcW w:type="pct" w:w="1000"/>
            <w:shd w:fill="FAFCFD" w:val="clear"/>
            <w:tcMar>
              <w:top w:type="dxa" w:w="70"/>
              <w:left w:type="dxa" w:w="120"/>
              <w:bottom w:type="dxa" w:w="70"/>
              <w:right w:type="dxa" w:w="120"/>
            </w:tcMar>
          </w:tcPr>
          <w:p>
            <w:r>
              <w:rPr>
                <w:sz w:val="19"/>
                <w:szCs w:val="19"/>
              </w:rPr>
              <w:t xml:space="preserve">+5,21%</w:t>
            </w:r>
          </w:p>
        </w:tc>
      </w:tr>
      <w:tr>
        <w:trPr>
          <w:cantSplit/>
        </w:trPr>
        <w:tc>
          <w:tcPr>
            <w:tcW w:type="pct" w:w="1500"/>
            <w:shd w:fill="FFFFFF" w:val="clear"/>
            <w:tcMar>
              <w:top w:type="dxa" w:w="70"/>
              <w:left w:type="dxa" w:w="120"/>
              <w:bottom w:type="dxa" w:w="70"/>
              <w:right w:type="dxa" w:w="120"/>
            </w:tcMar>
          </w:tcPr>
          <w:p>
            <w:r>
              <w:rPr>
                <w:sz w:val="19"/>
                <w:szCs w:val="19"/>
              </w:rPr>
              <w:t xml:space="preserve">Umbral de shocks 2</w:t>
            </w:r>
          </w:p>
        </w:tc>
        <w:tc>
          <w:tcPr>
            <w:tcW w:type="pct" w:w="700"/>
            <w:shd w:fill="FFFFFF" w:val="clear"/>
            <w:tcMar>
              <w:top w:type="dxa" w:w="70"/>
              <w:left w:type="dxa" w:w="120"/>
              <w:bottom w:type="dxa" w:w="70"/>
              <w:right w:type="dxa" w:w="120"/>
            </w:tcMar>
          </w:tcPr>
          <w:p>
            <w:r>
              <w:rPr>
                <w:sz w:val="19"/>
                <w:szCs w:val="19"/>
              </w:rPr>
              <w:t xml:space="preserve">9</w:t>
            </w:r>
          </w:p>
        </w:tc>
        <w:tc>
          <w:tcPr>
            <w:tcW w:type="pct" w:w="1100"/>
            <w:shd w:fill="FFFFFF" w:val="clear"/>
            <w:tcMar>
              <w:top w:type="dxa" w:w="70"/>
              <w:left w:type="dxa" w:w="120"/>
              <w:bottom w:type="dxa" w:w="70"/>
              <w:right w:type="dxa" w:w="120"/>
            </w:tcMar>
          </w:tcPr>
          <w:p>
            <w:r>
              <w:rPr>
                <w:sz w:val="19"/>
                <w:szCs w:val="19"/>
              </w:rPr>
              <w:t xml:space="preserve">+2,42%</w:t>
            </w:r>
          </w:p>
        </w:tc>
        <w:tc>
          <w:tcPr>
            <w:tcW w:type="pct" w:w="700"/>
            <w:shd w:fill="FFFFFF" w:val="clear"/>
            <w:tcMar>
              <w:top w:type="dxa" w:w="70"/>
              <w:left w:type="dxa" w:w="120"/>
              <w:bottom w:type="dxa" w:w="70"/>
              <w:right w:type="dxa" w:w="120"/>
            </w:tcMar>
          </w:tcPr>
          <w:p>
            <w:r>
              <w:rPr>
                <w:sz w:val="19"/>
                <w:szCs w:val="19"/>
              </w:rPr>
              <w:t xml:space="preserve">0,0089</w:t>
            </w:r>
          </w:p>
        </w:tc>
        <w:tc>
          <w:tcPr>
            <w:tcW w:type="pct" w:w="1000"/>
            <w:shd w:fill="FFFFFF" w:val="clear"/>
            <w:tcMar>
              <w:top w:type="dxa" w:w="70"/>
              <w:left w:type="dxa" w:w="120"/>
              <w:bottom w:type="dxa" w:w="70"/>
              <w:right w:type="dxa" w:w="120"/>
            </w:tcMar>
          </w:tcPr>
          <w:p>
            <w:r>
              <w:rPr>
                <w:sz w:val="19"/>
                <w:szCs w:val="19"/>
              </w:rPr>
              <w:t xml:space="preserve">+1,41%</w:t>
            </w:r>
          </w:p>
        </w:tc>
      </w:tr>
      <w:tr>
        <w:trPr>
          <w:cantSplit/>
        </w:trPr>
        <w:tc>
          <w:tcPr>
            <w:tcW w:type="pct" w:w="1500"/>
            <w:shd w:fill="FAFCFD" w:val="clear"/>
            <w:tcMar>
              <w:top w:type="dxa" w:w="70"/>
              <w:left w:type="dxa" w:w="120"/>
              <w:bottom w:type="dxa" w:w="70"/>
              <w:right w:type="dxa" w:w="120"/>
            </w:tcMar>
          </w:tcPr>
          <w:p>
            <w:r>
              <w:rPr>
                <w:sz w:val="19"/>
                <w:szCs w:val="19"/>
              </w:rPr>
              <w:t xml:space="preserve">Sin notas de hora sospechosa</w:t>
            </w:r>
          </w:p>
        </w:tc>
        <w:tc>
          <w:tcPr>
            <w:tcW w:type="pct" w:w="700"/>
            <w:shd w:fill="FAFCFD" w:val="clear"/>
            <w:tcMar>
              <w:top w:type="dxa" w:w="70"/>
              <w:left w:type="dxa" w:w="120"/>
              <w:bottom w:type="dxa" w:w="70"/>
              <w:right w:type="dxa" w:w="120"/>
            </w:tcMar>
          </w:tcPr>
          <w:p>
            <w:r>
              <w:rPr>
                <w:sz w:val="19"/>
                <w:szCs w:val="19"/>
              </w:rPr>
              <w:t xml:space="preserve">6</w:t>
            </w:r>
          </w:p>
        </w:tc>
        <w:tc>
          <w:tcPr>
            <w:tcW w:type="pct" w:w="1100"/>
            <w:shd w:fill="FAFCFD" w:val="clear"/>
            <w:tcMar>
              <w:top w:type="dxa" w:w="70"/>
              <w:left w:type="dxa" w:w="120"/>
              <w:bottom w:type="dxa" w:w="70"/>
              <w:right w:type="dxa" w:w="120"/>
            </w:tcMar>
          </w:tcPr>
          <w:p>
            <w:r>
              <w:rPr>
                <w:sz w:val="19"/>
                <w:szCs w:val="19"/>
              </w:rPr>
              <w:t xml:space="preserve">+1,95%</w:t>
            </w:r>
          </w:p>
        </w:tc>
        <w:tc>
          <w:tcPr>
            <w:tcW w:type="pct" w:w="700"/>
            <w:shd w:fill="FAFCFD" w:val="clear"/>
            <w:tcMar>
              <w:top w:type="dxa" w:w="70"/>
              <w:left w:type="dxa" w:w="120"/>
              <w:bottom w:type="dxa" w:w="70"/>
              <w:right w:type="dxa" w:w="120"/>
            </w:tcMar>
          </w:tcPr>
          <w:p>
            <w:r>
              <w:rPr>
                <w:sz w:val="19"/>
                <w:szCs w:val="19"/>
              </w:rPr>
              <w:t xml:space="preserve">0,0246</w:t>
            </w:r>
          </w:p>
        </w:tc>
        <w:tc>
          <w:tcPr>
            <w:tcW w:type="pct" w:w="1000"/>
            <w:shd w:fill="FAFCFD" w:val="clear"/>
            <w:tcMar>
              <w:top w:type="dxa" w:w="70"/>
              <w:left w:type="dxa" w:w="120"/>
              <w:bottom w:type="dxa" w:w="70"/>
              <w:right w:type="dxa" w:w="120"/>
            </w:tcMar>
          </w:tcPr>
          <w:p>
            <w:r>
              <w:rPr>
                <w:sz w:val="19"/>
                <w:szCs w:val="19"/>
              </w:rPr>
              <w:t xml:space="preserve">+4,82%</w:t>
            </w:r>
          </w:p>
        </w:tc>
      </w:tr>
      <w:tr>
        <w:trPr>
          <w:cantSplit/>
        </w:trPr>
        <w:tc>
          <w:tcPr>
            <w:tcW w:type="pct" w:w="1500"/>
            <w:shd w:fill="FFFFFF" w:val="clear"/>
            <w:tcMar>
              <w:top w:type="dxa" w:w="70"/>
              <w:left w:type="dxa" w:w="120"/>
              <w:bottom w:type="dxa" w:w="70"/>
              <w:right w:type="dxa" w:w="120"/>
            </w:tcMar>
          </w:tcPr>
          <w:p>
            <w:r>
              <w:rPr>
                <w:sz w:val="19"/>
                <w:szCs w:val="19"/>
              </w:rPr>
              <w:t xml:space="preserve">Sin abril de 2026</w:t>
            </w:r>
          </w:p>
        </w:tc>
        <w:tc>
          <w:tcPr>
            <w:tcW w:type="pct" w:w="700"/>
            <w:shd w:fill="FFFFFF" w:val="clear"/>
            <w:tcMar>
              <w:top w:type="dxa" w:w="70"/>
              <w:left w:type="dxa" w:w="120"/>
              <w:bottom w:type="dxa" w:w="70"/>
              <w:right w:type="dxa" w:w="120"/>
            </w:tcMar>
          </w:tcPr>
          <w:p>
            <w:r>
              <w:rPr>
                <w:sz w:val="19"/>
                <w:szCs w:val="19"/>
              </w:rPr>
              <w:t xml:space="preserve">7</w:t>
            </w:r>
          </w:p>
        </w:tc>
        <w:tc>
          <w:tcPr>
            <w:tcW w:type="pct" w:w="1100"/>
            <w:shd w:fill="FFFFFF" w:val="clear"/>
            <w:tcMar>
              <w:top w:type="dxa" w:w="70"/>
              <w:left w:type="dxa" w:w="120"/>
              <w:bottom w:type="dxa" w:w="70"/>
              <w:right w:type="dxa" w:w="120"/>
            </w:tcMar>
          </w:tcPr>
          <w:p>
            <w:r>
              <w:rPr>
                <w:sz w:val="19"/>
                <w:szCs w:val="19"/>
              </w:rPr>
              <w:t xml:space="preserve">+2,01%</w:t>
            </w:r>
          </w:p>
        </w:tc>
        <w:tc>
          <w:tcPr>
            <w:tcW w:type="pct" w:w="700"/>
            <w:shd w:fill="FFFFFF" w:val="clear"/>
            <w:tcMar>
              <w:top w:type="dxa" w:w="70"/>
              <w:left w:type="dxa" w:w="120"/>
              <w:bottom w:type="dxa" w:w="70"/>
              <w:right w:type="dxa" w:w="120"/>
            </w:tcMar>
          </w:tcPr>
          <w:p>
            <w:r>
              <w:rPr>
                <w:sz w:val="19"/>
                <w:szCs w:val="19"/>
              </w:rPr>
              <w:t xml:space="preserve">0,0085</w:t>
            </w:r>
          </w:p>
        </w:tc>
        <w:tc>
          <w:tcPr>
            <w:tcW w:type="pct" w:w="1000"/>
            <w:shd w:fill="FFFFFF" w:val="clear"/>
            <w:tcMar>
              <w:top w:type="dxa" w:w="70"/>
              <w:left w:type="dxa" w:w="120"/>
              <w:bottom w:type="dxa" w:w="70"/>
              <w:right w:type="dxa" w:w="120"/>
            </w:tcMar>
          </w:tcPr>
          <w:p>
            <w:r>
              <w:rPr>
                <w:sz w:val="19"/>
                <w:szCs w:val="19"/>
              </w:rPr>
              <w:t xml:space="preserve">+3,19%</w:t>
            </w:r>
          </w:p>
        </w:tc>
      </w:tr>
      <w:tr>
        <w:trPr>
          <w:cantSplit/>
        </w:trPr>
        <w:tc>
          <w:tcPr>
            <w:tcW w:type="pct" w:w="1500"/>
            <w:shd w:fill="FAFCFD" w:val="clear"/>
            <w:tcMar>
              <w:top w:type="dxa" w:w="70"/>
              <w:left w:type="dxa" w:w="120"/>
              <w:bottom w:type="dxa" w:w="70"/>
              <w:right w:type="dxa" w:w="120"/>
            </w:tcMar>
          </w:tcPr>
          <w:p>
            <w:r>
              <w:rPr>
                <w:sz w:val="19"/>
                <w:szCs w:val="19"/>
              </w:rPr>
              <w:t xml:space="preserve">Fecha de calendario (sin regla de las 17:00)</w:t>
            </w:r>
          </w:p>
        </w:tc>
        <w:tc>
          <w:tcPr>
            <w:tcW w:type="pct" w:w="700"/>
            <w:shd w:fill="FAFCFD" w:val="clear"/>
            <w:tcMar>
              <w:top w:type="dxa" w:w="70"/>
              <w:left w:type="dxa" w:w="120"/>
              <w:bottom w:type="dxa" w:w="70"/>
              <w:right w:type="dxa" w:w="120"/>
            </w:tcMar>
          </w:tcPr>
          <w:p>
            <w:r>
              <w:rPr>
                <w:sz w:val="19"/>
                <w:szCs w:val="19"/>
              </w:rPr>
              <w:t xml:space="preserve">2</w:t>
            </w:r>
          </w:p>
        </w:tc>
        <w:tc>
          <w:tcPr>
            <w:tcW w:type="pct" w:w="1100"/>
            <w:shd w:fill="FAFCFD" w:val="clear"/>
            <w:tcMar>
              <w:top w:type="dxa" w:w="70"/>
              <w:left w:type="dxa" w:w="120"/>
              <w:bottom w:type="dxa" w:w="70"/>
              <w:right w:type="dxa" w:w="120"/>
            </w:tcMar>
          </w:tcPr>
          <w:p>
            <w:r>
              <w:rPr>
                <w:sz w:val="19"/>
                <w:szCs w:val="19"/>
              </w:rPr>
              <w:t xml:space="preserve">+0,44%</w:t>
            </w:r>
          </w:p>
        </w:tc>
        <w:tc>
          <w:tcPr>
            <w:tcW w:type="pct" w:w="700"/>
            <w:shd w:fill="FAFCFD" w:val="clear"/>
            <w:tcMar>
              <w:top w:type="dxa" w:w="70"/>
              <w:left w:type="dxa" w:w="120"/>
              <w:bottom w:type="dxa" w:w="70"/>
              <w:right w:type="dxa" w:w="120"/>
            </w:tcMar>
          </w:tcPr>
          <w:p>
            <w:r>
              <w:rPr>
                <w:sz w:val="19"/>
                <w:szCs w:val="19"/>
              </w:rPr>
              <w:t xml:space="preserve">0,1333</w:t>
            </w:r>
          </w:p>
        </w:tc>
        <w:tc>
          <w:tcPr>
            <w:tcW w:type="pct" w:w="1000"/>
            <w:shd w:fill="FAFCFD" w:val="clear"/>
            <w:tcMar>
              <w:top w:type="dxa" w:w="70"/>
              <w:left w:type="dxa" w:w="120"/>
              <w:bottom w:type="dxa" w:w="70"/>
              <w:right w:type="dxa" w:w="120"/>
            </w:tcMar>
          </w:tcPr>
          <w:p>
            <w:r>
              <w:rPr>
                <w:sz w:val="19"/>
                <w:szCs w:val="19"/>
              </w:rPr>
              <w:t xml:space="preserve">+0,34%</w:t>
            </w:r>
          </w:p>
        </w:tc>
      </w:tr>
      <w:tr>
        <w:trPr>
          <w:cantSplit/>
        </w:trPr>
        <w:tc>
          <w:tcPr>
            <w:tcW w:type="pct" w:w="1500"/>
            <w:shd w:fill="FFFFFF" w:val="clear"/>
            <w:tcMar>
              <w:top w:type="dxa" w:w="70"/>
              <w:left w:type="dxa" w:w="120"/>
              <w:bottom w:type="dxa" w:w="70"/>
              <w:right w:type="dxa" w:w="120"/>
            </w:tcMar>
          </w:tcPr>
          <w:p>
            <w:r>
              <w:rPr>
                <w:sz w:val="19"/>
                <w:szCs w:val="19"/>
              </w:rPr>
              <w:t xml:space="preserve">Solo notas del día, antes del cierre</w:t>
            </w:r>
          </w:p>
        </w:tc>
        <w:tc>
          <w:tcPr>
            <w:tcW w:type="pct" w:w="700"/>
            <w:shd w:fill="FFFFFF" w:val="clear"/>
            <w:tcMar>
              <w:top w:type="dxa" w:w="70"/>
              <w:left w:type="dxa" w:w="120"/>
              <w:bottom w:type="dxa" w:w="70"/>
              <w:right w:type="dxa" w:w="120"/>
            </w:tcMar>
          </w:tcPr>
          <w:p>
            <w:r>
              <w:rPr>
                <w:sz w:val="19"/>
                <w:szCs w:val="19"/>
              </w:rPr>
              <w:t xml:space="preserve">2</w:t>
            </w:r>
          </w:p>
        </w:tc>
        <w:tc>
          <w:tcPr>
            <w:tcW w:type="pct" w:w="1100"/>
            <w:shd w:fill="FFFFFF" w:val="clear"/>
            <w:tcMar>
              <w:top w:type="dxa" w:w="70"/>
              <w:left w:type="dxa" w:w="120"/>
              <w:bottom w:type="dxa" w:w="70"/>
              <w:right w:type="dxa" w:w="120"/>
            </w:tcMar>
          </w:tcPr>
          <w:p>
            <w:r>
              <w:rPr>
                <w:sz w:val="19"/>
                <w:szCs w:val="19"/>
              </w:rPr>
              <w:t xml:space="preserve">+1,09%</w:t>
            </w:r>
          </w:p>
        </w:tc>
        <w:tc>
          <w:tcPr>
            <w:tcW w:type="pct" w:w="700"/>
            <w:shd w:fill="FFFFFF" w:val="clear"/>
            <w:tcMar>
              <w:top w:type="dxa" w:w="70"/>
              <w:left w:type="dxa" w:w="120"/>
              <w:bottom w:type="dxa" w:w="70"/>
              <w:right w:type="dxa" w:w="120"/>
            </w:tcMar>
          </w:tcPr>
          <w:p>
            <w:r>
              <w:rPr>
                <w:sz w:val="19"/>
                <w:szCs w:val="19"/>
              </w:rPr>
              <w:t xml:space="preserve">0,3818</w:t>
            </w:r>
          </w:p>
        </w:tc>
        <w:tc>
          <w:tcPr>
            <w:tcW w:type="pct" w:w="1000"/>
            <w:shd w:fill="FFFFFF" w:val="clear"/>
            <w:tcMar>
              <w:top w:type="dxa" w:w="70"/>
              <w:left w:type="dxa" w:w="120"/>
              <w:bottom w:type="dxa" w:w="70"/>
              <w:right w:type="dxa" w:w="120"/>
            </w:tcMar>
          </w:tcPr>
          <w:p>
            <w:r>
              <w:rPr>
                <w:sz w:val="19"/>
                <w:szCs w:val="19"/>
              </w:rPr>
              <w:t xml:space="preserve">+2,93%</w:t>
            </w:r>
          </w:p>
        </w:tc>
      </w:tr>
    </w:tbl>
    <w:p>
      <w:pPr>
        <w:spacing w:after="160" w:line="300"/>
      </w:pPr>
      <w:r>
        <w:t xml:space="preserve">La suba del Merval el día de tono extremo positivo se mantiene con el umbral 3 (solo las ruedas más extremas), con el umbral 2 y sin las notas de hora sospechosa. Con la fecha de calendario o con solo las notas del día quedan muy pocos eventos para sacar conclusiones.</w:t>
      </w:r>
    </w:p>
    <w:p>
      <w:pPr>
        <w:pStyle w:val="Heading1"/>
        <w:keepNext/>
        <w:spacing w:after="160" w:before="360"/>
      </w:pPr>
      <w:r>
        <w:t xml:space="preserve">7. Controles</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7903"/>
        <w:gridCol w:w="1735"/>
      </w:tblGrid>
      <w:tr>
        <w:trPr>
          <w:tblHeader/>
        </w:trPr>
        <w:tc>
          <w:tcPr>
            <w:tcW w:type="pct" w:w="4100"/>
            <w:shd w:fill="1C3A5C" w:val="clear"/>
            <w:tcMar>
              <w:top w:type="dxa" w:w="80"/>
              <w:left w:type="dxa" w:w="120"/>
              <w:bottom w:type="dxa" w:w="80"/>
              <w:right w:type="dxa" w:w="120"/>
            </w:tcMar>
          </w:tcPr>
          <w:p>
            <w:r>
              <w:rPr>
                <w:b/>
                <w:bCs/>
                <w:color w:val="FFFFFF"/>
                <w:sz w:val="19"/>
                <w:szCs w:val="19"/>
              </w:rPr>
              <w:t xml:space="preserve">Control</w:t>
            </w:r>
          </w:p>
        </w:tc>
        <w:tc>
          <w:tcPr>
            <w:tcW w:type="pct" w:w="900"/>
            <w:shd w:fill="1C3A5C" w:val="clear"/>
            <w:tcMar>
              <w:top w:type="dxa" w:w="80"/>
              <w:left w:type="dxa" w:w="120"/>
              <w:bottom w:type="dxa" w:w="80"/>
              <w:right w:type="dxa" w:w="120"/>
            </w:tcMar>
          </w:tcPr>
          <w:p>
            <w:r>
              <w:rPr>
                <w:b/>
                <w:bCs/>
                <w:color w:val="FFFFFF"/>
                <w:sz w:val="19"/>
                <w:szCs w:val="19"/>
              </w:rPr>
              <w:t xml:space="preserve">Resultado</w:t>
            </w:r>
          </w:p>
        </w:tc>
      </w:tr>
      <w:tr>
        <w:trPr>
          <w:cantSplit/>
        </w:trPr>
        <w:tc>
          <w:tcPr>
            <w:tcW w:type="pct" w:w="4100"/>
            <w:shd w:fill="FFFFFF" w:val="clear"/>
            <w:tcMar>
              <w:top w:type="dxa" w:w="70"/>
              <w:left w:type="dxa" w:w="120"/>
              <w:bottom w:type="dxa" w:w="70"/>
              <w:right w:type="dxa" w:w="120"/>
            </w:tcMar>
          </w:tcPr>
          <w:p>
            <w:r>
              <w:rPr>
                <w:sz w:val="19"/>
                <w:szCs w:val="19"/>
              </w:rPr>
              <w:t xml:space="preserve">La base reproduce el p corregido de U6 (mercado, retorno → tono), salvo el redondeo del CSV de U2</w:t>
            </w:r>
          </w:p>
        </w:tc>
        <w:tc>
          <w:tcPr>
            <w:tcW w:type="pct" w:w="900"/>
            <w:shd w:fill="FFFFFF" w:val="clear"/>
            <w:tcMar>
              <w:top w:type="dxa" w:w="70"/>
              <w:left w:type="dxa" w:w="120"/>
              <w:bottom w:type="dxa" w:w="70"/>
              <w:right w:type="dxa" w:w="120"/>
            </w:tcMar>
          </w:tcPr>
          <w:p>
            <w:r>
              <w:rPr>
                <w:sz w:val="19"/>
                <w:szCs w:val="19"/>
              </w:rPr>
              <w:t xml:space="preserve">Pasa</w:t>
            </w:r>
          </w:p>
        </w:tc>
      </w:tr>
      <w:tr>
        <w:trPr>
          <w:cantSplit/>
        </w:trPr>
        <w:tc>
          <w:tcPr>
            <w:tcW w:type="pct" w:w="4100"/>
            <w:shd w:fill="FAFCFD" w:val="clear"/>
            <w:tcMar>
              <w:top w:type="dxa" w:w="70"/>
              <w:left w:type="dxa" w:w="120"/>
              <w:bottom w:type="dxa" w:w="70"/>
              <w:right w:type="dxa" w:w="120"/>
            </w:tcMar>
          </w:tcPr>
          <w:p>
            <w:r>
              <w:rPr>
                <w:sz w:val="19"/>
                <w:szCs w:val="19"/>
              </w:rPr>
              <w:t xml:space="preserve">La base reproduce las 15 de 17 empresas de U6 (retorno → tono propio)</w:t>
            </w:r>
          </w:p>
        </w:tc>
        <w:tc>
          <w:tcPr>
            <w:tcW w:type="pct" w:w="900"/>
            <w:shd w:fill="FAFCFD" w:val="clear"/>
            <w:tcMar>
              <w:top w:type="dxa" w:w="70"/>
              <w:left w:type="dxa" w:w="120"/>
              <w:bottom w:type="dxa" w:w="70"/>
              <w:right w:type="dxa" w:w="120"/>
            </w:tcMar>
          </w:tcPr>
          <w:p>
            <w:r>
              <w:rPr>
                <w:sz w:val="19"/>
                <w:szCs w:val="19"/>
              </w:rPr>
              <w:t xml:space="preserve">Pasa</w:t>
            </w:r>
          </w:p>
        </w:tc>
      </w:tr>
      <w:tr>
        <w:trPr>
          <w:cantSplit/>
        </w:trPr>
        <w:tc>
          <w:tcPr>
            <w:tcW w:type="pct" w:w="4100"/>
            <w:shd w:fill="FFFFFF" w:val="clear"/>
            <w:tcMar>
              <w:top w:type="dxa" w:w="70"/>
              <w:left w:type="dxa" w:w="120"/>
              <w:bottom w:type="dxa" w:w="70"/>
              <w:right w:type="dxa" w:w="120"/>
            </w:tcMar>
          </w:tcPr>
          <w:p>
            <w:r>
              <w:rPr>
                <w:sz w:val="19"/>
                <w:szCs w:val="19"/>
              </w:rPr>
              <w:t xml:space="preserve">La base reproduce las 39 de 47 empresas de U6 (retorno → tono)</w:t>
            </w:r>
          </w:p>
        </w:tc>
        <w:tc>
          <w:tcPr>
            <w:tcW w:type="pct" w:w="900"/>
            <w:shd w:fill="FFFFFF" w:val="clear"/>
            <w:tcMar>
              <w:top w:type="dxa" w:w="70"/>
              <w:left w:type="dxa" w:w="120"/>
              <w:bottom w:type="dxa" w:w="70"/>
              <w:right w:type="dxa" w:w="120"/>
            </w:tcMar>
          </w:tcPr>
          <w:p>
            <w:r>
              <w:rPr>
                <w:sz w:val="19"/>
                <w:szCs w:val="19"/>
              </w:rPr>
              <w:t xml:space="preserve">Pasa</w:t>
            </w:r>
          </w:p>
        </w:tc>
      </w:tr>
      <w:tr>
        <w:trPr>
          <w:cantSplit/>
        </w:trPr>
        <w:tc>
          <w:tcPr>
            <w:tcW w:type="pct" w:w="4100"/>
            <w:shd w:fill="FAFCFD" w:val="clear"/>
            <w:tcMar>
              <w:top w:type="dxa" w:w="70"/>
              <w:left w:type="dxa" w:w="120"/>
              <w:bottom w:type="dxa" w:w="70"/>
              <w:right w:type="dxa" w:w="120"/>
            </w:tcMar>
          </w:tcPr>
          <w:p>
            <w:r>
              <w:rPr>
                <w:sz w:val="19"/>
                <w:szCs w:val="19"/>
              </w:rPr>
              <w:t xml:space="preserve">La base reproduce el event study de U7 (eventos positivos y retorno del día)</w:t>
            </w:r>
          </w:p>
        </w:tc>
        <w:tc>
          <w:tcPr>
            <w:tcW w:type="pct" w:w="900"/>
            <w:shd w:fill="FAFCFD" w:val="clear"/>
            <w:tcMar>
              <w:top w:type="dxa" w:w="70"/>
              <w:left w:type="dxa" w:w="120"/>
              <w:bottom w:type="dxa" w:w="70"/>
              <w:right w:type="dxa" w:w="120"/>
            </w:tcMar>
          </w:tcPr>
          <w:p>
            <w:r>
              <w:rPr>
                <w:sz w:val="19"/>
                <w:szCs w:val="19"/>
              </w:rPr>
              <w:t xml:space="preserve">Pasa</w:t>
            </w:r>
          </w:p>
        </w:tc>
      </w:tr>
      <w:tr>
        <w:trPr>
          <w:cantSplit/>
        </w:trPr>
        <w:tc>
          <w:tcPr>
            <w:tcW w:type="pct" w:w="4100"/>
            <w:shd w:fill="FFFFFF" w:val="clear"/>
            <w:tcMar>
              <w:top w:type="dxa" w:w="70"/>
              <w:left w:type="dxa" w:w="120"/>
              <w:bottom w:type="dxa" w:w="70"/>
              <w:right w:type="dxa" w:w="120"/>
            </w:tcMar>
          </w:tcPr>
          <w:p>
            <w:r>
              <w:rPr>
                <w:sz w:val="19"/>
                <w:szCs w:val="19"/>
              </w:rPr>
              <w:t xml:space="preserve">Cada variante cambia una sola decisión</w:t>
            </w:r>
          </w:p>
        </w:tc>
        <w:tc>
          <w:tcPr>
            <w:tcW w:type="pct" w:w="900"/>
            <w:shd w:fill="FFFFFF" w:val="clear"/>
            <w:tcMar>
              <w:top w:type="dxa" w:w="70"/>
              <w:left w:type="dxa" w:w="120"/>
              <w:bottom w:type="dxa" w:w="70"/>
              <w:right w:type="dxa" w:w="120"/>
            </w:tcMar>
          </w:tcPr>
          <w:p>
            <w:r>
              <w:rPr>
                <w:sz w:val="19"/>
                <w:szCs w:val="19"/>
              </w:rPr>
              <w:t xml:space="preserve">Pasa</w:t>
            </w:r>
          </w:p>
        </w:tc>
      </w:tr>
    </w:tbl>
    <w:p>
      <w:pPr>
        <w:spacing w:after="160" w:line="300"/>
      </w:pPr>
      <w:r>
        <w:t xml:space="preserve">El p de la base difiere de U6 en el quinto dígito porque U6 parte del tono redondeado a 4 decimales en el CSV de U2, y U8 lo recalcula sin redondear.</w:t>
      </w:r>
    </w:p>
    <w:p>
      <w:pPr>
        <w:pStyle w:val="Heading1"/>
        <w:keepNext/>
        <w:spacing w:after="160" w:before="360"/>
      </w:pPr>
      <w:r>
        <w:t xml:space="preserve">8. Archivos que genera</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3277"/>
        <w:gridCol w:w="6361"/>
      </w:tblGrid>
      <w:tr>
        <w:trPr>
          <w:tblHeader/>
        </w:trPr>
        <w:tc>
          <w:tcPr>
            <w:tcW w:type="pct" w:w="1700"/>
            <w:shd w:fill="1C3A5C" w:val="clear"/>
            <w:tcMar>
              <w:top w:type="dxa" w:w="80"/>
              <w:left w:type="dxa" w:w="120"/>
              <w:bottom w:type="dxa" w:w="80"/>
              <w:right w:type="dxa" w:w="120"/>
            </w:tcMar>
          </w:tcPr>
          <w:p>
            <w:r>
              <w:rPr>
                <w:b/>
                <w:bCs/>
                <w:color w:val="FFFFFF"/>
                <w:sz w:val="19"/>
                <w:szCs w:val="19"/>
              </w:rPr>
              <w:t xml:space="preserve">Archivo</w:t>
            </w:r>
          </w:p>
        </w:tc>
        <w:tc>
          <w:tcPr>
            <w:tcW w:type="pct" w:w="3300"/>
            <w:shd w:fill="1C3A5C" w:val="clear"/>
            <w:tcMar>
              <w:top w:type="dxa" w:w="80"/>
              <w:left w:type="dxa" w:w="120"/>
              <w:bottom w:type="dxa" w:w="80"/>
              <w:right w:type="dxa" w:w="120"/>
            </w:tcMar>
          </w:tcPr>
          <w:p>
            <w:r>
              <w:rPr>
                <w:b/>
                <w:bCs/>
                <w:color w:val="FFFFFF"/>
                <w:sz w:val="19"/>
                <w:szCs w:val="19"/>
              </w:rPr>
              <w:t xml:space="preserve">Qué tiene</w:t>
            </w:r>
          </w:p>
        </w:tc>
      </w:tr>
      <w:tr>
        <w:trPr>
          <w:cantSplit/>
        </w:trPr>
        <w:tc>
          <w:tcPr>
            <w:tcW w:type="pct" w:w="1700"/>
            <w:shd w:fill="FFFFFF" w:val="clear"/>
            <w:tcMar>
              <w:top w:type="dxa" w:w="70"/>
              <w:left w:type="dxa" w:w="120"/>
              <w:bottom w:type="dxa" w:w="70"/>
              <w:right w:type="dxa" w:w="120"/>
            </w:tcMar>
          </w:tcPr>
          <w:p>
            <w:r>
              <w:rPr>
                <w:rFonts w:ascii="Consolas" w:cs="Consolas" w:eastAsia="Consolas" w:hAnsi="Consolas"/>
                <w:color w:val="1C3A5C"/>
                <w:sz w:val="19"/>
                <w:szCs w:val="19"/>
              </w:rPr>
              <w:t xml:space="preserve">robustez.csv</w:t>
            </w:r>
          </w:p>
        </w:tc>
        <w:tc>
          <w:tcPr>
            <w:tcW w:type="pct" w:w="3300"/>
            <w:shd w:fill="FFFFFF" w:val="clear"/>
            <w:tcMar>
              <w:top w:type="dxa" w:w="70"/>
              <w:left w:type="dxa" w:w="120"/>
              <w:bottom w:type="dxa" w:w="70"/>
              <w:right w:type="dxa" w:w="120"/>
            </w:tcMar>
          </w:tcPr>
          <w:p>
            <w:r>
              <w:rPr>
                <w:sz w:val="19"/>
                <w:szCs w:val="19"/>
              </w:rPr>
              <w:t xml:space="preserve">Cada resultado en cada variante, con el número de ruedas y si mantiene la conclusión</w:t>
            </w:r>
          </w:p>
        </w:tc>
      </w:tr>
      <w:tr>
        <w:trPr>
          <w:cantSplit/>
        </w:trPr>
        <w:tc>
          <w:tcPr>
            <w:tcW w:type="pct" w:w="1700"/>
            <w:shd w:fill="FAFCFD" w:val="clear"/>
            <w:tcMar>
              <w:top w:type="dxa" w:w="70"/>
              <w:left w:type="dxa" w:w="120"/>
              <w:bottom w:type="dxa" w:w="70"/>
              <w:right w:type="dxa" w:w="120"/>
            </w:tcMar>
          </w:tcPr>
          <w:p>
            <w:r>
              <w:rPr>
                <w:rFonts w:ascii="Consolas" w:cs="Consolas" w:eastAsia="Consolas" w:hAnsi="Consolas"/>
                <w:color w:val="1C3A5C"/>
                <w:sz w:val="19"/>
                <w:szCs w:val="19"/>
              </w:rPr>
              <w:t xml:space="preserve">efecto_por_franja.csv</w:t>
            </w:r>
          </w:p>
        </w:tc>
        <w:tc>
          <w:tcPr>
            <w:tcW w:type="pct" w:w="3300"/>
            <w:shd w:fill="FAFCFD" w:val="clear"/>
            <w:tcMar>
              <w:top w:type="dxa" w:w="70"/>
              <w:left w:type="dxa" w:w="120"/>
              <w:bottom w:type="dxa" w:w="70"/>
              <w:right w:type="dxa" w:w="120"/>
            </w:tcMar>
          </w:tcPr>
          <w:p>
            <w:r>
              <w:rPr>
                <w:sz w:val="19"/>
                <w:szCs w:val="19"/>
              </w:rPr>
              <w:t xml:space="preserve">El efecto del retorno sobre el tono según la franja de publicación de las notas</w:t>
            </w:r>
          </w:p>
        </w:tc>
      </w:tr>
      <w:tr>
        <w:trPr>
          <w:cantSplit/>
        </w:trPr>
        <w:tc>
          <w:tcPr>
            <w:tcW w:type="pct" w:w="1700"/>
            <w:shd w:fill="FFFFFF" w:val="clear"/>
            <w:tcMar>
              <w:top w:type="dxa" w:w="70"/>
              <w:left w:type="dxa" w:w="120"/>
              <w:bottom w:type="dxa" w:w="70"/>
              <w:right w:type="dxa" w:w="120"/>
            </w:tcMar>
          </w:tcPr>
          <w:p>
            <w:r>
              <w:rPr>
                <w:rFonts w:ascii="Consolas" w:cs="Consolas" w:eastAsia="Consolas" w:hAnsi="Consolas"/>
                <w:color w:val="1C3A5C"/>
                <w:sz w:val="19"/>
                <w:szCs w:val="19"/>
              </w:rPr>
              <w:t xml:space="preserve">resumen_u8.csv</w:t>
            </w:r>
            <w:r>
              <w:t xml:space="preserve">, </w:t>
            </w:r>
            <w:r>
              <w:rPr>
                <w:rFonts w:ascii="Consolas" w:cs="Consolas" w:eastAsia="Consolas" w:hAnsi="Consolas"/>
                <w:color w:val="1C3A5C"/>
                <w:sz w:val="19"/>
                <w:szCs w:val="19"/>
              </w:rPr>
              <w:t xml:space="preserve">verificaciones.csv</w:t>
            </w:r>
          </w:p>
        </w:tc>
        <w:tc>
          <w:tcPr>
            <w:tcW w:type="pct" w:w="3300"/>
            <w:shd w:fill="FFFFFF" w:val="clear"/>
            <w:tcMar>
              <w:top w:type="dxa" w:w="70"/>
              <w:left w:type="dxa" w:w="120"/>
              <w:bottom w:type="dxa" w:w="70"/>
              <w:right w:type="dxa" w:w="120"/>
            </w:tcMar>
          </w:tcPr>
          <w:p>
            <w:r>
              <w:rPr>
                <w:sz w:val="19"/>
                <w:szCs w:val="19"/>
              </w:rPr>
              <w:t xml:space="preserve">Las cifras y los controles de este documento</w:t>
            </w:r>
          </w:p>
        </w:tc>
      </w:tr>
      <w:tr>
        <w:trPr>
          <w:cantSplit/>
        </w:trPr>
        <w:tc>
          <w:tcPr>
            <w:tcW w:type="pct" w:w="1700"/>
            <w:shd w:fill="FAFCFD" w:val="clear"/>
            <w:tcMar>
              <w:top w:type="dxa" w:w="70"/>
              <w:left w:type="dxa" w:w="120"/>
              <w:bottom w:type="dxa" w:w="70"/>
              <w:right w:type="dxa" w:w="120"/>
            </w:tcMar>
          </w:tcPr>
          <w:p>
            <w:r>
              <w:rPr>
                <w:rFonts w:ascii="Consolas" w:cs="Consolas" w:eastAsia="Consolas" w:hAnsi="Consolas"/>
                <w:color w:val="1C3A5C"/>
                <w:sz w:val="19"/>
                <w:szCs w:val="19"/>
              </w:rPr>
              <w:t xml:space="preserve">u8_robustez.png</w:t>
            </w:r>
          </w:p>
        </w:tc>
        <w:tc>
          <w:tcPr>
            <w:tcW w:type="pct" w:w="3300"/>
            <w:shd w:fill="FAFCFD" w:val="clear"/>
            <w:tcMar>
              <w:top w:type="dxa" w:w="70"/>
              <w:left w:type="dxa" w:w="120"/>
              <w:bottom w:type="dxa" w:w="70"/>
              <w:right w:type="dxa" w:w="120"/>
            </w:tcMar>
          </w:tcPr>
          <w:p>
            <w:r>
              <w:rPr>
                <w:sz w:val="19"/>
                <w:szCs w:val="19"/>
              </w:rPr>
              <w:t xml:space="preserve">La figura de la sección 2</w:t>
            </w:r>
          </w:p>
        </w:tc>
      </w:tr>
    </w:tbl>
    <w:p>
      <w:pPr>
        <w:pStyle w:val="Heading1"/>
        <w:keepNext/>
        <w:spacing w:after="160" w:before="360"/>
      </w:pPr>
      <w:r>
        <w:t xml:space="preserve">9. Limitaciones</w:t>
      </w:r>
    </w:p>
    <w:p>
      <w:pPr>
        <w:spacing w:after="160" w:line="300"/>
        <w:ind w:left="360" w:hanging="240"/>
      </w:pPr>
      <w:r>
        <w:t xml:space="preserve">•  Se cambia una decisión por vez; no se prueban todas las combinaciones.</w:t>
      </w:r>
    </w:p>
    <w:p>
      <w:pPr>
        <w:spacing w:after="160" w:line="300"/>
        <w:ind w:left="360" w:hanging="240"/>
      </w:pPr>
      <w:r>
        <w:t xml:space="preserve">•  Las franjas horarias usan la hora informada por cada portal; las notas con hora sospechosa están en la base y fuera de la variante que las excluye.</w:t>
      </w:r>
    </w:p>
    <w:p>
      <w:pPr>
        <w:spacing w:after="160" w:line="300"/>
        <w:ind w:left="360" w:hanging="240"/>
      </w:pPr>
      <w:r>
        <w:t xml:space="preserve">•  Las variantes que reducen las notas (fecha de calendario, solo notas del día) dejan pocos eventos para el event study.</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6B7A"/>
        <w:sz w:val="16"/>
        <w:szCs w:val="16"/>
      </w:rPr>
      <w:t xml:space="preserve">Nicolás Diddi · Gino Frigoni · Página </w:t>
    </w:r>
    <w:r>
      <w:rPr>
        <w:color w:val="5C6B7A"/>
        <w:sz w:val="16"/>
        <w:szCs w:val="16"/>
      </w:rPr>
      <w:fldChar w:fldCharType="begin"/>
      <w:instrText xml:space="preserve">PAGE</w:instrText>
      <w:fldChar w:fldCharType="separate"/>
      <w:fldChar w:fldCharType="end"/>
    </w:r>
    <w:r>
      <w:rPr>
        <w:color w:val="5C6B7A"/>
        <w:sz w:val="16"/>
        <w:szCs w:val="16"/>
      </w:rPr>
      <w:t xml:space="preserve"> de </w:t>
    </w:r>
    <w:r>
      <w:rPr>
        <w:color w:val="5C6B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C6B7A"/>
        <w:sz w:val="16"/>
        <w:szCs w:val="16"/>
      </w:rPr>
      <w:t xml:space="preserve">U8 · Robustez — tesis version 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0798C" w:sz="6" w:space="4"/>
      </w:pBdr>
      <w:spacing w:after="160" w:before="360"/>
    </w:pPr>
    <w:rPr>
      <w:rFonts w:ascii="Cambria" w:cs="Cambria" w:eastAsia="Cambria" w:hAnsi="Cambria"/>
      <w:b/>
      <w:bCs/>
      <w:color w:val="12263A"/>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7e20d57bb4795cfeb9627d1875470b8d0ad736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2026-10-24T13:47:18.283Z</dcterms:created>
  <dcterms:modified xsi:type="dcterms:W3CDTF">2026-10-24T13:47:18.284Z</dcterms:modified>
</cp:coreProperties>
</file>

<file path=docProps/custom.xml><?xml version="1.0" encoding="utf-8"?>
<Properties xmlns="http://schemas.openxmlformats.org/officeDocument/2006/custom-properties" xmlns:vt="http://schemas.openxmlformats.org/officeDocument/2006/docPropsVTypes"/>
</file>