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Entrega final: resultados de la tesis</w:t>
      </w:r>
    </w:p>
    <w:p>
      <w:pPr>
        <w:spacing w:after="200"/>
      </w:pPr>
      <w:r>
        <w:rPr>
          <w:rFonts w:ascii="Cambria" w:cs="Cambria" w:eastAsia="Cambria" w:hAnsi="Cambria"/>
          <w:i/>
          <w:iCs/>
          <w:color w:val="1C3A5C"/>
          <w:sz w:val="24"/>
          <w:szCs w:val="24"/>
        </w:rPr>
        <w:t xml:space="preserve">Impacto de shocks informativos en el comportamiento bursátil de empresas argentinas</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Autores. </w:t>
      </w:r>
      <w:r>
        <w:t xml:space="preserve">Gino Frigoni (lado de noticias) y Nicolás Diddi (lado bursátil). </w:t>
      </w:r>
      <w:r>
        <w:rPr>
          <w:b/>
          <w:bCs/>
        </w:rPr>
        <w:t xml:space="preserve">Ubicación. </w:t>
      </w:r>
      <w:r>
        <w:rPr>
          <w:rFonts w:ascii="Consolas" w:cs="Consolas" w:eastAsia="Consolas" w:hAnsi="Consolas"/>
          <w:color w:val="1C3A5C"/>
          <w:sz w:val="19"/>
          <w:szCs w:val="19"/>
        </w:rPr>
        <w:t xml:space="preserve">D:\2.Tesina\tesis version 3.0\Unión\09_entrega_final\</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La tesis en un párrafo</w:t>
            </w:r>
          </w:p>
          <w:p>
            <w:pPr>
              <w:spacing w:after="60" w:line="276"/>
            </w:pPr>
            <w:r>
              <w:t xml:space="preserve">Se estudió si las noticias económicas de los medios digitales argentinos anticipan el precio y el volumen de las acciones de BYMA. Se unieron 14.012 notas de 7 portales, clasificadas con un modelo de sentimiento propio, con 47 acciones durante 244 ruedas (mayo de 2025 a abril de 2026). La respuesta es que no: lo que aparece es lo contrario. Los medios siguen al mercado: en las notas de la misma noche, después del cierre, cuentan la suba o la baja con un tono que la acompaña, para el mercado y para cada empresa. Ni el tono ni la cantidad de noticias anticipan los precios o el volumen, ni siquiera con las notas publicadas antes de la apertura. Con la definición de shock del plan (muchas más notas que lo habitual), lo único que aparece es que la acción de la empresa se opera más ese mismo día, sin una dirección en el precio. Los hechos grandes, como las elecciones o el anuncio del Tesoro de Estados Unidos, se reflejan de inmediato en el precio.</w:t>
            </w:r>
          </w:p>
        </w:tc>
      </w:tr>
    </w:tbl>
    <w:p>
      <w:pPr>
        <w:spacing w:after="160"/>
        <w:jc w:val="center"/>
      </w:pPr>
      <w:r>
        <w:drawing>
          <wp:inline distT="0" distB="0" distL="0" distR="0">
            <wp:extent cx="5715000" cy="616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162675"/>
                    </a:xfrm>
                    <a:prstGeom prst="rect">
                      <a:avLst/>
                    </a:prstGeom>
                  </pic:spPr>
                </pic:pic>
              </a:graphicData>
            </a:graphic>
          </wp:inline>
        </w:drawing>
      </w:r>
    </w:p>
    <w:p>
      <w:pPr>
        <w:pStyle w:val="Heading1"/>
        <w:keepNext/>
        <w:spacing w:after="160" w:before="360"/>
      </w:pPr>
      <w:r>
        <w:t xml:space="preserve">1. Los resultados principales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313"/>
        <w:gridCol w:w="2891"/>
        <w:gridCol w:w="3470"/>
        <w:gridCol w:w="964"/>
      </w:tblGrid>
      <w:tr>
        <w:trPr>
          <w:tblHeader/>
        </w:trPr>
        <w:tc>
          <w:tcPr>
            <w:tcW w:type="pct" w:w="1200"/>
            <w:shd w:fill="1C3A5C" w:val="clear"/>
            <w:tcMar>
              <w:top w:type="dxa" w:w="80"/>
              <w:left w:type="dxa" w:w="120"/>
              <w:bottom w:type="dxa" w:w="80"/>
              <w:right w:type="dxa" w:w="120"/>
            </w:tcMar>
          </w:tcPr>
          <w:p>
            <w:r>
              <w:rPr>
                <w:b/>
                <w:bCs/>
                <w:color w:val="FFFFFF"/>
                <w:sz w:val="19"/>
                <w:szCs w:val="19"/>
              </w:rPr>
              <w:t xml:space="preserve">Pregunta</w:t>
            </w:r>
          </w:p>
        </w:tc>
        <w:tc>
          <w:tcPr>
            <w:tcW w:type="pct" w:w="1500"/>
            <w:shd w:fill="1C3A5C" w:val="clear"/>
            <w:tcMar>
              <w:top w:type="dxa" w:w="80"/>
              <w:left w:type="dxa" w:w="120"/>
              <w:bottom w:type="dxa" w:w="80"/>
              <w:right w:type="dxa" w:w="120"/>
            </w:tcMar>
          </w:tcPr>
          <w:p>
            <w:r>
              <w:rPr>
                <w:b/>
                <w:bCs/>
                <w:color w:val="FFFFFF"/>
                <w:sz w:val="19"/>
                <w:szCs w:val="19"/>
              </w:rPr>
              <w:t xml:space="preserve">Prueba</w:t>
            </w:r>
          </w:p>
        </w:tc>
        <w:tc>
          <w:tcPr>
            <w:tcW w:type="pct" w:w="1800"/>
            <w:shd w:fill="1C3A5C" w:val="clear"/>
            <w:tcMar>
              <w:top w:type="dxa" w:w="80"/>
              <w:left w:type="dxa" w:w="120"/>
              <w:bottom w:type="dxa" w:w="80"/>
              <w:right w:type="dxa" w:w="120"/>
            </w:tcMar>
          </w:tcPr>
          <w:p>
            <w:r>
              <w:rPr>
                <w:b/>
                <w:bCs/>
                <w:color w:val="FFFFFF"/>
                <w:sz w:val="19"/>
                <w:szCs w:val="19"/>
              </w:rPr>
              <w:t xml:space="preserve">Resultado</w:t>
            </w:r>
          </w:p>
        </w:tc>
        <w:tc>
          <w:tcPr>
            <w:tcW w:type="pct" w:w="500"/>
            <w:shd w:fill="1C3A5C" w:val="clear"/>
            <w:tcMar>
              <w:top w:type="dxa" w:w="80"/>
              <w:left w:type="dxa" w:w="120"/>
              <w:bottom w:type="dxa" w:w="80"/>
              <w:right w:type="dxa" w:w="120"/>
            </w:tcMar>
          </w:tcPr>
          <w:p>
            <w:r>
              <w:rPr>
                <w:b/>
                <w:bCs/>
                <w:color w:val="FFFFFF"/>
                <w:sz w:val="19"/>
                <w:szCs w:val="19"/>
              </w:rPr>
              <w:t xml:space="preserve">Dónde</w:t>
            </w:r>
          </w:p>
        </w:tc>
      </w:tr>
      <w:tr>
        <w:trPr>
          <w:cantSplit/>
        </w:trPr>
        <w:tc>
          <w:tcPr>
            <w:tcW w:type="pct" w:w="1200"/>
            <w:shd w:fill="FFFFFF" w:val="clear"/>
            <w:tcMar>
              <w:top w:type="dxa" w:w="70"/>
              <w:left w:type="dxa" w:w="120"/>
              <w:bottom w:type="dxa" w:w="70"/>
              <w:right w:type="dxa" w:w="120"/>
            </w:tcMar>
          </w:tcPr>
          <w:p>
            <w:r>
              <w:rPr>
                <w:sz w:val="19"/>
                <w:szCs w:val="19"/>
              </w:rPr>
              <w:t xml:space="preserve">¿El tono de las noticias anticipa al mercado?</w:t>
            </w:r>
          </w:p>
        </w:tc>
        <w:tc>
          <w:tcPr>
            <w:tcW w:type="pct" w:w="1500"/>
            <w:shd w:fill="FFFFFF" w:val="clear"/>
            <w:tcMar>
              <w:top w:type="dxa" w:w="70"/>
              <w:left w:type="dxa" w:w="120"/>
              <w:bottom w:type="dxa" w:w="70"/>
              <w:right w:type="dxa" w:w="120"/>
            </w:tcMar>
          </w:tcPr>
          <w:p>
            <w:r>
              <w:rPr>
                <w:sz w:val="19"/>
                <w:szCs w:val="19"/>
              </w:rPr>
              <w:t xml:space="preserve">VAR y Granger (mercado, 47 empresas, 17 con tono propio, 10 sectores, régimen)</w:t>
            </w:r>
          </w:p>
        </w:tc>
        <w:tc>
          <w:tcPr>
            <w:tcW w:type="pct" w:w="1800"/>
            <w:shd w:fill="FFFFFF" w:val="clear"/>
            <w:tcMar>
              <w:top w:type="dxa" w:w="70"/>
              <w:left w:type="dxa" w:w="120"/>
              <w:bottom w:type="dxa" w:w="70"/>
              <w:right w:type="dxa" w:w="120"/>
            </w:tcMar>
          </w:tcPr>
          <w:p>
            <w:r>
              <w:rPr>
                <w:sz w:val="19"/>
                <w:szCs w:val="19"/>
              </w:rPr>
              <w:t xml:space="preserve">No. 4 de 152 pruebas significativas, lo esperable por azar</w:t>
            </w:r>
          </w:p>
        </w:tc>
        <w:tc>
          <w:tcPr>
            <w:tcW w:type="pct" w:w="500"/>
            <w:shd w:fill="FFFFFF" w:val="clear"/>
            <w:tcMar>
              <w:top w:type="dxa" w:w="70"/>
              <w:left w:type="dxa" w:w="120"/>
              <w:bottom w:type="dxa" w:w="70"/>
              <w:right w:type="dxa" w:w="120"/>
            </w:tcMar>
          </w:tcPr>
          <w:p>
            <w:r>
              <w:rPr>
                <w:sz w:val="19"/>
                <w:szCs w:val="19"/>
              </w:rPr>
              <w:t xml:space="preserve">U6</w:t>
            </w:r>
          </w:p>
        </w:tc>
      </w:tr>
      <w:tr>
        <w:trPr>
          <w:cantSplit/>
        </w:trPr>
        <w:tc>
          <w:tcPr>
            <w:tcW w:type="pct" w:w="1200"/>
            <w:shd w:fill="FAFCFD" w:val="clear"/>
            <w:tcMar>
              <w:top w:type="dxa" w:w="70"/>
              <w:left w:type="dxa" w:w="120"/>
              <w:bottom w:type="dxa" w:w="70"/>
              <w:right w:type="dxa" w:w="120"/>
            </w:tcMar>
          </w:tcPr>
          <w:p>
            <w:r>
              <w:rPr>
                <w:sz w:val="19"/>
                <w:szCs w:val="19"/>
              </w:rPr>
              <w:t xml:space="preserve">¿Y con las notas publicadas antes de la apertura?</w:t>
            </w:r>
          </w:p>
        </w:tc>
        <w:tc>
          <w:tcPr>
            <w:tcW w:type="pct" w:w="1500"/>
            <w:shd w:fill="FAFCFD" w:val="clear"/>
            <w:tcMar>
              <w:top w:type="dxa" w:w="70"/>
              <w:left w:type="dxa" w:w="120"/>
              <w:bottom w:type="dxa" w:w="70"/>
              <w:right w:type="dxa" w:w="120"/>
            </w:tcMar>
          </w:tcPr>
          <w:p>
            <w:r>
              <w:rPr>
                <w:sz w:val="19"/>
                <w:szCs w:val="19"/>
              </w:rPr>
              <w:t xml:space="preserve">Tono de la noche → salto de apertura, regla fijada de antemano</w:t>
            </w:r>
          </w:p>
        </w:tc>
        <w:tc>
          <w:tcPr>
            <w:tcW w:type="pct" w:w="1800"/>
            <w:shd w:fill="FAFCFD" w:val="clear"/>
            <w:tcMar>
              <w:top w:type="dxa" w:w="70"/>
              <w:left w:type="dxa" w:w="120"/>
              <w:bottom w:type="dxa" w:w="70"/>
              <w:right w:type="dxa" w:w="120"/>
            </w:tcMar>
          </w:tcPr>
          <w:p>
            <w:r>
              <w:rPr>
                <w:sz w:val="19"/>
                <w:szCs w:val="19"/>
              </w:rPr>
              <w:t xml:space="preserve">No (p = 0,107); solo las elecciones mueven la apertura</w:t>
            </w:r>
          </w:p>
        </w:tc>
        <w:tc>
          <w:tcPr>
            <w:tcW w:type="pct" w:w="500"/>
            <w:shd w:fill="FAFCFD" w:val="clear"/>
            <w:tcMar>
              <w:top w:type="dxa" w:w="70"/>
              <w:left w:type="dxa" w:w="120"/>
              <w:bottom w:type="dxa" w:w="70"/>
              <w:right w:type="dxa" w:w="120"/>
            </w:tcMar>
          </w:tcPr>
          <w:p>
            <w:r>
              <w:rPr>
                <w:sz w:val="19"/>
                <w:szCs w:val="19"/>
              </w:rPr>
              <w:t xml:space="preserve">U6b</w:t>
            </w:r>
          </w:p>
        </w:tc>
      </w:tr>
      <w:tr>
        <w:trPr>
          <w:cantSplit/>
        </w:trPr>
        <w:tc>
          <w:tcPr>
            <w:tcW w:type="pct" w:w="1200"/>
            <w:shd w:fill="FFFFFF" w:val="clear"/>
            <w:tcMar>
              <w:top w:type="dxa" w:w="70"/>
              <w:left w:type="dxa" w:w="120"/>
              <w:bottom w:type="dxa" w:w="70"/>
              <w:right w:type="dxa" w:w="120"/>
            </w:tcMar>
          </w:tcPr>
          <w:p>
            <w:r>
              <w:rPr>
                <w:sz w:val="19"/>
                <w:szCs w:val="19"/>
              </w:rPr>
              <w:t xml:space="preserve">¿La cantidad de noticias (atención) anticipa al mercado?</w:t>
            </w:r>
          </w:p>
        </w:tc>
        <w:tc>
          <w:tcPr>
            <w:tcW w:type="pct" w:w="1500"/>
            <w:shd w:fill="FFFFFF" w:val="clear"/>
            <w:tcMar>
              <w:top w:type="dxa" w:w="70"/>
              <w:left w:type="dxa" w:w="120"/>
              <w:bottom w:type="dxa" w:w="70"/>
              <w:right w:type="dxa" w:w="120"/>
            </w:tcMar>
          </w:tcPr>
          <w:p>
            <w:r>
              <w:rPr>
                <w:sz w:val="19"/>
                <w:szCs w:val="19"/>
              </w:rPr>
              <w:t xml:space="preserve">Atención anormal → retorno y volumen</w:t>
            </w:r>
          </w:p>
        </w:tc>
        <w:tc>
          <w:tcPr>
            <w:tcW w:type="pct" w:w="1800"/>
            <w:shd w:fill="FFFFFF" w:val="clear"/>
            <w:tcMar>
              <w:top w:type="dxa" w:w="70"/>
              <w:left w:type="dxa" w:w="120"/>
              <w:bottom w:type="dxa" w:w="70"/>
              <w:right w:type="dxa" w:w="120"/>
            </w:tcMar>
          </w:tcPr>
          <w:p>
            <w:r>
              <w:rPr>
                <w:sz w:val="19"/>
                <w:szCs w:val="19"/>
              </w:rPr>
              <w:t xml:space="preserve">No (p = 0,9293 y 0,3377)</w:t>
            </w:r>
          </w:p>
        </w:tc>
        <w:tc>
          <w:tcPr>
            <w:tcW w:type="pct" w:w="500"/>
            <w:shd w:fill="FFFFFF" w:val="clear"/>
            <w:tcMar>
              <w:top w:type="dxa" w:w="70"/>
              <w:left w:type="dxa" w:w="120"/>
              <w:bottom w:type="dxa" w:w="70"/>
              <w:right w:type="dxa" w:w="120"/>
            </w:tcMar>
          </w:tcPr>
          <w:p>
            <w:r>
              <w:rPr>
                <w:sz w:val="19"/>
                <w:szCs w:val="19"/>
              </w:rPr>
              <w:t xml:space="preserve">U6</w:t>
            </w:r>
          </w:p>
        </w:tc>
      </w:tr>
      <w:tr>
        <w:trPr>
          <w:cantSplit/>
        </w:trPr>
        <w:tc>
          <w:tcPr>
            <w:tcW w:type="pct" w:w="1200"/>
            <w:shd w:fill="FAFCFD" w:val="clear"/>
            <w:tcMar>
              <w:top w:type="dxa" w:w="70"/>
              <w:left w:type="dxa" w:w="120"/>
              <w:bottom w:type="dxa" w:w="70"/>
              <w:right w:type="dxa" w:w="120"/>
            </w:tcMar>
          </w:tcPr>
          <w:p>
            <w:r>
              <w:rPr>
                <w:sz w:val="19"/>
                <w:szCs w:val="19"/>
              </w:rPr>
              <w:t xml:space="preserve">¿El mercado anticipa al tono de las noticias?</w:t>
            </w:r>
          </w:p>
        </w:tc>
        <w:tc>
          <w:tcPr>
            <w:tcW w:type="pct" w:w="1500"/>
            <w:shd w:fill="FAFCFD" w:val="clear"/>
            <w:tcMar>
              <w:top w:type="dxa" w:w="70"/>
              <w:left w:type="dxa" w:w="120"/>
              <w:bottom w:type="dxa" w:w="70"/>
              <w:right w:type="dxa" w:w="120"/>
            </w:tcMar>
          </w:tcPr>
          <w:p>
            <w:r>
              <w:rPr>
                <w:sz w:val="19"/>
                <w:szCs w:val="19"/>
              </w:rPr>
              <w:t xml:space="preserve">Retorno → tono</w:t>
            </w:r>
          </w:p>
        </w:tc>
        <w:tc>
          <w:tcPr>
            <w:tcW w:type="pct" w:w="1800"/>
            <w:shd w:fill="FAFCFD" w:val="clear"/>
            <w:tcMar>
              <w:top w:type="dxa" w:w="70"/>
              <w:left w:type="dxa" w:w="120"/>
              <w:bottom w:type="dxa" w:w="70"/>
              <w:right w:type="dxa" w:w="120"/>
            </w:tcMar>
          </w:tcPr>
          <w:p>
            <w:r>
              <w:rPr>
                <w:sz w:val="19"/>
                <w:szCs w:val="19"/>
              </w:rPr>
              <w:t xml:space="preserve">Sí (p 0,0003), en 39 de 47 empresas y 15 de 17 con tono propio</w:t>
            </w:r>
          </w:p>
        </w:tc>
        <w:tc>
          <w:tcPr>
            <w:tcW w:type="pct" w:w="500"/>
            <w:shd w:fill="FAFCFD" w:val="clear"/>
            <w:tcMar>
              <w:top w:type="dxa" w:w="70"/>
              <w:left w:type="dxa" w:w="120"/>
              <w:bottom w:type="dxa" w:w="70"/>
              <w:right w:type="dxa" w:w="120"/>
            </w:tcMar>
          </w:tcPr>
          <w:p>
            <w:r>
              <w:rPr>
                <w:sz w:val="19"/>
                <w:szCs w:val="19"/>
              </w:rPr>
              <w:t xml:space="preserve">U6</w:t>
            </w:r>
          </w:p>
        </w:tc>
      </w:tr>
      <w:tr>
        <w:trPr>
          <w:cantSplit/>
        </w:trPr>
        <w:tc>
          <w:tcPr>
            <w:tcW w:type="pct" w:w="1200"/>
            <w:shd w:fill="FFFFFF" w:val="clear"/>
            <w:tcMar>
              <w:top w:type="dxa" w:w="70"/>
              <w:left w:type="dxa" w:w="120"/>
              <w:bottom w:type="dxa" w:w="70"/>
              <w:right w:type="dxa" w:w="120"/>
            </w:tcMar>
          </w:tcPr>
          <w:p>
            <w:r>
              <w:rPr>
                <w:sz w:val="19"/>
                <w:szCs w:val="19"/>
              </w:rPr>
              <w:t xml:space="preserve">¿Cuándo?</w:t>
            </w:r>
          </w:p>
        </w:tc>
        <w:tc>
          <w:tcPr>
            <w:tcW w:type="pct" w:w="1500"/>
            <w:shd w:fill="FFFFFF" w:val="clear"/>
            <w:tcMar>
              <w:top w:type="dxa" w:w="70"/>
              <w:left w:type="dxa" w:w="120"/>
              <w:bottom w:type="dxa" w:w="70"/>
              <w:right w:type="dxa" w:w="120"/>
            </w:tcMar>
          </w:tcPr>
          <w:p>
            <w:r>
              <w:rPr>
                <w:sz w:val="19"/>
                <w:szCs w:val="19"/>
              </w:rPr>
              <w:t xml:space="preserve">Tono según la franja de publicación de las notas</w:t>
            </w:r>
          </w:p>
        </w:tc>
        <w:tc>
          <w:tcPr>
            <w:tcW w:type="pct" w:w="1800"/>
            <w:shd w:fill="FFFFFF" w:val="clear"/>
            <w:tcMar>
              <w:top w:type="dxa" w:w="70"/>
              <w:left w:type="dxa" w:w="120"/>
              <w:bottom w:type="dxa" w:w="70"/>
              <w:right w:type="dxa" w:w="120"/>
            </w:tcMar>
          </w:tcPr>
          <w:p>
            <w:r>
              <w:rPr>
                <w:sz w:val="19"/>
                <w:szCs w:val="19"/>
              </w:rPr>
              <w:t xml:space="preserve">En las notas de la misma noche, post-cierre (+4,8 puntos por desvío del retorno); a la mañana ya no queda</w:t>
            </w:r>
          </w:p>
        </w:tc>
        <w:tc>
          <w:tcPr>
            <w:tcW w:type="pct" w:w="500"/>
            <w:shd w:fill="FFFFFF" w:val="clear"/>
            <w:tcMar>
              <w:top w:type="dxa" w:w="70"/>
              <w:left w:type="dxa" w:w="120"/>
              <w:bottom w:type="dxa" w:w="70"/>
              <w:right w:type="dxa" w:w="120"/>
            </w:tcMar>
          </w:tcPr>
          <w:p>
            <w:r>
              <w:rPr>
                <w:sz w:val="19"/>
                <w:szCs w:val="19"/>
              </w:rPr>
              <w:t xml:space="preserve">U8</w:t>
            </w:r>
          </w:p>
        </w:tc>
      </w:tr>
      <w:tr>
        <w:trPr>
          <w:cantSplit/>
        </w:trPr>
        <w:tc>
          <w:tcPr>
            <w:tcW w:type="pct" w:w="1200"/>
            <w:shd w:fill="FAFCFD" w:val="clear"/>
            <w:tcMar>
              <w:top w:type="dxa" w:w="70"/>
              <w:left w:type="dxa" w:w="120"/>
              <w:bottom w:type="dxa" w:w="70"/>
              <w:right w:type="dxa" w:w="120"/>
            </w:tcMar>
          </w:tcPr>
          <w:p>
            <w:r>
              <w:rPr>
                <w:sz w:val="19"/>
                <w:szCs w:val="19"/>
              </w:rPr>
              <w:t xml:space="preserve">¿Qué hace el precio en las ruedas de tono extremo?</w:t>
            </w:r>
          </w:p>
        </w:tc>
        <w:tc>
          <w:tcPr>
            <w:tcW w:type="pct" w:w="1500"/>
            <w:shd w:fill="FAFCFD" w:val="clear"/>
            <w:tcMar>
              <w:top w:type="dxa" w:w="70"/>
              <w:left w:type="dxa" w:w="120"/>
              <w:bottom w:type="dxa" w:w="70"/>
              <w:right w:type="dxa" w:w="120"/>
            </w:tcMar>
          </w:tcPr>
          <w:p>
            <w:r>
              <w:rPr>
                <w:sz w:val="19"/>
                <w:szCs w:val="19"/>
              </w:rPr>
              <w:t xml:space="preserve">Event study del Merval y de cada empresa</w:t>
            </w:r>
          </w:p>
        </w:tc>
        <w:tc>
          <w:tcPr>
            <w:tcW w:type="pct" w:w="1800"/>
            <w:shd w:fill="FAFCFD" w:val="clear"/>
            <w:tcMar>
              <w:top w:type="dxa" w:w="70"/>
              <w:left w:type="dxa" w:w="120"/>
              <w:bottom w:type="dxa" w:w="70"/>
              <w:right w:type="dxa" w:w="120"/>
            </w:tcMar>
          </w:tcPr>
          <w:p>
            <w:r>
              <w:rPr>
                <w:sz w:val="19"/>
                <w:szCs w:val="19"/>
              </w:rPr>
              <w:t xml:space="preserve">Sube 2,01% el mismo día y venía subiendo antes; después nada</w:t>
            </w:r>
          </w:p>
        </w:tc>
        <w:tc>
          <w:tcPr>
            <w:tcW w:type="pct" w:w="500"/>
            <w:shd w:fill="FAFCFD" w:val="clear"/>
            <w:tcMar>
              <w:top w:type="dxa" w:w="70"/>
              <w:left w:type="dxa" w:w="120"/>
              <w:bottom w:type="dxa" w:w="70"/>
              <w:right w:type="dxa" w:w="120"/>
            </w:tcMar>
          </w:tcPr>
          <w:p>
            <w:r>
              <w:rPr>
                <w:sz w:val="19"/>
                <w:szCs w:val="19"/>
              </w:rPr>
              <w:t xml:space="preserve">U7</w:t>
            </w:r>
          </w:p>
        </w:tc>
      </w:tr>
      <w:tr>
        <w:trPr>
          <w:cantSplit/>
        </w:trPr>
        <w:tc>
          <w:tcPr>
            <w:tcW w:type="pct" w:w="1200"/>
            <w:shd w:fill="FFFFFF" w:val="clear"/>
            <w:tcMar>
              <w:top w:type="dxa" w:w="70"/>
              <w:left w:type="dxa" w:w="120"/>
              <w:bottom w:type="dxa" w:w="70"/>
              <w:right w:type="dxa" w:w="120"/>
            </w:tcMar>
          </w:tcPr>
          <w:p>
            <w:r>
              <w:rPr>
                <w:sz w:val="19"/>
                <w:szCs w:val="19"/>
              </w:rPr>
              <w:t xml:space="preserve">¿Y en los shocks de cantidad de noticias, como los define el plan?</w:t>
            </w:r>
          </w:p>
        </w:tc>
        <w:tc>
          <w:tcPr>
            <w:tcW w:type="pct" w:w="1500"/>
            <w:shd w:fill="FFFFFF" w:val="clear"/>
            <w:tcMar>
              <w:top w:type="dxa" w:w="70"/>
              <w:left w:type="dxa" w:w="120"/>
              <w:bottom w:type="dxa" w:w="70"/>
              <w:right w:type="dxa" w:w="120"/>
            </w:tcMar>
          </w:tcPr>
          <w:p>
            <w:r>
              <w:rPr>
                <w:sz w:val="19"/>
                <w:szCs w:val="19"/>
              </w:rPr>
              <w:t xml:space="preserve">Event study de los días con muchas más notas que lo habitual (z &gt; 2 contra 30 ruedas), regla fijada de antemano</w:t>
            </w:r>
          </w:p>
        </w:tc>
        <w:tc>
          <w:tcPr>
            <w:tcW w:type="pct" w:w="1800"/>
            <w:shd w:fill="FFFFFF" w:val="clear"/>
            <w:tcMar>
              <w:top w:type="dxa" w:w="70"/>
              <w:left w:type="dxa" w:w="120"/>
              <w:bottom w:type="dxa" w:w="70"/>
              <w:right w:type="dxa" w:w="120"/>
            </w:tcMar>
          </w:tcPr>
          <w:p>
            <w:r>
              <w:rPr>
                <w:sz w:val="19"/>
                <w:szCs w:val="19"/>
              </w:rPr>
              <w:t xml:space="preserve">En las empresas (105 shocks) se opera más ese día (p corregido 0,017); el precio no se mueve en una dirección y la apertura no se anticipa (p corregido 0,544). En el mercado, nada</w:t>
            </w:r>
          </w:p>
        </w:tc>
        <w:tc>
          <w:tcPr>
            <w:tcW w:type="pct" w:w="500"/>
            <w:shd w:fill="FFFFFF" w:val="clear"/>
            <w:tcMar>
              <w:top w:type="dxa" w:w="70"/>
              <w:left w:type="dxa" w:w="120"/>
              <w:bottom w:type="dxa" w:w="70"/>
              <w:right w:type="dxa" w:w="120"/>
            </w:tcMar>
          </w:tcPr>
          <w:p>
            <w:r>
              <w:rPr>
                <w:sz w:val="19"/>
                <w:szCs w:val="19"/>
              </w:rPr>
              <w:t xml:space="preserve">U7b</w:t>
            </w:r>
          </w:p>
        </w:tc>
      </w:tr>
      <w:tr>
        <w:trPr>
          <w:cantSplit/>
        </w:trPr>
        <w:tc>
          <w:tcPr>
            <w:tcW w:type="pct" w:w="1200"/>
            <w:shd w:fill="FAFCFD" w:val="clear"/>
            <w:tcMar>
              <w:top w:type="dxa" w:w="70"/>
              <w:left w:type="dxa" w:w="120"/>
              <w:bottom w:type="dxa" w:w="70"/>
              <w:right w:type="dxa" w:w="120"/>
            </w:tcMar>
          </w:tcPr>
          <w:p>
            <w:r>
              <w:rPr>
                <w:sz w:val="19"/>
                <w:szCs w:val="19"/>
              </w:rPr>
              <w:t xml:space="preserve">¿Es robusto?</w:t>
            </w:r>
          </w:p>
        </w:tc>
        <w:tc>
          <w:tcPr>
            <w:tcW w:type="pct" w:w="1500"/>
            <w:shd w:fill="FAFCFD" w:val="clear"/>
            <w:tcMar>
              <w:top w:type="dxa" w:w="70"/>
              <w:left w:type="dxa" w:w="120"/>
              <w:bottom w:type="dxa" w:w="70"/>
              <w:right w:type="dxa" w:w="120"/>
            </w:tcMar>
          </w:tcPr>
          <w:p>
            <w:r>
              <w:rPr>
                <w:sz w:val="19"/>
                <w:szCs w:val="19"/>
              </w:rPr>
              <w:t xml:space="preserve">12 variantes, una decisión por vez</w:t>
            </w:r>
          </w:p>
        </w:tc>
        <w:tc>
          <w:tcPr>
            <w:tcW w:type="pct" w:w="1800"/>
            <w:shd w:fill="FAFCFD" w:val="clear"/>
            <w:tcMar>
              <w:top w:type="dxa" w:w="70"/>
              <w:left w:type="dxa" w:w="120"/>
              <w:bottom w:type="dxa" w:w="70"/>
              <w:right w:type="dxa" w:w="120"/>
            </w:tcMar>
          </w:tcPr>
          <w:p>
            <w:r>
              <w:rPr>
                <w:sz w:val="19"/>
                <w:szCs w:val="19"/>
              </w:rPr>
              <w:t xml:space="preserve">93 de 106 comparaciones mantienen la conclusión</w:t>
            </w:r>
          </w:p>
        </w:tc>
        <w:tc>
          <w:tcPr>
            <w:tcW w:type="pct" w:w="500"/>
            <w:shd w:fill="FAFCFD" w:val="clear"/>
            <w:tcMar>
              <w:top w:type="dxa" w:w="70"/>
              <w:left w:type="dxa" w:w="120"/>
              <w:bottom w:type="dxa" w:w="70"/>
              <w:right w:type="dxa" w:w="120"/>
            </w:tcMar>
          </w:tcPr>
          <w:p>
            <w:r>
              <w:rPr>
                <w:sz w:val="19"/>
                <w:szCs w:val="19"/>
              </w:rPr>
              <w:t xml:space="preserve">U8</w:t>
            </w:r>
          </w:p>
        </w:tc>
      </w:tr>
    </w:tbl>
    <w:p>
      <w:pPr>
        <w:pStyle w:val="Heading1"/>
        <w:keepNext/>
        <w:spacing w:after="160" w:before="360"/>
      </w:pPr>
      <w:r>
        <w:t xml:space="preserve">2. Cómo se cumplió cada objetivo del plan de tesis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662"/>
        <w:gridCol w:w="4626"/>
        <w:gridCol w:w="1349"/>
      </w:tblGrid>
      <w:tr>
        <w:trPr>
          <w:tblHeader/>
        </w:trPr>
        <w:tc>
          <w:tcPr>
            <w:tcW w:type="pct" w:w="1900"/>
            <w:shd w:fill="1C3A5C" w:val="clear"/>
            <w:tcMar>
              <w:top w:type="dxa" w:w="80"/>
              <w:left w:type="dxa" w:w="120"/>
              <w:bottom w:type="dxa" w:w="80"/>
              <w:right w:type="dxa" w:w="120"/>
            </w:tcMar>
          </w:tcPr>
          <w:p>
            <w:r>
              <w:rPr>
                <w:b/>
                <w:bCs/>
                <w:color w:val="FFFFFF"/>
                <w:sz w:val="19"/>
                <w:szCs w:val="19"/>
              </w:rPr>
              <w:t xml:space="preserve">Objetivo del plan</w:t>
            </w:r>
          </w:p>
        </w:tc>
        <w:tc>
          <w:tcPr>
            <w:tcW w:type="pct" w:w="2400"/>
            <w:shd w:fill="1C3A5C" w:val="clear"/>
            <w:tcMar>
              <w:top w:type="dxa" w:w="80"/>
              <w:left w:type="dxa" w:w="120"/>
              <w:bottom w:type="dxa" w:w="80"/>
              <w:right w:type="dxa" w:w="120"/>
            </w:tcMar>
          </w:tcPr>
          <w:p>
            <w:r>
              <w:rPr>
                <w:b/>
                <w:bCs/>
                <w:color w:val="FFFFFF"/>
                <w:sz w:val="19"/>
                <w:szCs w:val="19"/>
              </w:rPr>
              <w:t xml:space="preserve">Qué se hizo</w:t>
            </w:r>
          </w:p>
        </w:tc>
        <w:tc>
          <w:tcPr>
            <w:tcW w:type="pct" w:w="700"/>
            <w:shd w:fill="1C3A5C" w:val="clear"/>
            <w:tcMar>
              <w:top w:type="dxa" w:w="80"/>
              <w:left w:type="dxa" w:w="120"/>
              <w:bottom w:type="dxa" w:w="80"/>
              <w:right w:type="dxa" w:w="120"/>
            </w:tcMar>
          </w:tcPr>
          <w:p>
            <w:r>
              <w:rPr>
                <w:b/>
                <w:bCs/>
                <w:color w:val="FFFFFF"/>
                <w:sz w:val="19"/>
                <w:szCs w:val="19"/>
              </w:rPr>
              <w:t xml:space="preserve">Estado</w:t>
            </w:r>
          </w:p>
        </w:tc>
      </w:tr>
      <w:tr>
        <w:trPr>
          <w:cantSplit/>
        </w:trPr>
        <w:tc>
          <w:tcPr>
            <w:tcW w:type="pct" w:w="1900"/>
            <w:shd w:fill="FFFFFF" w:val="clear"/>
            <w:tcMar>
              <w:top w:type="dxa" w:w="70"/>
              <w:left w:type="dxa" w:w="120"/>
              <w:bottom w:type="dxa" w:w="70"/>
              <w:right w:type="dxa" w:w="120"/>
            </w:tcMar>
          </w:tcPr>
          <w:p>
            <w:r>
              <w:rPr>
                <w:sz w:val="19"/>
                <w:szCs w:val="19"/>
              </w:rPr>
              <w:t xml:space="preserve">General: modelar el impacto de los shocks informativos sobre el precio y el volumen de transacciones</w:t>
            </w:r>
          </w:p>
        </w:tc>
        <w:tc>
          <w:tcPr>
            <w:tcW w:type="pct" w:w="2400"/>
            <w:shd w:fill="FFFFFF" w:val="clear"/>
            <w:tcMar>
              <w:top w:type="dxa" w:w="70"/>
              <w:left w:type="dxa" w:w="120"/>
              <w:bottom w:type="dxa" w:w="70"/>
              <w:right w:type="dxa" w:w="120"/>
            </w:tcMar>
          </w:tcPr>
          <w:p>
            <w:r>
              <w:rPr>
                <w:sz w:val="19"/>
                <w:szCs w:val="19"/>
              </w:rPr>
              <w:t xml:space="preserve">VAR, Granger, event study y la prueba de notas pre-apertura, siempre para retorno y para volumen (U6, U6b, U7)</w:t>
            </w:r>
          </w:p>
        </w:tc>
        <w:tc>
          <w:tcPr>
            <w:tcW w:type="pct" w:w="700"/>
            <w:shd w:fill="FFFFFF" w:val="clear"/>
            <w:tcMar>
              <w:top w:type="dxa" w:w="70"/>
              <w:left w:type="dxa" w:w="120"/>
              <w:bottom w:type="dxa" w:w="70"/>
              <w:right w:type="dxa" w:w="120"/>
            </w:tcMar>
          </w:tcPr>
          <w:p>
            <w:r>
              <w:rPr>
                <w:sz w:val="19"/>
                <w:szCs w:val="19"/>
              </w:rPr>
              <w:t xml:space="preserve">Cumplido</w:t>
            </w:r>
          </w:p>
        </w:tc>
      </w:tr>
      <w:tr>
        <w:trPr>
          <w:cantSplit/>
        </w:trPr>
        <w:tc>
          <w:tcPr>
            <w:tcW w:type="pct" w:w="1900"/>
            <w:shd w:fill="FAFCFD" w:val="clear"/>
            <w:tcMar>
              <w:top w:type="dxa" w:w="70"/>
              <w:left w:type="dxa" w:w="120"/>
              <w:bottom w:type="dxa" w:w="70"/>
              <w:right w:type="dxa" w:w="120"/>
            </w:tcMar>
          </w:tcPr>
          <w:p>
            <w:r>
              <w:rPr>
                <w:sz w:val="19"/>
                <w:szCs w:val="19"/>
              </w:rPr>
              <w:t xml:space="preserve">1. Corpus de noticias de economía y finanzas, como serie temporal por portal y fecha</w:t>
            </w:r>
          </w:p>
        </w:tc>
        <w:tc>
          <w:tcPr>
            <w:tcW w:type="pct" w:w="2400"/>
            <w:shd w:fill="FAFCFD" w:val="clear"/>
            <w:tcMar>
              <w:top w:type="dxa" w:w="70"/>
              <w:left w:type="dxa" w:w="120"/>
              <w:bottom w:type="dxa" w:w="70"/>
              <w:right w:type="dxa" w:w="120"/>
            </w:tcMar>
          </w:tcPr>
          <w:p>
            <w:r>
              <w:rPr>
                <w:sz w:val="19"/>
                <w:szCs w:val="19"/>
              </w:rPr>
              <w:t xml:space="preserve">14.012 notas de 7 portales, depuradas; asignadas a ruedas con la regla de las 17:00 (lado de noticias y U1)</w:t>
            </w:r>
          </w:p>
        </w:tc>
        <w:tc>
          <w:tcPr>
            <w:tcW w:type="pct" w:w="700"/>
            <w:shd w:fill="FAFCFD" w:val="clear"/>
            <w:tcMar>
              <w:top w:type="dxa" w:w="70"/>
              <w:left w:type="dxa" w:w="120"/>
              <w:bottom w:type="dxa" w:w="70"/>
              <w:right w:type="dxa" w:w="120"/>
            </w:tcMar>
          </w:tcPr>
          <w:p>
            <w:r>
              <w:rPr>
                <w:sz w:val="19"/>
                <w:szCs w:val="19"/>
              </w:rPr>
              <w:t xml:space="preserve">Cumplido</w:t>
            </w:r>
          </w:p>
        </w:tc>
      </w:tr>
      <w:tr>
        <w:trPr>
          <w:cantSplit/>
        </w:trPr>
        <w:tc>
          <w:tcPr>
            <w:tcW w:type="pct" w:w="1900"/>
            <w:shd w:fill="FFFFFF" w:val="clear"/>
            <w:tcMar>
              <w:top w:type="dxa" w:w="70"/>
              <w:left w:type="dxa" w:w="120"/>
              <w:bottom w:type="dxa" w:w="70"/>
              <w:right w:type="dxa" w:w="120"/>
            </w:tcMar>
          </w:tcPr>
          <w:p>
            <w:r>
              <w:rPr>
                <w:sz w:val="19"/>
                <w:szCs w:val="19"/>
              </w:rPr>
              <w:t xml:space="preserve">2. Modelo de sentimiento financiero en español (BETO ajustado)</w:t>
            </w:r>
          </w:p>
        </w:tc>
        <w:tc>
          <w:tcPr>
            <w:tcW w:type="pct" w:w="2400"/>
            <w:shd w:fill="FFFFFF" w:val="clear"/>
            <w:tcMar>
              <w:top w:type="dxa" w:w="70"/>
              <w:left w:type="dxa" w:w="120"/>
              <w:bottom w:type="dxa" w:w="70"/>
              <w:right w:type="dxa" w:w="120"/>
            </w:tcMar>
          </w:tcPr>
          <w:p>
            <w:r>
              <w:rPr>
                <w:sz w:val="19"/>
                <w:szCs w:val="19"/>
              </w:rPr>
              <w:t xml:space="preserve">FinBETO, 4 clases; F1 0,685 en notas no vistas, por encima del modelo de referencia (lado de noticias)</w:t>
            </w:r>
          </w:p>
        </w:tc>
        <w:tc>
          <w:tcPr>
            <w:tcW w:type="pct" w:w="700"/>
            <w:shd w:fill="FFFFFF" w:val="clear"/>
            <w:tcMar>
              <w:top w:type="dxa" w:w="70"/>
              <w:left w:type="dxa" w:w="120"/>
              <w:bottom w:type="dxa" w:w="70"/>
              <w:right w:type="dxa" w:w="120"/>
            </w:tcMar>
          </w:tcPr>
          <w:p>
            <w:r>
              <w:rPr>
                <w:sz w:val="19"/>
                <w:szCs w:val="19"/>
              </w:rPr>
              <w:t xml:space="preserve">Cumplido</w:t>
            </w:r>
          </w:p>
        </w:tc>
      </w:tr>
      <w:tr>
        <w:trPr>
          <w:cantSplit/>
        </w:trPr>
        <w:tc>
          <w:tcPr>
            <w:tcW w:type="pct" w:w="1900"/>
            <w:shd w:fill="FAFCFD" w:val="clear"/>
            <w:tcMar>
              <w:top w:type="dxa" w:w="70"/>
              <w:left w:type="dxa" w:w="120"/>
              <w:bottom w:type="dxa" w:w="70"/>
              <w:right w:type="dxa" w:w="120"/>
            </w:tcMar>
          </w:tcPr>
          <w:p>
            <w:r>
              <w:rPr>
                <w:sz w:val="19"/>
                <w:szCs w:val="19"/>
              </w:rPr>
              <w:t xml:space="preserve">3. Trending topics de X/Twitter como variable complementaria</w:t>
            </w:r>
          </w:p>
        </w:tc>
        <w:tc>
          <w:tcPr>
            <w:tcW w:type="pct" w:w="2400"/>
            <w:shd w:fill="FAFCFD" w:val="clear"/>
            <w:tcMar>
              <w:top w:type="dxa" w:w="70"/>
              <w:left w:type="dxa" w:w="120"/>
              <w:bottom w:type="dxa" w:w="70"/>
              <w:right w:type="dxa" w:w="120"/>
            </w:tcMar>
          </w:tcPr>
          <w:p>
            <w:r>
              <w:rPr>
                <w:sz w:val="19"/>
                <w:szCs w:val="19"/>
              </w:rPr>
              <w:t xml:space="preserve">Los datos no están en ninguna versión del proyecto; se documenta y queda como trabajo futuro</w:t>
            </w:r>
          </w:p>
        </w:tc>
        <w:tc>
          <w:tcPr>
            <w:tcW w:type="pct" w:w="700"/>
            <w:shd w:fill="FAFCFD" w:val="clear"/>
            <w:tcMar>
              <w:top w:type="dxa" w:w="70"/>
              <w:left w:type="dxa" w:w="120"/>
              <w:bottom w:type="dxa" w:w="70"/>
              <w:right w:type="dxa" w:w="120"/>
            </w:tcMar>
          </w:tcPr>
          <w:p>
            <w:r>
              <w:rPr>
                <w:sz w:val="19"/>
                <w:szCs w:val="19"/>
              </w:rPr>
              <w:t xml:space="preserve">No realizado</w:t>
            </w:r>
          </w:p>
        </w:tc>
      </w:tr>
      <w:tr>
        <w:trPr>
          <w:cantSplit/>
        </w:trPr>
        <w:tc>
          <w:tcPr>
            <w:tcW w:type="pct" w:w="1900"/>
            <w:shd w:fill="FFFFFF" w:val="clear"/>
            <w:tcMar>
              <w:top w:type="dxa" w:w="70"/>
              <w:left w:type="dxa" w:w="120"/>
              <w:bottom w:type="dxa" w:w="70"/>
              <w:right w:type="dxa" w:w="120"/>
            </w:tcMar>
          </w:tcPr>
          <w:p>
            <w:r>
              <w:rPr>
                <w:sz w:val="19"/>
                <w:szCs w:val="19"/>
              </w:rPr>
              <w:t xml:space="preserve">4. Variables de shock: volumetría de publicaciones, temperatura del sentimiento y presencia de entidades</w:t>
            </w:r>
          </w:p>
        </w:tc>
        <w:tc>
          <w:tcPr>
            <w:tcW w:type="pct" w:w="2400"/>
            <w:shd w:fill="FFFFFF" w:val="clear"/>
            <w:tcMar>
              <w:top w:type="dxa" w:w="70"/>
              <w:left w:type="dxa" w:w="120"/>
              <w:bottom w:type="dxa" w:w="70"/>
              <w:right w:type="dxa" w:w="120"/>
            </w:tcMar>
          </w:tcPr>
          <w:p>
            <w:r>
              <w:rPr>
                <w:sz w:val="19"/>
                <w:szCs w:val="19"/>
              </w:rPr>
              <w:t xml:space="preserve">Atención anormal (cantidad de notas), tono anormal, ruedas de tono extremo y tono propio de cada empresa con hubo_noticia (U2, U3, U4); el shock de cantidad con la definición del plan, por día de calendario (U7b)</w:t>
            </w:r>
          </w:p>
        </w:tc>
        <w:tc>
          <w:tcPr>
            <w:tcW w:type="pct" w:w="700"/>
            <w:shd w:fill="FFFFFF" w:val="clear"/>
            <w:tcMar>
              <w:top w:type="dxa" w:w="70"/>
              <w:left w:type="dxa" w:w="120"/>
              <w:bottom w:type="dxa" w:w="70"/>
              <w:right w:type="dxa" w:w="120"/>
            </w:tcMar>
          </w:tcPr>
          <w:p>
            <w:r>
              <w:rPr>
                <w:sz w:val="19"/>
                <w:szCs w:val="19"/>
              </w:rPr>
              <w:t xml:space="preserve">Cumplido</w:t>
            </w:r>
          </w:p>
        </w:tc>
      </w:tr>
      <w:tr>
        <w:trPr>
          <w:cantSplit/>
        </w:trPr>
        <w:tc>
          <w:tcPr>
            <w:tcW w:type="pct" w:w="1900"/>
            <w:shd w:fill="FAFCFD" w:val="clear"/>
            <w:tcMar>
              <w:top w:type="dxa" w:w="70"/>
              <w:left w:type="dxa" w:w="120"/>
              <w:bottom w:type="dxa" w:w="70"/>
              <w:right w:type="dxa" w:w="120"/>
            </w:tcMar>
          </w:tcPr>
          <w:p>
            <w:r>
              <w:rPr>
                <w:sz w:val="19"/>
                <w:szCs w:val="19"/>
              </w:rPr>
              <w:t xml:space="preserve">5. Clusters de empresas por sector y sensibilidad al flujo informativo</w:t>
            </w:r>
          </w:p>
        </w:tc>
        <w:tc>
          <w:tcPr>
            <w:tcW w:type="pct" w:w="2400"/>
            <w:shd w:fill="FAFCFD" w:val="clear"/>
            <w:tcMar>
              <w:top w:type="dxa" w:w="70"/>
              <w:left w:type="dxa" w:w="120"/>
              <w:bottom w:type="dxa" w:w="70"/>
              <w:right w:type="dxa" w:w="120"/>
            </w:tcMar>
          </w:tcPr>
          <w:p>
            <w:r>
              <w:rPr>
                <w:sz w:val="19"/>
                <w:szCs w:val="19"/>
              </w:rPr>
              <w:t xml:space="preserve">Clustering de las 47 (grupo de baja liquidez, carpeta 02) y VAR por sector y por empresa (U6)</w:t>
            </w:r>
          </w:p>
        </w:tc>
        <w:tc>
          <w:tcPr>
            <w:tcW w:type="pct" w:w="700"/>
            <w:shd w:fill="FAFCFD" w:val="clear"/>
            <w:tcMar>
              <w:top w:type="dxa" w:w="70"/>
              <w:left w:type="dxa" w:w="120"/>
              <w:bottom w:type="dxa" w:w="70"/>
              <w:right w:type="dxa" w:w="120"/>
            </w:tcMar>
          </w:tcPr>
          <w:p>
            <w:r>
              <w:rPr>
                <w:sz w:val="19"/>
                <w:szCs w:val="19"/>
              </w:rPr>
              <w:t xml:space="preserve">Cumplido</w:t>
            </w:r>
          </w:p>
        </w:tc>
      </w:tr>
      <w:tr>
        <w:trPr>
          <w:cantSplit/>
        </w:trPr>
        <w:tc>
          <w:tcPr>
            <w:tcW w:type="pct" w:w="1900"/>
            <w:shd w:fill="FFFFFF" w:val="clear"/>
            <w:tcMar>
              <w:top w:type="dxa" w:w="70"/>
              <w:left w:type="dxa" w:w="120"/>
              <w:bottom w:type="dxa" w:w="70"/>
              <w:right w:type="dxa" w:w="120"/>
            </w:tcMar>
          </w:tcPr>
          <w:p>
            <w:r>
              <w:rPr>
                <w:sz w:val="19"/>
                <w:szCs w:val="19"/>
              </w:rPr>
              <w:t xml:space="preserve">6. Modelar la relación con desfases temporales</w:t>
            </w:r>
          </w:p>
        </w:tc>
        <w:tc>
          <w:tcPr>
            <w:tcW w:type="pct" w:w="2400"/>
            <w:shd w:fill="FFFFFF" w:val="clear"/>
            <w:tcMar>
              <w:top w:type="dxa" w:w="70"/>
              <w:left w:type="dxa" w:w="120"/>
              <w:bottom w:type="dxa" w:w="70"/>
              <w:right w:type="dxa" w:w="120"/>
            </w:tcMar>
          </w:tcPr>
          <w:p>
            <w:r>
              <w:rPr>
                <w:sz w:val="19"/>
                <w:szCs w:val="19"/>
              </w:rPr>
              <w:t xml:space="preserve">VAR con rezagos elegidos por AIC (U6). El modelo DLM del plan queda como trabajo futuro: el VAR ya mide efectos con rezagos</w:t>
            </w:r>
          </w:p>
        </w:tc>
        <w:tc>
          <w:tcPr>
            <w:tcW w:type="pct" w:w="700"/>
            <w:shd w:fill="FFFFFF" w:val="clear"/>
            <w:tcMar>
              <w:top w:type="dxa" w:w="70"/>
              <w:left w:type="dxa" w:w="120"/>
              <w:bottom w:type="dxa" w:w="70"/>
              <w:right w:type="dxa" w:w="120"/>
            </w:tcMar>
          </w:tcPr>
          <w:p>
            <w:r>
              <w:rPr>
                <w:sz w:val="19"/>
                <w:szCs w:val="19"/>
              </w:rPr>
              <w:t xml:space="preserve">Cumplido (con VAR)</w:t>
            </w:r>
          </w:p>
        </w:tc>
      </w:tr>
    </w:tbl>
    <w:p>
      <w:pPr>
        <w:spacing w:after="160" w:line="300"/>
      </w:pPr>
      <w:r>
        <w:rPr>
          <w:i/>
          <w:iCs/>
          <w:color w:val="5C6B7A"/>
          <w:sz w:val="18"/>
          <w:szCs w:val="18"/>
        </w:rPr>
        <w:t xml:space="preserve">El plan de trabajo original figura con el apellido "Didi"; el correcto es Diddi.</w:t>
      </w:r>
    </w:p>
    <w:p>
      <w:pPr>
        <w:pStyle w:val="Heading1"/>
        <w:keepNext/>
        <w:spacing w:after="160" w:before="360"/>
      </w:pPr>
      <w:r>
        <w:t xml:space="preserve">3. Las decisiones que sostienen los resultados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313"/>
        <w:gridCol w:w="7325"/>
      </w:tblGrid>
      <w:tr>
        <w:trPr>
          <w:tblHeader/>
        </w:trPr>
        <w:tc>
          <w:tcPr>
            <w:tcW w:type="pct" w:w="1200"/>
            <w:shd w:fill="1C3A5C" w:val="clear"/>
            <w:tcMar>
              <w:top w:type="dxa" w:w="80"/>
              <w:left w:type="dxa" w:w="120"/>
              <w:bottom w:type="dxa" w:w="80"/>
              <w:right w:type="dxa" w:w="120"/>
            </w:tcMar>
          </w:tcPr>
          <w:p>
            <w:r>
              <w:rPr>
                <w:b/>
                <w:bCs/>
                <w:color w:val="FFFFFF"/>
                <w:sz w:val="19"/>
                <w:szCs w:val="19"/>
              </w:rPr>
              <w:t xml:space="preserve">Decisión</w:t>
            </w:r>
          </w:p>
        </w:tc>
        <w:tc>
          <w:tcPr>
            <w:tcW w:type="pct" w:w="3800"/>
            <w:shd w:fill="1C3A5C" w:val="clear"/>
            <w:tcMar>
              <w:top w:type="dxa" w:w="80"/>
              <w:left w:type="dxa" w:w="120"/>
              <w:bottom w:type="dxa" w:w="80"/>
              <w:right w:type="dxa" w:w="120"/>
            </w:tcMar>
          </w:tcPr>
          <w:p>
            <w:r>
              <w:rPr>
                <w:b/>
                <w:bCs/>
                <w:color w:val="FFFFFF"/>
                <w:sz w:val="19"/>
                <w:szCs w:val="19"/>
              </w:rPr>
              <w:t xml:space="preserve">Qué se decidió y por qué</w:t>
            </w:r>
          </w:p>
        </w:tc>
      </w:tr>
      <w:tr>
        <w:trPr>
          <w:cantSplit/>
        </w:trPr>
        <w:tc>
          <w:tcPr>
            <w:tcW w:type="pct" w:w="1200"/>
            <w:shd w:fill="FFFFFF" w:val="clear"/>
            <w:tcMar>
              <w:top w:type="dxa" w:w="70"/>
              <w:left w:type="dxa" w:w="120"/>
              <w:bottom w:type="dxa" w:w="70"/>
              <w:right w:type="dxa" w:w="120"/>
            </w:tcMar>
          </w:tcPr>
          <w:p>
            <w:r>
              <w:rPr>
                <w:sz w:val="19"/>
                <w:szCs w:val="19"/>
              </w:rPr>
              <w:t xml:space="preserve">Ventana</w:t>
            </w:r>
          </w:p>
        </w:tc>
        <w:tc>
          <w:tcPr>
            <w:tcW w:type="pct" w:w="3800"/>
            <w:shd w:fill="FFFFFF" w:val="clear"/>
            <w:tcMar>
              <w:top w:type="dxa" w:w="70"/>
              <w:left w:type="dxa" w:w="120"/>
              <w:bottom w:type="dxa" w:w="70"/>
              <w:right w:type="dxa" w:w="120"/>
            </w:tcMar>
          </w:tcPr>
          <w:p>
            <w:r>
              <w:rPr>
                <w:sz w:val="19"/>
                <w:szCs w:val="19"/>
              </w:rPr>
              <w:t xml:space="preserve">244 ruedas, del 05/05/2025 al 30/04/2026: antes de mayo de 2025 casi no hay notas</w:t>
            </w:r>
          </w:p>
        </w:tc>
      </w:tr>
      <w:tr>
        <w:trPr>
          <w:cantSplit/>
        </w:trPr>
        <w:tc>
          <w:tcPr>
            <w:tcW w:type="pct" w:w="1200"/>
            <w:shd w:fill="FAFCFD" w:val="clear"/>
            <w:tcMar>
              <w:top w:type="dxa" w:w="70"/>
              <w:left w:type="dxa" w:w="120"/>
              <w:bottom w:type="dxa" w:w="70"/>
              <w:right w:type="dxa" w:w="120"/>
            </w:tcMar>
          </w:tcPr>
          <w:p>
            <w:r>
              <w:rPr>
                <w:sz w:val="19"/>
                <w:szCs w:val="19"/>
              </w:rPr>
              <w:t xml:space="preserve">Regla de las 17:00</w:t>
            </w:r>
          </w:p>
        </w:tc>
        <w:tc>
          <w:tcPr>
            <w:tcW w:type="pct" w:w="3800"/>
            <w:shd w:fill="FAFCFD" w:val="clear"/>
            <w:tcMar>
              <w:top w:type="dxa" w:w="70"/>
              <w:left w:type="dxa" w:w="120"/>
              <w:bottom w:type="dxa" w:w="70"/>
              <w:right w:type="dxa" w:w="120"/>
            </w:tcMar>
          </w:tcPr>
          <w:p>
            <w:r>
              <w:rPr>
                <w:sz w:val="19"/>
                <w:szCs w:val="19"/>
              </w:rPr>
              <w:t xml:space="preserve">Una nota cuenta para la primera rueda en que el mercado pudo reaccionar a ella (U1)</w:t>
            </w:r>
          </w:p>
        </w:tc>
      </w:tr>
      <w:tr>
        <w:trPr>
          <w:cantSplit/>
        </w:trPr>
        <w:tc>
          <w:tcPr>
            <w:tcW w:type="pct" w:w="1200"/>
            <w:shd w:fill="FFFFFF" w:val="clear"/>
            <w:tcMar>
              <w:top w:type="dxa" w:w="70"/>
              <w:left w:type="dxa" w:w="120"/>
              <w:bottom w:type="dxa" w:w="70"/>
              <w:right w:type="dxa" w:w="120"/>
            </w:tcMar>
          </w:tcPr>
          <w:p>
            <w:r>
              <w:rPr>
                <w:sz w:val="19"/>
                <w:szCs w:val="19"/>
              </w:rPr>
              <w:t xml:space="preserve">Sentimiento congelado</w:t>
            </w:r>
          </w:p>
        </w:tc>
        <w:tc>
          <w:tcPr>
            <w:tcW w:type="pct" w:w="3800"/>
            <w:shd w:fill="FFFFFF" w:val="clear"/>
            <w:tcMar>
              <w:top w:type="dxa" w:w="70"/>
              <w:left w:type="dxa" w:w="120"/>
              <w:bottom w:type="dxa" w:w="70"/>
              <w:right w:type="dxa" w:w="120"/>
            </w:tcMar>
          </w:tcPr>
          <w:p>
            <w:r>
              <w:rPr>
                <w:sz w:val="19"/>
                <w:szCs w:val="19"/>
              </w:rPr>
              <w:t xml:space="preserve">Se usó la clasificación del lado de noticias tal como está, sin reentrenar</w:t>
            </w:r>
          </w:p>
        </w:tc>
      </w:tr>
      <w:tr>
        <w:trPr>
          <w:cantSplit/>
        </w:trPr>
        <w:tc>
          <w:tcPr>
            <w:tcW w:type="pct" w:w="1200"/>
            <w:shd w:fill="FAFCFD" w:val="clear"/>
            <w:tcMar>
              <w:top w:type="dxa" w:w="70"/>
              <w:left w:type="dxa" w:w="120"/>
              <w:bottom w:type="dxa" w:w="70"/>
              <w:right w:type="dxa" w:w="120"/>
            </w:tcMar>
          </w:tcPr>
          <w:p>
            <w:r>
              <w:rPr>
                <w:sz w:val="19"/>
                <w:szCs w:val="19"/>
              </w:rPr>
              <w:t xml:space="preserve">Precio y volumen</w:t>
            </w:r>
          </w:p>
        </w:tc>
        <w:tc>
          <w:tcPr>
            <w:tcW w:type="pct" w:w="3800"/>
            <w:shd w:fill="FAFCFD" w:val="clear"/>
            <w:tcMar>
              <w:top w:type="dxa" w:w="70"/>
              <w:left w:type="dxa" w:w="120"/>
              <w:bottom w:type="dxa" w:w="70"/>
              <w:right w:type="dxa" w:w="120"/>
            </w:tcMar>
          </w:tcPr>
          <w:p>
            <w:r>
              <w:rPr>
                <w:sz w:val="19"/>
                <w:szCs w:val="19"/>
              </w:rPr>
              <w:t xml:space="preserve">Se analizaron los dos, con volumen anormal comparado con las 20 ruedas previas (D2)</w:t>
            </w:r>
          </w:p>
        </w:tc>
      </w:tr>
      <w:tr>
        <w:trPr>
          <w:cantSplit/>
        </w:trPr>
        <w:tc>
          <w:tcPr>
            <w:tcW w:type="pct" w:w="1200"/>
            <w:shd w:fill="FFFFFF" w:val="clear"/>
            <w:tcMar>
              <w:top w:type="dxa" w:w="70"/>
              <w:left w:type="dxa" w:w="120"/>
              <w:bottom w:type="dxa" w:w="70"/>
              <w:right w:type="dxa" w:w="120"/>
            </w:tcMar>
          </w:tcPr>
          <w:p>
            <w:r>
              <w:rPr>
                <w:sz w:val="19"/>
                <w:szCs w:val="19"/>
              </w:rPr>
              <w:t xml:space="preserve">Tono anormal</w:t>
            </w:r>
          </w:p>
        </w:tc>
        <w:tc>
          <w:tcPr>
            <w:tcW w:type="pct" w:w="3800"/>
            <w:shd w:fill="FFFFFF" w:val="clear"/>
            <w:tcMar>
              <w:top w:type="dxa" w:w="70"/>
              <w:left w:type="dxa" w:w="120"/>
              <w:bottom w:type="dxa" w:w="70"/>
              <w:right w:type="dxa" w:w="120"/>
            </w:tcMar>
          </w:tcPr>
          <w:p>
            <w:r>
              <w:rPr>
                <w:sz w:val="19"/>
                <w:szCs w:val="19"/>
              </w:rPr>
              <w:t xml:space="preserve">El tono en nivel dio inconcluso en el test de estacionariedad; el VAR usa el tono comparado con las 20 ruedas previas (U5)</w:t>
            </w:r>
          </w:p>
        </w:tc>
      </w:tr>
      <w:tr>
        <w:trPr>
          <w:cantSplit/>
        </w:trPr>
        <w:tc>
          <w:tcPr>
            <w:tcW w:type="pct" w:w="1200"/>
            <w:shd w:fill="FAFCFD" w:val="clear"/>
            <w:tcMar>
              <w:top w:type="dxa" w:w="70"/>
              <w:left w:type="dxa" w:w="120"/>
              <w:bottom w:type="dxa" w:w="70"/>
              <w:right w:type="dxa" w:w="120"/>
            </w:tcMar>
          </w:tcPr>
          <w:p>
            <w:r>
              <w:rPr>
                <w:sz w:val="19"/>
                <w:szCs w:val="19"/>
              </w:rPr>
              <w:t xml:space="preserve">Tono propio</w:t>
            </w:r>
          </w:p>
        </w:tc>
        <w:tc>
          <w:tcPr>
            <w:tcW w:type="pct" w:w="3800"/>
            <w:shd w:fill="FAFCFD" w:val="clear"/>
            <w:tcMar>
              <w:top w:type="dxa" w:w="70"/>
              <w:left w:type="dxa" w:w="120"/>
              <w:bottom w:type="dxa" w:w="70"/>
              <w:right w:type="dxa" w:w="120"/>
            </w:tcMar>
          </w:tcPr>
          <w:p>
            <w:r>
              <w:rPr>
                <w:sz w:val="19"/>
                <w:szCs w:val="19"/>
              </w:rPr>
              <w:t xml:space="preserve">Cuánto mejor o peor se habla de la empresa que del mercado, ponderado por la cantidad de oraciones; 0 sin noticias (U6)</w:t>
            </w:r>
          </w:p>
        </w:tc>
      </w:tr>
      <w:tr>
        <w:trPr>
          <w:cantSplit/>
        </w:trPr>
        <w:tc>
          <w:tcPr>
            <w:tcW w:type="pct" w:w="1200"/>
            <w:shd w:fill="FFFFFF" w:val="clear"/>
            <w:tcMar>
              <w:top w:type="dxa" w:w="70"/>
              <w:left w:type="dxa" w:w="120"/>
              <w:bottom w:type="dxa" w:w="70"/>
              <w:right w:type="dxa" w:w="120"/>
            </w:tcMar>
          </w:tcPr>
          <w:p>
            <w:r>
              <w:rPr>
                <w:sz w:val="19"/>
                <w:szCs w:val="19"/>
              </w:rPr>
              <w:t xml:space="preserve">Régimen</w:t>
            </w:r>
          </w:p>
        </w:tc>
        <w:tc>
          <w:tcPr>
            <w:tcW w:type="pct" w:w="3800"/>
            <w:shd w:fill="FFFFFF" w:val="clear"/>
            <w:tcMar>
              <w:top w:type="dxa" w:w="70"/>
              <w:left w:type="dxa" w:w="120"/>
              <w:bottom w:type="dxa" w:w="70"/>
              <w:right w:type="dxa" w:w="120"/>
            </w:tcMar>
          </w:tcPr>
          <w:p>
            <w:r>
              <w:rPr>
                <w:sz w:val="19"/>
                <w:szCs w:val="19"/>
              </w:rPr>
              <w:t xml:space="preserve">HMM tal como está; el VAR por régimen compara Calmo y Tenso con una marca de día Tenso, sin cortar la serie</w:t>
            </w:r>
          </w:p>
        </w:tc>
      </w:tr>
      <w:tr>
        <w:trPr>
          <w:cantSplit/>
        </w:trPr>
        <w:tc>
          <w:tcPr>
            <w:tcW w:type="pct" w:w="1200"/>
            <w:shd w:fill="FAFCFD" w:val="clear"/>
            <w:tcMar>
              <w:top w:type="dxa" w:w="70"/>
              <w:left w:type="dxa" w:w="120"/>
              <w:bottom w:type="dxa" w:w="70"/>
              <w:right w:type="dxa" w:w="120"/>
            </w:tcMar>
          </w:tcPr>
          <w:p>
            <w:r>
              <w:rPr>
                <w:sz w:val="19"/>
                <w:szCs w:val="19"/>
              </w:rPr>
              <w:t xml:space="preserve">Ruedas de tono extremo</w:t>
            </w:r>
          </w:p>
        </w:tc>
        <w:tc>
          <w:tcPr>
            <w:tcW w:type="pct" w:w="3800"/>
            <w:shd w:fill="FAFCFD" w:val="clear"/>
            <w:tcMar>
              <w:top w:type="dxa" w:w="70"/>
              <w:left w:type="dxa" w:w="120"/>
              <w:bottom w:type="dxa" w:w="70"/>
              <w:right w:type="dxa" w:w="120"/>
            </w:tcMar>
          </w:tcPr>
          <w:p>
            <w:r>
              <w:rPr>
                <w:sz w:val="19"/>
                <w:szCs w:val="19"/>
              </w:rPr>
              <w:t xml:space="preserve">Regla por muestreo elegida contra el azar; se interpretan como las ruedas más extremas, no como días excepcionales (U2)</w:t>
            </w:r>
          </w:p>
        </w:tc>
      </w:tr>
      <w:tr>
        <w:trPr>
          <w:cantSplit/>
        </w:trPr>
        <w:tc>
          <w:tcPr>
            <w:tcW w:type="pct" w:w="1200"/>
            <w:shd w:fill="FFFFFF" w:val="clear"/>
            <w:tcMar>
              <w:top w:type="dxa" w:w="70"/>
              <w:left w:type="dxa" w:w="120"/>
              <w:bottom w:type="dxa" w:w="70"/>
              <w:right w:type="dxa" w:w="120"/>
            </w:tcMar>
          </w:tcPr>
          <w:p>
            <w:r>
              <w:rPr>
                <w:sz w:val="19"/>
                <w:szCs w:val="19"/>
              </w:rPr>
              <w:t xml:space="preserve">Corrección por pruebas múltiples</w:t>
            </w:r>
          </w:p>
        </w:tc>
        <w:tc>
          <w:tcPr>
            <w:tcW w:type="pct" w:w="3800"/>
            <w:shd w:fill="FFFFFF" w:val="clear"/>
            <w:tcMar>
              <w:top w:type="dxa" w:w="70"/>
              <w:left w:type="dxa" w:w="120"/>
              <w:bottom w:type="dxa" w:w="70"/>
              <w:right w:type="dxa" w:w="120"/>
            </w:tcMar>
          </w:tcPr>
          <w:p>
            <w:r>
              <w:rPr>
                <w:sz w:val="19"/>
                <w:szCs w:val="19"/>
              </w:rPr>
              <w:t xml:space="preserve">Benjamini-Hochberg en todas las familias de pruebas</w:t>
            </w:r>
          </w:p>
        </w:tc>
      </w:tr>
    </w:tbl>
    <w:p>
      <w:pPr>
        <w:pStyle w:val="Heading1"/>
        <w:keepNext/>
        <w:spacing w:after="160" w:before="360"/>
      </w:pPr>
      <w:r>
        <w:t xml:space="preserve">4. Limitaciones</w:t>
      </w:r>
    </w:p>
    <w:p>
      <w:pPr>
        <w:spacing w:after="160" w:line="300"/>
        <w:ind w:left="360" w:hanging="240"/>
      </w:pPr>
      <w:r>
        <w:t xml:space="preserve">•  Un año de datos: un efecto chico de las noticias sobre los precios podría existir y no detectarse.</w:t>
      </w:r>
    </w:p>
    <w:p>
      <w:pPr>
        <w:spacing w:after="160" w:line="300"/>
        <w:ind w:left="360" w:hanging="240"/>
      </w:pPr>
      <w:r>
        <w:t xml:space="preserve">•  Las etiquetas del modelo de sentimiento las generó un modelo (Gemma), sin validación humana.</w:t>
      </w:r>
    </w:p>
    <w:p>
      <w:pPr>
        <w:spacing w:after="160" w:line="300"/>
        <w:ind w:left="360" w:hanging="240"/>
      </w:pPr>
      <w:r>
        <w:t xml:space="preserve">•  Los retornos están en pesos nominales: incluyen inflación y tipo de cambio.</w:t>
      </w:r>
    </w:p>
    <w:p>
      <w:pPr>
        <w:spacing w:after="160" w:line="300"/>
        <w:ind w:left="360" w:hanging="240"/>
      </w:pPr>
      <w:r>
        <w:t xml:space="preserve">•  Con datos diarios no se puede ordenar lo que pasa dentro de una misma rueda; la prueba pre-apertura (U6b) es la aproximación más cercana.</w:t>
      </w:r>
    </w:p>
    <w:p>
      <w:pPr>
        <w:spacing w:after="160" w:line="300"/>
        <w:ind w:left="360" w:hanging="240"/>
      </w:pPr>
      <w:r>
        <w:t xml:space="preserve">•  La hora de publicación es la que informa cada portal; el 13% de las notas tiene horas de relleno, y los resultados se repitieron sin ellas.</w:t>
      </w:r>
    </w:p>
    <w:p>
      <w:pPr>
        <w:pStyle w:val="Heading1"/>
        <w:keepNext/>
        <w:spacing w:after="160" w:before="360"/>
      </w:pPr>
      <w:r>
        <w:t xml:space="preserve">5. Trabajo futuro</w:t>
      </w:r>
    </w:p>
    <w:p>
      <w:pPr>
        <w:spacing w:after="160" w:line="300"/>
        <w:ind w:left="360" w:hanging="240"/>
      </w:pPr>
      <w:r>
        <w:t xml:space="preserve">•  Repetir el análisis en dólares (contado con liquidación).</w:t>
      </w:r>
    </w:p>
    <w:p>
      <w:pPr>
        <w:spacing w:after="160" w:line="300"/>
        <w:ind w:left="360" w:hanging="240"/>
      </w:pPr>
      <w:r>
        <w:t xml:space="preserve">•  Incorporar trending topics de redes sociales y un modelo de rezagos distribuidos (DLM), como preveía el plan.</w:t>
      </w:r>
    </w:p>
    <w:p>
      <w:pPr>
        <w:spacing w:after="160" w:line="300"/>
        <w:ind w:left="360" w:hanging="240"/>
      </w:pPr>
      <w:r>
        <w:t xml:space="preserve">•  Validar con personas una muestra de las etiquetas de sentimiento.</w:t>
      </w:r>
    </w:p>
    <w:p>
      <w:pPr>
        <w:spacing w:after="160" w:line="300"/>
        <w:ind w:left="360" w:hanging="240"/>
      </w:pPr>
      <w:r>
        <w:t xml:space="preserve">•  Usar precios intradiarios para ordenar noticias y precios dentro de la rueda.</w:t>
      </w:r>
    </w:p>
    <w:p>
      <w:pPr>
        <w:pStyle w:val="Heading1"/>
        <w:keepNext/>
        <w:spacing w:after="160" w:before="360"/>
      </w:pPr>
      <w:r>
        <w:t xml:space="preserve">6. Documentos de la tesis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735"/>
        <w:gridCol w:w="5012"/>
        <w:gridCol w:w="2891"/>
      </w:tblGrid>
      <w:tr>
        <w:trPr>
          <w:tblHeader/>
        </w:trPr>
        <w:tc>
          <w:tcPr>
            <w:tcW w:type="pct" w:w="900"/>
            <w:shd w:fill="1C3A5C" w:val="clear"/>
            <w:tcMar>
              <w:top w:type="dxa" w:w="80"/>
              <w:left w:type="dxa" w:w="120"/>
              <w:bottom w:type="dxa" w:w="80"/>
              <w:right w:type="dxa" w:w="120"/>
            </w:tcMar>
          </w:tcPr>
          <w:p>
            <w:r>
              <w:rPr>
                <w:b/>
                <w:bCs/>
                <w:color w:val="FFFFFF"/>
                <w:sz w:val="19"/>
                <w:szCs w:val="19"/>
              </w:rPr>
              <w:t xml:space="preserve">Parte</w:t>
            </w:r>
          </w:p>
        </w:tc>
        <w:tc>
          <w:tcPr>
            <w:tcW w:type="pct" w:w="2600"/>
            <w:shd w:fill="1C3A5C" w:val="clear"/>
            <w:tcMar>
              <w:top w:type="dxa" w:w="80"/>
              <w:left w:type="dxa" w:w="120"/>
              <w:bottom w:type="dxa" w:w="80"/>
              <w:right w:type="dxa" w:w="120"/>
            </w:tcMar>
          </w:tcPr>
          <w:p>
            <w:r>
              <w:rPr>
                <w:b/>
                <w:bCs/>
                <w:color w:val="FFFFFF"/>
                <w:sz w:val="19"/>
                <w:szCs w:val="19"/>
              </w:rPr>
              <w:t xml:space="preserve">Documento (PDF)</w:t>
            </w:r>
          </w:p>
        </w:tc>
        <w:tc>
          <w:tcPr>
            <w:tcW w:type="pct" w:w="1500"/>
            <w:shd w:fill="1C3A5C" w:val="clear"/>
            <w:tcMar>
              <w:top w:type="dxa" w:w="80"/>
              <w:left w:type="dxa" w:w="120"/>
              <w:bottom w:type="dxa" w:w="80"/>
              <w:right w:type="dxa" w:w="120"/>
            </w:tcMar>
          </w:tcPr>
          <w:p>
            <w:r>
              <w:rPr>
                <w:b/>
                <w:bCs/>
                <w:color w:val="FFFFFF"/>
                <w:sz w:val="19"/>
                <w:szCs w:val="19"/>
              </w:rPr>
              <w:t xml:space="preserve">Carpeta</w:t>
            </w:r>
          </w:p>
        </w:tc>
      </w:tr>
      <w:tr>
        <w:trPr>
          <w:cantSplit/>
        </w:trPr>
        <w:tc>
          <w:tcPr>
            <w:tcW w:type="pct" w:w="900"/>
            <w:shd w:fill="FFFFFF" w:val="clear"/>
            <w:tcMar>
              <w:top w:type="dxa" w:w="70"/>
              <w:left w:type="dxa" w:w="120"/>
              <w:bottom w:type="dxa" w:w="70"/>
              <w:right w:type="dxa" w:w="120"/>
            </w:tcMar>
          </w:tcPr>
          <w:p>
            <w:r>
              <w:rPr>
                <w:sz w:val="19"/>
                <w:szCs w:val="19"/>
              </w:rPr>
              <w:t xml:space="preserve">Lado bursátil</w:t>
            </w:r>
          </w:p>
        </w:tc>
        <w:tc>
          <w:tcPr>
            <w:tcW w:type="pct" w:w="2600"/>
            <w:shd w:fill="FFFFFF" w:val="clear"/>
            <w:tcMar>
              <w:top w:type="dxa" w:w="70"/>
              <w:left w:type="dxa" w:w="120"/>
              <w:bottom w:type="dxa" w:w="70"/>
              <w:right w:type="dxa" w:w="120"/>
            </w:tcMar>
          </w:tcPr>
          <w:p>
            <w:r>
              <w:rPr>
                <w:sz w:val="19"/>
                <w:szCs w:val="19"/>
              </w:rPr>
              <w:t xml:space="preserve">Mapa del lado bursátil y documentación de cada carpeta (01 a 06)</w:t>
            </w:r>
          </w:p>
        </w:tc>
        <w:tc>
          <w:tcPr>
            <w:tcW w:type="pct" w:w="1500"/>
            <w:shd w:fill="FFFFFF" w:val="clear"/>
            <w:tcMar>
              <w:top w:type="dxa" w:w="70"/>
              <w:left w:type="dxa" w:w="120"/>
              <w:bottom w:type="dxa" w:w="70"/>
              <w:right w:type="dxa" w:w="120"/>
            </w:tcMar>
          </w:tcPr>
          <w:p>
            <w:r>
              <w:rPr>
                <w:sz w:val="19"/>
                <w:szCs w:val="19"/>
              </w:rPr>
              <w:t xml:space="preserve">Lado Bursatil/00 a 06</w:t>
            </w:r>
          </w:p>
        </w:tc>
      </w:tr>
      <w:tr>
        <w:trPr>
          <w:cantSplit/>
        </w:trPr>
        <w:tc>
          <w:tcPr>
            <w:tcW w:type="pct" w:w="900"/>
            <w:shd w:fill="FAFCFD" w:val="clear"/>
            <w:tcMar>
              <w:top w:type="dxa" w:w="70"/>
              <w:left w:type="dxa" w:w="120"/>
              <w:bottom w:type="dxa" w:w="70"/>
              <w:right w:type="dxa" w:w="120"/>
            </w:tcMar>
          </w:tcPr>
          <w:p>
            <w:r>
              <w:rPr>
                <w:sz w:val="19"/>
                <w:szCs w:val="19"/>
              </w:rPr>
              <w:t xml:space="preserve">Lado de noticias</w:t>
            </w:r>
          </w:p>
        </w:tc>
        <w:tc>
          <w:tcPr>
            <w:tcW w:type="pct" w:w="2600"/>
            <w:shd w:fill="FAFCFD" w:val="clear"/>
            <w:tcMar>
              <w:top w:type="dxa" w:w="70"/>
              <w:left w:type="dxa" w:w="120"/>
              <w:bottom w:type="dxa" w:w="70"/>
              <w:right w:type="dxa" w:w="120"/>
            </w:tcMar>
          </w:tcPr>
          <w:p>
            <w:r>
              <w:rPr>
                <w:sz w:val="19"/>
                <w:szCs w:val="19"/>
              </w:rPr>
              <w:t xml:space="preserve">README y SECCION_TESIS de noticias, sentimiento y NER</w:t>
            </w:r>
          </w:p>
        </w:tc>
        <w:tc>
          <w:tcPr>
            <w:tcW w:type="pct" w:w="1500"/>
            <w:shd w:fill="FAFCFD" w:val="clear"/>
            <w:tcMar>
              <w:top w:type="dxa" w:w="70"/>
              <w:left w:type="dxa" w:w="120"/>
              <w:bottom w:type="dxa" w:w="70"/>
              <w:right w:type="dxa" w:w="120"/>
            </w:tcMar>
          </w:tcPr>
          <w:p>
            <w:r>
              <w:rPr>
                <w:sz w:val="19"/>
                <w:szCs w:val="19"/>
              </w:rPr>
              <w:t xml:space="preserve">Lado Noticias/</w:t>
            </w:r>
          </w:p>
        </w:tc>
      </w:tr>
      <w:tr>
        <w:trPr>
          <w:cantSplit/>
        </w:trPr>
        <w:tc>
          <w:tcPr>
            <w:tcW w:type="pct" w:w="900"/>
            <w:shd w:fill="FFFFFF" w:val="clear"/>
            <w:tcMar>
              <w:top w:type="dxa" w:w="70"/>
              <w:left w:type="dxa" w:w="120"/>
              <w:bottom w:type="dxa" w:w="70"/>
              <w:right w:type="dxa" w:w="120"/>
            </w:tcMar>
          </w:tcPr>
          <w:p>
            <w:r>
              <w:rPr>
                <w:sz w:val="19"/>
                <w:szCs w:val="19"/>
              </w:rPr>
              <w:t xml:space="preserve">Unión</w:t>
            </w:r>
          </w:p>
        </w:tc>
        <w:tc>
          <w:tcPr>
            <w:tcW w:type="pct" w:w="2600"/>
            <w:shd w:fill="FFFFFF" w:val="clear"/>
            <w:tcMar>
              <w:top w:type="dxa" w:w="70"/>
              <w:left w:type="dxa" w:w="120"/>
              <w:bottom w:type="dxa" w:w="70"/>
              <w:right w:type="dxa" w:w="120"/>
            </w:tcMar>
          </w:tcPr>
          <w:p>
            <w:r>
              <w:rPr>
                <w:sz w:val="19"/>
                <w:szCs w:val="19"/>
              </w:rPr>
              <w:t xml:space="preserve">Pipeline de la unión</w:t>
            </w:r>
          </w:p>
        </w:tc>
        <w:tc>
          <w:tcPr>
            <w:tcW w:type="pct" w:w="1500"/>
            <w:shd w:fill="FFFFFF" w:val="clear"/>
            <w:tcMar>
              <w:top w:type="dxa" w:w="70"/>
              <w:left w:type="dxa" w:w="120"/>
              <w:bottom w:type="dxa" w:w="70"/>
              <w:right w:type="dxa" w:w="120"/>
            </w:tcMar>
          </w:tcPr>
          <w:p>
            <w:r>
              <w:rPr>
                <w:sz w:val="19"/>
                <w:szCs w:val="19"/>
              </w:rPr>
              <w:t xml:space="preserve">Unión/00_pipeline_union</w:t>
            </w:r>
          </w:p>
        </w:tc>
      </w:tr>
      <w:tr>
        <w:trPr>
          <w:cantSplit/>
        </w:trPr>
        <w:tc>
          <w:tcPr>
            <w:tcW w:type="pct" w:w="900"/>
            <w:shd w:fill="FAFCFD" w:val="clear"/>
            <w:tcMar>
              <w:top w:type="dxa" w:w="70"/>
              <w:left w:type="dxa" w:w="120"/>
              <w:bottom w:type="dxa" w:w="70"/>
              <w:right w:type="dxa" w:w="120"/>
            </w:tcMar>
          </w:tcPr>
          <w:p>
            <w:r>
              <w:rPr>
                <w:sz w:val="19"/>
                <w:szCs w:val="19"/>
              </w:rPr>
              <w:t xml:space="preserve">Unión</w:t>
            </w:r>
          </w:p>
        </w:tc>
        <w:tc>
          <w:tcPr>
            <w:tcW w:type="pct" w:w="2600"/>
            <w:shd w:fill="FAFCFD" w:val="clear"/>
            <w:tcMar>
              <w:top w:type="dxa" w:w="70"/>
              <w:left w:type="dxa" w:w="120"/>
              <w:bottom w:type="dxa" w:w="70"/>
              <w:right w:type="dxa" w:w="120"/>
            </w:tcMar>
          </w:tcPr>
          <w:p>
            <w:r>
              <w:rPr>
                <w:sz w:val="19"/>
                <w:szCs w:val="19"/>
              </w:rPr>
              <w:t xml:space="preserve">U1 · Cada noticia a su rueda</w:t>
            </w:r>
          </w:p>
        </w:tc>
        <w:tc>
          <w:tcPr>
            <w:tcW w:type="pct" w:w="1500"/>
            <w:shd w:fill="FAFCFD" w:val="clear"/>
            <w:tcMar>
              <w:top w:type="dxa" w:w="70"/>
              <w:left w:type="dxa" w:w="120"/>
              <w:bottom w:type="dxa" w:w="70"/>
              <w:right w:type="dxa" w:w="120"/>
            </w:tcMar>
          </w:tcPr>
          <w:p>
            <w:r>
              <w:rPr>
                <w:sz w:val="19"/>
                <w:szCs w:val="19"/>
              </w:rPr>
              <w:t xml:space="preserve">Unión/01_alineacion_noticias_ruedas</w:t>
            </w:r>
          </w:p>
        </w:tc>
      </w:tr>
      <w:tr>
        <w:trPr>
          <w:cantSplit/>
        </w:trPr>
        <w:tc>
          <w:tcPr>
            <w:tcW w:type="pct" w:w="900"/>
            <w:shd w:fill="FFFFFF" w:val="clear"/>
            <w:tcMar>
              <w:top w:type="dxa" w:w="70"/>
              <w:left w:type="dxa" w:w="120"/>
              <w:bottom w:type="dxa" w:w="70"/>
              <w:right w:type="dxa" w:w="120"/>
            </w:tcMar>
          </w:tcPr>
          <w:p>
            <w:r>
              <w:rPr>
                <w:sz w:val="19"/>
                <w:szCs w:val="19"/>
              </w:rPr>
              <w:t xml:space="preserve">Unión</w:t>
            </w:r>
          </w:p>
        </w:tc>
        <w:tc>
          <w:tcPr>
            <w:tcW w:type="pct" w:w="2600"/>
            <w:shd w:fill="FFFFFF" w:val="clear"/>
            <w:tcMar>
              <w:top w:type="dxa" w:w="70"/>
              <w:left w:type="dxa" w:w="120"/>
              <w:bottom w:type="dxa" w:w="70"/>
              <w:right w:type="dxa" w:w="120"/>
            </w:tcMar>
          </w:tcPr>
          <w:p>
            <w:r>
              <w:rPr>
                <w:sz w:val="19"/>
                <w:szCs w:val="19"/>
              </w:rPr>
              <w:t xml:space="preserve">U2 · Sentimiento de mercado por rueda</w:t>
            </w:r>
          </w:p>
        </w:tc>
        <w:tc>
          <w:tcPr>
            <w:tcW w:type="pct" w:w="1500"/>
            <w:shd w:fill="FFFFFF" w:val="clear"/>
            <w:tcMar>
              <w:top w:type="dxa" w:w="70"/>
              <w:left w:type="dxa" w:w="120"/>
              <w:bottom w:type="dxa" w:w="70"/>
              <w:right w:type="dxa" w:w="120"/>
            </w:tcMar>
          </w:tcPr>
          <w:p>
            <w:r>
              <w:rPr>
                <w:sz w:val="19"/>
                <w:szCs w:val="19"/>
              </w:rPr>
              <w:t xml:space="preserve">Unión/02_sentimiento_por_rueda</w:t>
            </w:r>
          </w:p>
        </w:tc>
      </w:tr>
      <w:tr>
        <w:trPr>
          <w:cantSplit/>
        </w:trPr>
        <w:tc>
          <w:tcPr>
            <w:tcW w:type="pct" w:w="900"/>
            <w:shd w:fill="FAFCFD" w:val="clear"/>
            <w:tcMar>
              <w:top w:type="dxa" w:w="70"/>
              <w:left w:type="dxa" w:w="120"/>
              <w:bottom w:type="dxa" w:w="70"/>
              <w:right w:type="dxa" w:w="120"/>
            </w:tcMar>
          </w:tcPr>
          <w:p>
            <w:r>
              <w:rPr>
                <w:sz w:val="19"/>
                <w:szCs w:val="19"/>
              </w:rPr>
              <w:t xml:space="preserve">Unión</w:t>
            </w:r>
          </w:p>
        </w:tc>
        <w:tc>
          <w:tcPr>
            <w:tcW w:type="pct" w:w="2600"/>
            <w:shd w:fill="FAFCFD" w:val="clear"/>
            <w:tcMar>
              <w:top w:type="dxa" w:w="70"/>
              <w:left w:type="dxa" w:w="120"/>
              <w:bottom w:type="dxa" w:w="70"/>
              <w:right w:type="dxa" w:w="120"/>
            </w:tcMar>
          </w:tcPr>
          <w:p>
            <w:r>
              <w:rPr>
                <w:sz w:val="19"/>
                <w:szCs w:val="19"/>
              </w:rPr>
              <w:t xml:space="preserve">U3 · Sentimiento por empresa por rueda</w:t>
            </w:r>
          </w:p>
        </w:tc>
        <w:tc>
          <w:tcPr>
            <w:tcW w:type="pct" w:w="1500"/>
            <w:shd w:fill="FAFCFD" w:val="clear"/>
            <w:tcMar>
              <w:top w:type="dxa" w:w="70"/>
              <w:left w:type="dxa" w:w="120"/>
              <w:bottom w:type="dxa" w:w="70"/>
              <w:right w:type="dxa" w:w="120"/>
            </w:tcMar>
          </w:tcPr>
          <w:p>
            <w:r>
              <w:rPr>
                <w:sz w:val="19"/>
                <w:szCs w:val="19"/>
              </w:rPr>
              <w:t xml:space="preserve">Unión/03_sentimiento_por_empresa</w:t>
            </w:r>
          </w:p>
        </w:tc>
      </w:tr>
      <w:tr>
        <w:trPr>
          <w:cantSplit/>
        </w:trPr>
        <w:tc>
          <w:tcPr>
            <w:tcW w:type="pct" w:w="900"/>
            <w:shd w:fill="FFFFFF" w:val="clear"/>
            <w:tcMar>
              <w:top w:type="dxa" w:w="70"/>
              <w:left w:type="dxa" w:w="120"/>
              <w:bottom w:type="dxa" w:w="70"/>
              <w:right w:type="dxa" w:w="120"/>
            </w:tcMar>
          </w:tcPr>
          <w:p>
            <w:r>
              <w:rPr>
                <w:sz w:val="19"/>
                <w:szCs w:val="19"/>
              </w:rPr>
              <w:t xml:space="preserve">Unión</w:t>
            </w:r>
          </w:p>
        </w:tc>
        <w:tc>
          <w:tcPr>
            <w:tcW w:type="pct" w:w="2600"/>
            <w:shd w:fill="FFFFFF" w:val="clear"/>
            <w:tcMar>
              <w:top w:type="dxa" w:w="70"/>
              <w:left w:type="dxa" w:w="120"/>
              <w:bottom w:type="dxa" w:w="70"/>
              <w:right w:type="dxa" w:w="120"/>
            </w:tcMar>
          </w:tcPr>
          <w:p>
            <w:r>
              <w:rPr>
                <w:sz w:val="19"/>
                <w:szCs w:val="19"/>
              </w:rPr>
              <w:t xml:space="preserve">U4 · Datasets unificados (con el diccionario de variables)</w:t>
            </w:r>
          </w:p>
        </w:tc>
        <w:tc>
          <w:tcPr>
            <w:tcW w:type="pct" w:w="1500"/>
            <w:shd w:fill="FFFFFF" w:val="clear"/>
            <w:tcMar>
              <w:top w:type="dxa" w:w="70"/>
              <w:left w:type="dxa" w:w="120"/>
              <w:bottom w:type="dxa" w:w="70"/>
              <w:right w:type="dxa" w:w="120"/>
            </w:tcMar>
          </w:tcPr>
          <w:p>
            <w:r>
              <w:rPr>
                <w:sz w:val="19"/>
                <w:szCs w:val="19"/>
              </w:rPr>
              <w:t xml:space="preserve">Unión/04_dataset_unificado</w:t>
            </w:r>
          </w:p>
        </w:tc>
      </w:tr>
      <w:tr>
        <w:trPr>
          <w:cantSplit/>
        </w:trPr>
        <w:tc>
          <w:tcPr>
            <w:tcW w:type="pct" w:w="900"/>
            <w:shd w:fill="FAFCFD" w:val="clear"/>
            <w:tcMar>
              <w:top w:type="dxa" w:w="70"/>
              <w:left w:type="dxa" w:w="120"/>
              <w:bottom w:type="dxa" w:w="70"/>
              <w:right w:type="dxa" w:w="120"/>
            </w:tcMar>
          </w:tcPr>
          <w:p>
            <w:r>
              <w:rPr>
                <w:sz w:val="19"/>
                <w:szCs w:val="19"/>
              </w:rPr>
              <w:t xml:space="preserve">Unión</w:t>
            </w:r>
          </w:p>
        </w:tc>
        <w:tc>
          <w:tcPr>
            <w:tcW w:type="pct" w:w="2600"/>
            <w:shd w:fill="FAFCFD" w:val="clear"/>
            <w:tcMar>
              <w:top w:type="dxa" w:w="70"/>
              <w:left w:type="dxa" w:w="120"/>
              <w:bottom w:type="dxa" w:w="70"/>
              <w:right w:type="dxa" w:w="120"/>
            </w:tcMar>
          </w:tcPr>
          <w:p>
            <w:r>
              <w:rPr>
                <w:sz w:val="19"/>
                <w:szCs w:val="19"/>
              </w:rPr>
              <w:t xml:space="preserve">U5 · Estacionariedad</w:t>
            </w:r>
          </w:p>
        </w:tc>
        <w:tc>
          <w:tcPr>
            <w:tcW w:type="pct" w:w="1500"/>
            <w:shd w:fill="FAFCFD" w:val="clear"/>
            <w:tcMar>
              <w:top w:type="dxa" w:w="70"/>
              <w:left w:type="dxa" w:w="120"/>
              <w:bottom w:type="dxa" w:w="70"/>
              <w:right w:type="dxa" w:w="120"/>
            </w:tcMar>
          </w:tcPr>
          <w:p>
            <w:r>
              <w:rPr>
                <w:sz w:val="19"/>
                <w:szCs w:val="19"/>
              </w:rPr>
              <w:t xml:space="preserve">Unión/05_adf_union</w:t>
            </w:r>
          </w:p>
        </w:tc>
      </w:tr>
      <w:tr>
        <w:trPr>
          <w:cantSplit/>
        </w:trPr>
        <w:tc>
          <w:tcPr>
            <w:tcW w:type="pct" w:w="900"/>
            <w:shd w:fill="FFFFFF" w:val="clear"/>
            <w:tcMar>
              <w:top w:type="dxa" w:w="70"/>
              <w:left w:type="dxa" w:w="120"/>
              <w:bottom w:type="dxa" w:w="70"/>
              <w:right w:type="dxa" w:w="120"/>
            </w:tcMar>
          </w:tcPr>
          <w:p>
            <w:r>
              <w:rPr>
                <w:sz w:val="19"/>
                <w:szCs w:val="19"/>
              </w:rPr>
              <w:t xml:space="preserve">Unión</w:t>
            </w:r>
          </w:p>
        </w:tc>
        <w:tc>
          <w:tcPr>
            <w:tcW w:type="pct" w:w="2600"/>
            <w:shd w:fill="FFFFFF" w:val="clear"/>
            <w:tcMar>
              <w:top w:type="dxa" w:w="70"/>
              <w:left w:type="dxa" w:w="120"/>
              <w:bottom w:type="dxa" w:w="70"/>
              <w:right w:type="dxa" w:w="120"/>
            </w:tcMar>
          </w:tcPr>
          <w:p>
            <w:r>
              <w:rPr>
                <w:sz w:val="19"/>
                <w:szCs w:val="19"/>
              </w:rPr>
              <w:t xml:space="preserve">U6 · VAR, Granger e impulso-respuesta</w:t>
            </w:r>
          </w:p>
        </w:tc>
        <w:tc>
          <w:tcPr>
            <w:tcW w:type="pct" w:w="1500"/>
            <w:shd w:fill="FFFFFF" w:val="clear"/>
            <w:tcMar>
              <w:top w:type="dxa" w:w="70"/>
              <w:left w:type="dxa" w:w="120"/>
              <w:bottom w:type="dxa" w:w="70"/>
              <w:right w:type="dxa" w:w="120"/>
            </w:tcMar>
          </w:tcPr>
          <w:p>
            <w:r>
              <w:rPr>
                <w:sz w:val="19"/>
                <w:szCs w:val="19"/>
              </w:rPr>
              <w:t xml:space="preserve">Unión/06_var_granger</w:t>
            </w:r>
          </w:p>
        </w:tc>
      </w:tr>
      <w:tr>
        <w:trPr>
          <w:cantSplit/>
        </w:trPr>
        <w:tc>
          <w:tcPr>
            <w:tcW w:type="pct" w:w="900"/>
            <w:shd w:fill="FAFCFD" w:val="clear"/>
            <w:tcMar>
              <w:top w:type="dxa" w:w="70"/>
              <w:left w:type="dxa" w:w="120"/>
              <w:bottom w:type="dxa" w:w="70"/>
              <w:right w:type="dxa" w:w="120"/>
            </w:tcMar>
          </w:tcPr>
          <w:p>
            <w:r>
              <w:rPr>
                <w:sz w:val="19"/>
                <w:szCs w:val="19"/>
              </w:rPr>
              <w:t xml:space="preserve">Unión</w:t>
            </w:r>
          </w:p>
        </w:tc>
        <w:tc>
          <w:tcPr>
            <w:tcW w:type="pct" w:w="2600"/>
            <w:shd w:fill="FAFCFD" w:val="clear"/>
            <w:tcMar>
              <w:top w:type="dxa" w:w="70"/>
              <w:left w:type="dxa" w:w="120"/>
              <w:bottom w:type="dxa" w:w="70"/>
              <w:right w:type="dxa" w:w="120"/>
            </w:tcMar>
          </w:tcPr>
          <w:p>
            <w:r>
              <w:rPr>
                <w:sz w:val="19"/>
                <w:szCs w:val="19"/>
              </w:rPr>
              <w:t xml:space="preserve">U6b · Noticias publicadas con el mercado cerrado</w:t>
            </w:r>
          </w:p>
        </w:tc>
        <w:tc>
          <w:tcPr>
            <w:tcW w:type="pct" w:w="1500"/>
            <w:shd w:fill="FAFCFD" w:val="clear"/>
            <w:tcMar>
              <w:top w:type="dxa" w:w="70"/>
              <w:left w:type="dxa" w:w="120"/>
              <w:bottom w:type="dxa" w:w="70"/>
              <w:right w:type="dxa" w:w="120"/>
            </w:tcMar>
          </w:tcPr>
          <w:p>
            <w:r>
              <w:rPr>
                <w:sz w:val="19"/>
                <w:szCs w:val="19"/>
              </w:rPr>
              <w:t xml:space="preserve">Unión/06b_noticias_preapertura</w:t>
            </w:r>
          </w:p>
        </w:tc>
      </w:tr>
      <w:tr>
        <w:trPr>
          <w:cantSplit/>
        </w:trPr>
        <w:tc>
          <w:tcPr>
            <w:tcW w:type="pct" w:w="900"/>
            <w:shd w:fill="FFFFFF" w:val="clear"/>
            <w:tcMar>
              <w:top w:type="dxa" w:w="70"/>
              <w:left w:type="dxa" w:w="120"/>
              <w:bottom w:type="dxa" w:w="70"/>
              <w:right w:type="dxa" w:w="120"/>
            </w:tcMar>
          </w:tcPr>
          <w:p>
            <w:r>
              <w:rPr>
                <w:sz w:val="19"/>
                <w:szCs w:val="19"/>
              </w:rPr>
              <w:t xml:space="preserve">Unión</w:t>
            </w:r>
          </w:p>
        </w:tc>
        <w:tc>
          <w:tcPr>
            <w:tcW w:type="pct" w:w="2600"/>
            <w:shd w:fill="FFFFFF" w:val="clear"/>
            <w:tcMar>
              <w:top w:type="dxa" w:w="70"/>
              <w:left w:type="dxa" w:w="120"/>
              <w:bottom w:type="dxa" w:w="70"/>
              <w:right w:type="dxa" w:w="120"/>
            </w:tcMar>
          </w:tcPr>
          <w:p>
            <w:r>
              <w:rPr>
                <w:sz w:val="19"/>
                <w:szCs w:val="19"/>
              </w:rPr>
              <w:t xml:space="preserve">U7 · Event study</w:t>
            </w:r>
          </w:p>
        </w:tc>
        <w:tc>
          <w:tcPr>
            <w:tcW w:type="pct" w:w="1500"/>
            <w:shd w:fill="FFFFFF" w:val="clear"/>
            <w:tcMar>
              <w:top w:type="dxa" w:w="70"/>
              <w:left w:type="dxa" w:w="120"/>
              <w:bottom w:type="dxa" w:w="70"/>
              <w:right w:type="dxa" w:w="120"/>
            </w:tcMar>
          </w:tcPr>
          <w:p>
            <w:r>
              <w:rPr>
                <w:sz w:val="19"/>
                <w:szCs w:val="19"/>
              </w:rPr>
              <w:t xml:space="preserve">Unión/07_event_study</w:t>
            </w:r>
          </w:p>
        </w:tc>
      </w:tr>
      <w:tr>
        <w:trPr>
          <w:cantSplit/>
        </w:trPr>
        <w:tc>
          <w:tcPr>
            <w:tcW w:type="pct" w:w="900"/>
            <w:shd w:fill="FAFCFD" w:val="clear"/>
            <w:tcMar>
              <w:top w:type="dxa" w:w="70"/>
              <w:left w:type="dxa" w:w="120"/>
              <w:bottom w:type="dxa" w:w="70"/>
              <w:right w:type="dxa" w:w="120"/>
            </w:tcMar>
          </w:tcPr>
          <w:p>
            <w:r>
              <w:rPr>
                <w:sz w:val="19"/>
                <w:szCs w:val="19"/>
              </w:rPr>
              <w:t xml:space="preserve">Unión</w:t>
            </w:r>
          </w:p>
        </w:tc>
        <w:tc>
          <w:tcPr>
            <w:tcW w:type="pct" w:w="2600"/>
            <w:shd w:fill="FAFCFD" w:val="clear"/>
            <w:tcMar>
              <w:top w:type="dxa" w:w="70"/>
              <w:left w:type="dxa" w:w="120"/>
              <w:bottom w:type="dxa" w:w="70"/>
              <w:right w:type="dxa" w:w="120"/>
            </w:tcMar>
          </w:tcPr>
          <w:p>
            <w:r>
              <w:rPr>
                <w:sz w:val="19"/>
                <w:szCs w:val="19"/>
              </w:rPr>
              <w:t xml:space="preserve">U7b · Shock de cantidad de noticias (definición del plan)</w:t>
            </w:r>
          </w:p>
        </w:tc>
        <w:tc>
          <w:tcPr>
            <w:tcW w:type="pct" w:w="1500"/>
            <w:shd w:fill="FAFCFD" w:val="clear"/>
            <w:tcMar>
              <w:top w:type="dxa" w:w="70"/>
              <w:left w:type="dxa" w:w="120"/>
              <w:bottom w:type="dxa" w:w="70"/>
              <w:right w:type="dxa" w:w="120"/>
            </w:tcMar>
          </w:tcPr>
          <w:p>
            <w:r>
              <w:rPr>
                <w:sz w:val="19"/>
                <w:szCs w:val="19"/>
              </w:rPr>
              <w:t xml:space="preserve">Unión/07b_shock_volumen_noticias</w:t>
            </w:r>
          </w:p>
        </w:tc>
      </w:tr>
      <w:tr>
        <w:trPr>
          <w:cantSplit/>
        </w:trPr>
        <w:tc>
          <w:tcPr>
            <w:tcW w:type="pct" w:w="900"/>
            <w:shd w:fill="FFFFFF" w:val="clear"/>
            <w:tcMar>
              <w:top w:type="dxa" w:w="70"/>
              <w:left w:type="dxa" w:w="120"/>
              <w:bottom w:type="dxa" w:w="70"/>
              <w:right w:type="dxa" w:w="120"/>
            </w:tcMar>
          </w:tcPr>
          <w:p>
            <w:r>
              <w:rPr>
                <w:sz w:val="19"/>
                <w:szCs w:val="19"/>
              </w:rPr>
              <w:t xml:space="preserve">Unión</w:t>
            </w:r>
          </w:p>
        </w:tc>
        <w:tc>
          <w:tcPr>
            <w:tcW w:type="pct" w:w="2600"/>
            <w:shd w:fill="FFFFFF" w:val="clear"/>
            <w:tcMar>
              <w:top w:type="dxa" w:w="70"/>
              <w:left w:type="dxa" w:w="120"/>
              <w:bottom w:type="dxa" w:w="70"/>
              <w:right w:type="dxa" w:w="120"/>
            </w:tcMar>
          </w:tcPr>
          <w:p>
            <w:r>
              <w:rPr>
                <w:sz w:val="19"/>
                <w:szCs w:val="19"/>
              </w:rPr>
              <w:t xml:space="preserve">U8 · Robustez</w:t>
            </w:r>
          </w:p>
        </w:tc>
        <w:tc>
          <w:tcPr>
            <w:tcW w:type="pct" w:w="1500"/>
            <w:shd w:fill="FFFFFF" w:val="clear"/>
            <w:tcMar>
              <w:top w:type="dxa" w:w="70"/>
              <w:left w:type="dxa" w:w="120"/>
              <w:bottom w:type="dxa" w:w="70"/>
              <w:right w:type="dxa" w:w="120"/>
            </w:tcMar>
          </w:tcPr>
          <w:p>
            <w:r>
              <w:rPr>
                <w:sz w:val="19"/>
                <w:szCs w:val="19"/>
              </w:rPr>
              <w:t xml:space="preserve">Unión/08_robustez</w:t>
            </w:r>
          </w:p>
        </w:tc>
      </w:tr>
      <w:tr>
        <w:trPr>
          <w:cantSplit/>
        </w:trPr>
        <w:tc>
          <w:tcPr>
            <w:tcW w:type="pct" w:w="900"/>
            <w:shd w:fill="FAFCFD" w:val="clear"/>
            <w:tcMar>
              <w:top w:type="dxa" w:w="70"/>
              <w:left w:type="dxa" w:w="120"/>
              <w:bottom w:type="dxa" w:w="70"/>
              <w:right w:type="dxa" w:w="120"/>
            </w:tcMar>
          </w:tcPr>
          <w:p>
            <w:r>
              <w:rPr>
                <w:sz w:val="19"/>
                <w:szCs w:val="19"/>
              </w:rPr>
              <w:t xml:space="preserve">Unión</w:t>
            </w:r>
          </w:p>
        </w:tc>
        <w:tc>
          <w:tcPr>
            <w:tcW w:type="pct" w:w="2600"/>
            <w:shd w:fill="FAFCFD" w:val="clear"/>
            <w:tcMar>
              <w:top w:type="dxa" w:w="70"/>
              <w:left w:type="dxa" w:w="120"/>
              <w:bottom w:type="dxa" w:w="70"/>
              <w:right w:type="dxa" w:w="120"/>
            </w:tcMar>
          </w:tcPr>
          <w:p>
            <w:r>
              <w:rPr>
                <w:sz w:val="19"/>
                <w:szCs w:val="19"/>
              </w:rPr>
              <w:t xml:space="preserve">Este documento, el mapa de la tesis y el plan de trabajo actualizado</w:t>
            </w:r>
          </w:p>
        </w:tc>
        <w:tc>
          <w:tcPr>
            <w:tcW w:type="pct" w:w="1500"/>
            <w:shd w:fill="FAFCFD" w:val="clear"/>
            <w:tcMar>
              <w:top w:type="dxa" w:w="70"/>
              <w:left w:type="dxa" w:w="120"/>
              <w:bottom w:type="dxa" w:w="70"/>
              <w:right w:type="dxa" w:w="120"/>
            </w:tcMar>
          </w:tcPr>
          <w:p>
            <w:r>
              <w:rPr>
                <w:sz w:val="19"/>
                <w:szCs w:val="19"/>
              </w:rPr>
              <w:t xml:space="preserve">Unión/09_entrega_final</w:t>
            </w:r>
          </w:p>
        </w:tc>
      </w:tr>
      <w:tr>
        <w:trPr>
          <w:cantSplit/>
        </w:trPr>
        <w:tc>
          <w:tcPr>
            <w:tcW w:type="pct" w:w="900"/>
            <w:shd w:fill="FFFFFF" w:val="clear"/>
            <w:tcMar>
              <w:top w:type="dxa" w:w="70"/>
              <w:left w:type="dxa" w:w="120"/>
              <w:bottom w:type="dxa" w:w="70"/>
              <w:right w:type="dxa" w:w="120"/>
            </w:tcMar>
          </w:tcPr>
          <w:p>
            <w:r>
              <w:rPr>
                <w:sz w:val="19"/>
                <w:szCs w:val="19"/>
              </w:rPr>
              <w:t xml:space="preserve">Bibliografía</w:t>
            </w:r>
          </w:p>
        </w:tc>
        <w:tc>
          <w:tcPr>
            <w:tcW w:type="pct" w:w="2600"/>
            <w:shd w:fill="FFFFFF" w:val="clear"/>
            <w:tcMar>
              <w:top w:type="dxa" w:w="70"/>
              <w:left w:type="dxa" w:w="120"/>
              <w:bottom w:type="dxa" w:w="70"/>
              <w:right w:type="dxa" w:w="120"/>
            </w:tcMar>
          </w:tcPr>
          <w:p>
            <w:r>
              <w:rPr>
                <w:sz w:val="19"/>
                <w:szCs w:val="19"/>
              </w:rPr>
              <w:t xml:space="preserve">Papers de cada prueba de la unión, con sus referencias</w:t>
            </w:r>
          </w:p>
        </w:tc>
        <w:tc>
          <w:tcPr>
            <w:tcW w:type="pct" w:w="1500"/>
            <w:shd w:fill="FFFFFF" w:val="clear"/>
            <w:tcMar>
              <w:top w:type="dxa" w:w="70"/>
              <w:left w:type="dxa" w:w="120"/>
              <w:bottom w:type="dxa" w:w="70"/>
              <w:right w:type="dxa" w:w="120"/>
            </w:tcMar>
          </w:tcPr>
          <w:p>
            <w:r>
              <w:rPr>
                <w:sz w:val="19"/>
                <w:szCs w:val="19"/>
              </w:rPr>
              <w:t xml:space="preserve">Unión/10_papers_union</w:t>
            </w:r>
          </w:p>
        </w:tc>
      </w:tr>
      <w:tr>
        <w:trPr>
          <w:cantSplit/>
        </w:trPr>
        <w:tc>
          <w:tcPr>
            <w:tcW w:type="pct" w:w="900"/>
            <w:shd w:fill="FAFCFD" w:val="clear"/>
            <w:tcMar>
              <w:top w:type="dxa" w:w="70"/>
              <w:left w:type="dxa" w:w="120"/>
              <w:bottom w:type="dxa" w:w="70"/>
              <w:right w:type="dxa" w:w="120"/>
            </w:tcMar>
          </w:tcPr>
          <w:p>
            <w:r>
              <w:rPr>
                <w:sz w:val="19"/>
                <w:szCs w:val="19"/>
              </w:rPr>
              <w:t xml:space="preserve">Bibliografía</w:t>
            </w:r>
          </w:p>
        </w:tc>
        <w:tc>
          <w:tcPr>
            <w:tcW w:type="pct" w:w="2600"/>
            <w:shd w:fill="FAFCFD" w:val="clear"/>
            <w:tcMar>
              <w:top w:type="dxa" w:w="70"/>
              <w:left w:type="dxa" w:w="120"/>
              <w:bottom w:type="dxa" w:w="70"/>
              <w:right w:type="dxa" w:w="120"/>
            </w:tcMar>
          </w:tcPr>
          <w:p>
            <w:r>
              <w:rPr>
                <w:sz w:val="19"/>
                <w:szCs w:val="19"/>
              </w:rPr>
              <w:t xml:space="preserve">Papers del lado de noticias (corpus, sentimiento y NER), con sus referencias</w:t>
            </w:r>
          </w:p>
        </w:tc>
        <w:tc>
          <w:tcPr>
            <w:tcW w:type="pct" w:w="1500"/>
            <w:shd w:fill="FAFCFD" w:val="clear"/>
            <w:tcMar>
              <w:top w:type="dxa" w:w="70"/>
              <w:left w:type="dxa" w:w="120"/>
              <w:bottom w:type="dxa" w:w="70"/>
              <w:right w:type="dxa" w:w="120"/>
            </w:tcMar>
          </w:tcPr>
          <w:p>
            <w:r>
              <w:rPr>
                <w:sz w:val="19"/>
                <w:szCs w:val="19"/>
              </w:rPr>
              <w:t xml:space="preserve">Unión/11_papers_lado_noticias</w:t>
            </w:r>
          </w:p>
        </w:tc>
      </w:tr>
    </w:tbl>
    <w:p>
      <w:pPr>
        <w:spacing w:after="160" w:line="300"/>
      </w:pPr>
      <w:r>
        <w:rPr>
          <w:b/>
          <w:bCs/>
        </w:rPr>
        <w:t xml:space="preserve">Reproducibilidad. </w:t>
      </w:r>
      <w:r>
        <w:t xml:space="preserve">Toda la unión se rehace con un solo comando, </w:t>
      </w:r>
      <w:r>
        <w:rPr>
          <w:rFonts w:ascii="Consolas" w:cs="Consolas" w:eastAsia="Consolas" w:hAnsi="Consolas"/>
          <w:color w:val="1C3A5C"/>
          <w:sz w:val="19"/>
          <w:szCs w:val="19"/>
        </w:rPr>
        <w:t xml:space="preserve">python correr_todo.py</w:t>
      </w:r>
      <w:r>
        <w:t xml:space="preserve"> desde 09_entrega_final: corre los pasos en orden, 64 de 64 archivos de resultados salen idénticos y 66 de 66 controles automáticos pasan.</w:t>
      </w:r>
    </w:p>
    <w:p>
      <w:pPr>
        <w:pStyle w:val="Heading1"/>
        <w:keepNext/>
        <w:spacing w:after="160" w:before="360"/>
      </w:pPr>
      <w:r>
        <w:t xml:space="preserve">7. Referencias metodológicas</w:t>
      </w:r>
    </w:p>
    <w:p>
      <w:pPr>
        <w:spacing w:after="160" w:line="300"/>
        <w:ind w:left="360" w:hanging="360"/>
      </w:pPr>
      <w:r>
        <w:t xml:space="preserve">Benjamini, Y. y Hochberg, Y. (1995). Controlling the false discovery rate: a practical and powerful approach to multiple testing. Journal of the Royal Statistical Society, Series B, 57(1), 289–300.</w:t>
      </w:r>
    </w:p>
    <w:p>
      <w:pPr>
        <w:spacing w:after="160" w:line="300"/>
        <w:ind w:left="360" w:hanging="360"/>
      </w:pPr>
      <w:r>
        <w:t xml:space="preserve">Brown, S. J. y Warner, J. B. (1985). Using daily stock returns: the case of event studies. Journal of Financial Economics, 14(1), 3–31.</w:t>
      </w:r>
    </w:p>
    <w:p>
      <w:pPr>
        <w:spacing w:after="160" w:line="300"/>
        <w:ind w:left="360" w:hanging="360"/>
      </w:pPr>
      <w:r>
        <w:t xml:space="preserve">Da, Z., Engelberg, J. y Gao, P. (2011). In search of attention. The Journal of Finance, 66(5), 1461–1499.</w:t>
      </w:r>
    </w:p>
    <w:p>
      <w:pPr>
        <w:spacing w:after="160" w:line="300"/>
        <w:ind w:left="360" w:hanging="360"/>
      </w:pPr>
      <w:r>
        <w:t xml:space="preserve">Dougal, C., Engelberg, J., García, D. y Parsons, C. A. (2012). Journalists and the stock market. The Review of Financial Studies, 25(3), 639–679.</w:t>
      </w:r>
    </w:p>
    <w:p>
      <w:pPr>
        <w:spacing w:after="160" w:line="300"/>
        <w:ind w:left="360" w:hanging="360"/>
      </w:pPr>
      <w:r>
        <w:t xml:space="preserve">Engelberg, J. E. y Parsons, C. A. (2011). The causal impact of media in financial markets. The Journal of Finance, 66(1), 67–97.</w:t>
      </w:r>
    </w:p>
    <w:p>
      <w:pPr>
        <w:spacing w:after="160" w:line="300"/>
        <w:ind w:left="360" w:hanging="360"/>
      </w:pPr>
      <w:r>
        <w:t xml:space="preserve">Fang, L. y Peress, J. (2009). Media coverage and the cross-section of stock returns. The Journal of Finance, 64(5), 2023–2052.</w:t>
      </w:r>
    </w:p>
    <w:p>
      <w:pPr>
        <w:spacing w:after="160" w:line="300"/>
        <w:ind w:left="360" w:hanging="360"/>
      </w:pPr>
      <w:r>
        <w:t xml:space="preserve">Granger, C. W. J. (1969). Investigating causal relations by econometric models and cross-spectral methods. Econometrica, 37(3), 424–438.</w:t>
      </w:r>
    </w:p>
    <w:p>
      <w:pPr>
        <w:spacing w:after="160" w:line="300"/>
        <w:ind w:left="360" w:hanging="360"/>
      </w:pPr>
      <w:r>
        <w:t xml:space="preserve">Kwiatkowski, D., Phillips, P. C. B., Schmidt, P. y Shin, Y. (1992). Testing the null hypothesis of stationarity against the alternative of a unit root. Journal of Econometrics, 54(1–3), 159–178.</w:t>
      </w:r>
    </w:p>
    <w:p>
      <w:pPr>
        <w:spacing w:after="160" w:line="300"/>
        <w:ind w:left="360" w:hanging="360"/>
      </w:pPr>
      <w:r>
        <w:t xml:space="preserve">Lütkepohl, H. (2005). New Introduction to Multiple Time Series Analysis. Springer.</w:t>
      </w:r>
    </w:p>
    <w:p>
      <w:pPr>
        <w:spacing w:after="160" w:line="300"/>
        <w:ind w:left="360" w:hanging="360"/>
      </w:pPr>
      <w:r>
        <w:t xml:space="preserve">MacKinlay, A. C. (1997). Event studies in economics and finance. Journal of Economic Literature, 35(1), 13–39.</w:t>
      </w:r>
    </w:p>
    <w:p>
      <w:pPr>
        <w:spacing w:after="160" w:line="300"/>
        <w:ind w:left="360" w:hanging="360"/>
      </w:pPr>
      <w:r>
        <w:t xml:space="preserve">Rabiner, L. R. (1989). A tutorial on hidden Markov models and selected applications in speech recognition. Proceedings of the IEEE, 77(2), 257–286.</w:t>
      </w:r>
    </w:p>
    <w:p>
      <w:pPr>
        <w:spacing w:after="160" w:line="300"/>
        <w:ind w:left="360" w:hanging="360"/>
      </w:pPr>
      <w:r>
        <w:t xml:space="preserve">Shiffler, R. E. (1988). Maximum Z scores and outliers. The American Statistician, 42(1), 79–80.</w:t>
      </w:r>
    </w:p>
    <w:p>
      <w:pPr>
        <w:spacing w:after="160" w:line="300"/>
        <w:ind w:left="360" w:hanging="360"/>
      </w:pPr>
      <w:r>
        <w:t xml:space="preserve">Sims, C. A. (1980). Macroeconomics and reality. Econometrica, 48(1), 1–48.</w:t>
      </w:r>
    </w:p>
    <w:p>
      <w:pPr>
        <w:spacing w:after="160" w:line="300"/>
        <w:ind w:left="360" w:hanging="360"/>
      </w:pPr>
      <w:r>
        <w:t xml:space="preserve">Tetlock, P. C. (2007). Giving content to investor sentiment: the role of media in the stock market. The Journal of Finance, 62(3), 1139–1168.</w:t>
      </w:r>
    </w:p>
    <w:p>
      <w:pPr>
        <w:spacing w:after="160" w:line="300"/>
        <w:ind w:left="360" w:hanging="360"/>
      </w:pPr>
      <w:r>
        <w:t xml:space="preserve">Yang, N., Fernández-Pérez, A. e Indriawan, I. (2024). Spillover between investor sentiment and volatility: the role of social media. International Review of Financial Analysis, 96, 103643.</w:t>
      </w:r>
    </w:p>
    <w:p>
      <w:pPr>
        <w:spacing w:after="160" w:line="300"/>
      </w:pPr>
      <w:r>
        <w:rPr>
          <w:i/>
          <w:iCs/>
          <w:color w:val="5C6B7A"/>
          <w:sz w:val="18"/>
          <w:szCs w:val="18"/>
        </w:rPr>
        <w:t xml:space="preserve">Citadas, no descargadas. Rabiner (1989) y Yang et al. (2024) vienen del plan de trabajo: el primero respalda el HMM de regímenes y el segundo, el uso de redes sociales que queda como trabajo futuro. La bibliografía completa está en Lado Bursatil/*/papers, Unión/10_papers_union y Unión/11_papers_lado_noticias, cada una con su referencias_papers.md y su .bib.</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Entrega final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64cd199b08df27705adfc8bc8a837fccb0e88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2026-10-24T21:48:36.177Z</dcterms:created>
  <dcterms:modified xsi:type="dcterms:W3CDTF">2026-10-24T21:48:36.178Z</dcterms:modified>
</cp:coreProperties>
</file>

<file path=docProps/custom.xml><?xml version="1.0" encoding="utf-8"?>
<Properties xmlns="http://schemas.openxmlformats.org/officeDocument/2006/custom-properties" xmlns:vt="http://schemas.openxmlformats.org/officeDocument/2006/docPropsVTypes"/>
</file>