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mbria" w:cs="Cambria" w:eastAsia="Cambria" w:hAnsi="Cambria"/>
          <w:b/>
          <w:bCs/>
          <w:color w:val="12263A"/>
          <w:sz w:val="44"/>
          <w:szCs w:val="44"/>
        </w:rPr>
        <w:t xml:space="preserve">Papers relacionados con la unión</w:t>
      </w:r>
    </w:p>
    <w:p>
      <w:pPr>
        <w:spacing w:after="200"/>
      </w:pPr>
      <w:r>
        <w:rPr>
          <w:rFonts w:ascii="Cambria" w:cs="Cambria" w:eastAsia="Cambria" w:hAnsi="Cambria"/>
          <w:i/>
          <w:iCs/>
          <w:color w:val="1C3A5C"/>
          <w:sz w:val="24"/>
          <w:szCs w:val="24"/>
        </w:rPr>
        <w:t xml:space="preserve">Qué trabajos respaldan cada prueba y qué encontraron</w:t>
      </w:r>
    </w:p>
    <w:p>
      <w:pPr>
        <w:pBdr>
          <w:bottom w:val="single" w:color="D9E0E7" w:sz="4" w:space="8"/>
        </w:pBdr>
        <w:spacing w:after="200"/>
      </w:pPr>
      <w:r>
        <w:rPr>
          <w:color w:val="5C6B7A"/>
          <w:sz w:val="19"/>
          <w:szCs w:val="19"/>
        </w:rPr>
        <w:t xml:space="preserve">Tesina — Impacto de shocks informativos en acciones argentinas (BYMA / S&amp;P Merval). Documento de la unión: lee el lado bursátil y el lado de noticias sin modificarlos.</w:t>
      </w:r>
    </w:p>
    <w:p>
      <w:pPr>
        <w:spacing w:after="160" w:line="300"/>
      </w:pPr>
      <w:r>
        <w:rPr>
          <w:b/>
          <w:bCs/>
        </w:rPr>
        <w:t xml:space="preserve">Ubicación.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D:\2.Tesina\tesis version 3.0\Unión\10_papers_union\</w:t>
      </w:r>
      <w:r>
        <w:t xml:space="preserve"> (29 PDF). Este documento se genera desde referencias_papers.md.</w:t>
      </w:r>
    </w:p>
    <w:p>
      <w:pPr>
        <w:spacing w:before="120"/>
      </w:pPr>
      <w:r>
        <w:rPr>
          <w:b w:val="false"/>
          <w:bCs w:val="false"/>
          <w:i w:val="false"/>
          <w:iCs w:val="false"/>
        </w:rPr>
        <w:t xml:space="preserve">Esta carpeta junta trabajos de otros autores que hicieron pruebas parecidas a las de la unión (U1 a U8). Sirven para dos cosas: citar de dónde sale cada método y comparar nuestros resultados con lo que encontraron otros.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Búsqueda:</w:t>
      </w:r>
      <w:r>
        <w:rPr>
          <w:b w:val="false"/>
          <w:bCs w:val="false"/>
          <w:i w:val="false"/>
          <w:iCs w:val="false"/>
        </w:rPr>
        <w:t xml:space="preserve"> alphaXiv (arXiv) y web, en español y en inglés.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Nombre de cada archivo:</w:t>
      </w:r>
      <w:r>
        <w:rPr>
          <w:b w:val="false"/>
          <w:bCs w:val="false"/>
          <w:i w:val="false"/>
          <w:iCs w:val="false"/>
        </w:rPr>
        <w:t xml:space="preserve"> empieza con el paso al que corresponde. Por ejemplo,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U6b_...</w:t>
      </w:r>
      <w:r>
        <w:rPr>
          <w:b w:val="false"/>
          <w:bCs w:val="false"/>
          <w:i w:val="false"/>
          <w:iCs w:val="false"/>
        </w:rPr>
        <w:t xml:space="preserve"> es un paper que respalda la prueba U6b. Los que empiezan con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00_marco</w:t>
      </w:r>
      <w:r>
        <w:rPr>
          <w:b w:val="false"/>
          <w:bCs w:val="false"/>
          <w:i w:val="false"/>
          <w:iCs w:val="false"/>
        </w:rPr>
        <w:t xml:space="preserve"> sirven para toda la tesis.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hay:</w:t>
      </w:r>
      <w:r>
        <w:rPr>
          <w:b w:val="false"/>
          <w:bCs w:val="false"/>
          <w:i w:val="false"/>
          <w:iCs w:val="false"/>
        </w:rPr>
        <w:t xml:space="preserve"> 29 PDF descargados (sección 1) y 13 clásicos que se citan pero no se descargaron, porque no tienen una copia gratuita oficial (sección 2).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Para citar:</w:t>
      </w:r>
      <w:r>
        <w:rPr>
          <w:b w:val="false"/>
          <w:bCs w:val="false"/>
          <w:i w:val="false"/>
          <w:iCs w:val="false"/>
        </w:rPr>
        <w:t xml:space="preserve"> las citas en formato BibTeX están en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referencias_papers.bib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120"/>
      </w:pPr>
      <w:r>
        <w:rPr>
          <w:b w:val="false"/>
          <w:bCs w:val="false"/>
          <w:i w:val="false"/>
          <w:iCs w:val="false"/>
        </w:rPr>
        <w:t xml:space="preserve">Los resúmenes salen del abstract y de la primera página de cada paper. Antes de citar un número puntual, conviene confirmarlo en el PDF.</w:t>
      </w:r>
    </w:p>
    <w:p>
      <w:pPr>
        <w:pStyle w:val="Heading1"/>
        <w:keepNext/>
        <w:spacing w:after="160" w:before="360"/>
      </w:pPr>
      <w:r>
        <w:t xml:space="preserve">1. Papers descargados</w:t>
      </w:r>
    </w:p>
    <w:p>
      <w:pPr>
        <w:keepNext/>
        <w:spacing w:after="100" w:before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C3A5C"/>
          <w:sz w:val="24"/>
          <w:szCs w:val="24"/>
        </w:rPr>
        <w:t xml:space="preserve">Marco general: ¿los medios anticipan al mercado o lo siguen?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Tetlock (2007). </w:t>
      </w:r>
      <w:r>
        <w:rPr>
          <w:b/>
          <w:bCs/>
          <w:i/>
          <w:iCs/>
        </w:rPr>
        <w:t xml:space="preserve">Giving Content to Investor Sentiment: The Role of Media in the Stock Market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Journal of Finance 62(3), 1139–1168.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00_marco_Tetlock_2007_media_sentiment.pdf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mide el pesimismo de una columna diaria del Wall Street Journal y lo cruza con el mercado.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encuentra:</w:t>
      </w:r>
      <w:r>
        <w:rPr>
          <w:b w:val="false"/>
          <w:bCs w:val="false"/>
          <w:i w:val="false"/>
          <w:iCs w:val="false"/>
        </w:rPr>
        <w:t xml:space="preserve"> el pesimismo anticipa una baja de precios que después se revierte, y los retornos bajos anticipan más pesimismo.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la tesis: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Es el paper de referencia del tema.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Su segundo resultado es justamente el principal de la unión: el mercado anticipa el tono de los medios (U6).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La diferencia es que él también encuentra el efecto inverso, noticias → precios, y en Argentina no aparece.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Garcia (2013). </w:t>
      </w:r>
      <w:r>
        <w:rPr>
          <w:b/>
          <w:bCs/>
          <w:i/>
          <w:iCs/>
        </w:rPr>
        <w:t xml:space="preserve">Sentiment during Recessions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Journal of Finance 68(3), 1267–1300. En la carpeta está el borrador del autor, de diciembre de 2012.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00_marco_Garcia_2013_sentiment_recessions.pdf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usa columnas financieras del New York Times entre 1905 y 2005.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encuentra:</w:t>
      </w:r>
      <w:r>
        <w:rPr>
          <w:b w:val="false"/>
          <w:bCs w:val="false"/>
          <w:i w:val="false"/>
          <w:iCs w:val="false"/>
        </w:rPr>
        <w:t xml:space="preserve"> el tono de las noticias anticipa los retornos casi solo en las recesiones.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la tesis: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Respalda el análisis por régimen de U6, que separa las ruedas Calmas de las Tensas.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También explica por qué el efecto puede no aparecer en un año como el de la ventana.</w:t>
      </w:r>
    </w:p>
    <w:p>
      <w:pPr>
        <w:keepNext/>
        <w:spacing w:after="100" w:before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C3A5C"/>
          <w:sz w:val="24"/>
          <w:szCs w:val="24"/>
        </w:rPr>
        <w:t xml:space="preserve">U1. Cada nota a su rueda</w:t>
      </w:r>
    </w:p>
    <w:p>
      <w:pPr>
        <w:spacing w:before="120"/>
      </w:pPr>
      <w:r>
        <w:rPr>
          <w:b w:val="false"/>
          <w:bCs w:val="false"/>
          <w:i w:val="false"/>
          <w:iCs w:val="false"/>
        </w:rPr>
        <w:t xml:space="preserve">No hay un paper específico sobre la regla de las 17:00. Los dos de U6b (más abajo) son los que justifican separar las notas publicadas con el mercado abierto de las publicadas con el mercado cerrado.</w:t>
      </w:r>
    </w:p>
    <w:p>
      <w:pPr>
        <w:keepNext/>
        <w:spacing w:after="100" w:before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C3A5C"/>
          <w:sz w:val="24"/>
          <w:szCs w:val="24"/>
        </w:rPr>
        <w:t xml:space="preserve">U2. Tono por rueda y ruedas de tono extremo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Braña, Litterio y Fernández (2016). </w:t>
      </w:r>
      <w:r>
        <w:rPr>
          <w:b/>
          <w:bCs/>
          <w:i/>
          <w:iCs/>
        </w:rPr>
        <w:t xml:space="preserve">Sentiment Analysis para la clasificación de noticias financieras en los Mercados Argentinos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CAETI, Universidad Abierta Interamericana; repositorio SEDICI-UNLP.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U2U3_Brana_Litterio_Fernandez_sentimiento_mercados_argentinos.pdf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Idioma:</w:t>
      </w:r>
      <w:r>
        <w:rPr>
          <w:b w:val="false"/>
          <w:bCs w:val="false"/>
          <w:i w:val="false"/>
          <w:iCs w:val="false"/>
        </w:rPr>
        <w:t xml:space="preserve"> español.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clasifica frases de noticias financieras argentinas en positivas, negativas o neutras.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la tesis: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Es el antecedente argentino más directo del modelo de sentimiento de Gino.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Solo clasifica el sentimiento: no lo cruza con precios. Ese cruce es lo que agrega la tesis.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Rodríguez-García, Riaño-Martínez, Roldán-Álvarez y Montalvo-Herranz (2023). </w:t>
      </w:r>
      <w:r>
        <w:rPr>
          <w:b/>
          <w:bCs/>
          <w:i/>
          <w:iCs/>
        </w:rPr>
        <w:t xml:space="preserve">URJC-Team at FinancES 2023: Financial Targeted Sentiment Analysis in Spanish Combining Transformers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CEUR-WS, vol. 3496.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U2_CEUR_3496_BETO_opiniones_financieras.pdf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sentimiento de noticias financieras en español con modelos tipo BERT, incluido BETO.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la tesis: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Es de la misma familia que el FinBETO de Gino.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Mide el sentimiento hacia distintos destinatarios dentro de una noticia (por ejemplo, empresas y consumidores). Es parecido a lo que hace U3 con cada empresa.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Stan, Lunghi, Vargetto, Ricci et al. (2026). </w:t>
      </w:r>
      <w:r>
        <w:rPr>
          <w:b/>
          <w:bCs/>
          <w:i/>
          <w:iCs/>
        </w:rPr>
        <w:t xml:space="preserve">Causal Reconstruction of Sentiment Signals from Sparse News Data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2603.23568.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U2_2603.23568_sentiment_sparse_news.pdf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propone cómo armar una serie diaria de sentimiento cuando hay días con pocas noticias.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la tesis: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Justifica que U2 mida el tono contra las 20 ruedas previas en lugar de tomarlo crudo.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También justifica que el ruido dependa de la cantidad de notas del día.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Mavillonio, Borgioli, Giannetti, Ongari et al. (2026). </w:t>
      </w:r>
      <w:r>
        <w:rPr>
          <w:b/>
          <w:bCs/>
          <w:i/>
          <w:iCs/>
        </w:rPr>
        <w:t xml:space="preserve">Measuring Sentiment News with Transformer-Based Language Models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2607.13968.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U2_2607.13968_sentiment_news_transformers.pdf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arma índices diarios de sentimiento con un modelo tipo BERT frase por frase y los compara con los de diccionario.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la tesis:</w:t>
      </w:r>
      <w:r>
        <w:rPr>
          <w:b w:val="false"/>
          <w:bCs w:val="false"/>
          <w:i w:val="false"/>
          <w:iCs w:val="false"/>
        </w:rPr>
        <w:t xml:space="preserve"> respalda la decisión de Gino de usar un modelo tipo BERT en lugar de un diccionario de palabras.</w:t>
      </w:r>
    </w:p>
    <w:p>
      <w:pPr>
        <w:keepNext/>
        <w:spacing w:after="100" w:before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C3A5C"/>
          <w:sz w:val="24"/>
          <w:szCs w:val="24"/>
        </w:rPr>
        <w:t xml:space="preserve">U2 y U4. Tono ruidoso cuando hay pocas notas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Carbó Casals (2026). </w:t>
      </w:r>
      <w:r>
        <w:rPr>
          <w:b/>
          <w:bCs/>
          <w:i/>
          <w:iCs/>
        </w:rPr>
        <w:t xml:space="preserve">From Noisy News Sentiment Scores to Interpretable Temporal Dynamics: A Bayesian State-Space Model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2601.16769.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U2U4_2601.16769_noisy_sentiment_bayesian_state_space.pdf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Muestra que una serie de sentimiento es ruidosa porque la cantidad de noticias cambia de un período a otro.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Propone darle menos peso a los períodos con pocas noticias.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la tesis: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Es la misma idea que el "tono propio" de U4.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Allí, una empresa con una sola oración pesa el 8% y una con diez oraciones pesa el 48%.</w:t>
      </w:r>
    </w:p>
    <w:p>
      <w:pPr>
        <w:keepNext/>
        <w:spacing w:after="100" w:before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C3A5C"/>
          <w:sz w:val="24"/>
          <w:szCs w:val="24"/>
        </w:rPr>
        <w:t xml:space="preserve">U3. Sentimiento de cada empresa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Tang, Yang, Huang, Tam et al. (2023). </w:t>
      </w:r>
      <w:r>
        <w:rPr>
          <w:b/>
          <w:bCs/>
          <w:i/>
          <w:iCs/>
        </w:rPr>
        <w:t xml:space="preserve">FinEntity: Entity-level Sentiment Classification for Financial Texts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2310.12406.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U3_2310.12406_FinEntity.pdf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clasifica el sentimiento hacia cada empresa nombrada en una noticia, no hacia la noticia entera.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la tesis:</w:t>
      </w:r>
      <w:r>
        <w:rPr>
          <w:b w:val="false"/>
          <w:bCs w:val="false"/>
          <w:i w:val="false"/>
          <w:iCs w:val="false"/>
        </w:rPr>
        <w:t xml:space="preserve"> es lo que hace U3 al cruzar las entidades de Gino con las oraciones.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Sinha, Kedas, Kumar y Malo (2023). </w:t>
      </w:r>
      <w:r>
        <w:rPr>
          <w:b/>
          <w:bCs/>
          <w:i/>
          <w:iCs/>
        </w:rPr>
        <w:t xml:space="preserve">SEntFiN 1.0: Entity-Aware Sentiment Analysis for Financial News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2305.12257.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U3_2305.12257_SEntFiN.pdf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arma una base de titulares donde una misma noticia puede ser buena para una empresa y mala para otra.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la tesis:</w:t>
      </w:r>
      <w:r>
        <w:rPr>
          <w:b w:val="false"/>
          <w:bCs w:val="false"/>
          <w:i w:val="false"/>
          <w:iCs w:val="false"/>
        </w:rPr>
        <w:t xml:space="preserve"> justifica medir el tono por empresa en lugar de usar el tono general de la nota.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Chen (2025). </w:t>
      </w:r>
      <w:r>
        <w:rPr>
          <w:b/>
          <w:bCs/>
          <w:i/>
          <w:iCs/>
        </w:rPr>
        <w:t xml:space="preserve">A Framework for Measuring How News Topics Drive Stock Movement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2510.06864.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U3_2510.06864_news_topics_stock_movement.pdf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critica que se resuma todo el sentimiento de un día en un solo número y separa las noticias por tema.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la tesis: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Respalda que la unión mida el tono también por empresa y por sector, y no solo para el mercado.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El análisis por tema queda como trabajo futuro.</w:t>
      </w:r>
    </w:p>
    <w:p>
      <w:pPr>
        <w:keepNext/>
        <w:spacing w:after="100" w:before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C3A5C"/>
          <w:sz w:val="24"/>
          <w:szCs w:val="24"/>
        </w:rPr>
        <w:t xml:space="preserve">U4. Atención y volumen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Cao, Wunkaew y Geman (2025). </w:t>
      </w:r>
      <w:r>
        <w:rPr>
          <w:b/>
          <w:bCs/>
          <w:i/>
          <w:iCs/>
        </w:rPr>
        <w:t xml:space="preserve">The Hype Index: an NLP-driven Measure of Market News Attention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2506.06329.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U4_2506.06329_hype_index_attention.pdf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mide cuánta atención le dan los medios a cada acción, contando las noticias y ajustando por el tamaño de la empresa.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la tesis:</w:t>
      </w:r>
      <w:r>
        <w:rPr>
          <w:b w:val="false"/>
          <w:bCs w:val="false"/>
          <w:i w:val="false"/>
          <w:iCs w:val="false"/>
        </w:rPr>
        <w:t xml:space="preserve"> respalda usar la cantidad de notas y de menciones como variable de atención, separada del tono.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Rojas y Kristjanpoller (2015). </w:t>
      </w:r>
      <w:r>
        <w:rPr>
          <w:b/>
          <w:bCs/>
          <w:i/>
          <w:iCs/>
        </w:rPr>
        <w:t xml:space="preserve">Relación precio-volumen mediante análisis de causalidad y efecto día de semana en los mercados accionarios latinoamericanos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Lecturas de Economía 83, 9–31.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U4U6_redalyc_retorno_volumen_LatAm.pdf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Idioma:</w:t>
      </w:r>
      <w:r>
        <w:rPr>
          <w:b w:val="false"/>
          <w:bCs w:val="false"/>
          <w:i w:val="false"/>
          <w:iCs w:val="false"/>
        </w:rPr>
        <w:t xml:space="preserve"> español.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estudia la causalidad de Granger entre retorno y volumen en las bolsas latinoamericanas.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encuentra:</w:t>
      </w:r>
      <w:r>
        <w:rPr>
          <w:b w:val="false"/>
          <w:bCs w:val="false"/>
          <w:i w:val="false"/>
          <w:iCs w:val="false"/>
        </w:rPr>
        <w:t xml:space="preserve"> en casi todos los mercados, el retorno causa al volumen.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la tesis:</w:t>
      </w:r>
      <w:r>
        <w:rPr>
          <w:b w:val="false"/>
          <w:bCs w:val="false"/>
          <w:i w:val="false"/>
          <w:iCs w:val="false"/>
        </w:rPr>
        <w:t xml:space="preserve"> es un buen antecedente regional para incluir el volumen anormal en el VAR de U6.</w:t>
      </w:r>
    </w:p>
    <w:p>
      <w:pPr>
        <w:keepNext/>
        <w:spacing w:after="100" w:before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C3A5C"/>
          <w:sz w:val="24"/>
          <w:szCs w:val="24"/>
        </w:rPr>
        <w:t xml:space="preserve">U5. Estacionariedad del tono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Correa Rocha (2026). </w:t>
      </w:r>
      <w:r>
        <w:rPr>
          <w:b/>
          <w:bCs/>
          <w:i/>
          <w:iCs/>
        </w:rPr>
        <w:t xml:space="preserve">Stable Sentiment and Persistent Dynamics in U.S. Economic News over 45 Years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2607.06220.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U5_2607.06220_stable_sentiment_persistence.pdf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estudia la serie de tono de las noticias económicas de Estados Unidos a lo largo de 45 años.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encuentra:</w:t>
      </w:r>
      <w:r>
        <w:rPr>
          <w:b w:val="false"/>
          <w:bCs w:val="false"/>
          <w:i w:val="false"/>
          <w:iCs w:val="false"/>
        </w:rPr>
        <w:t xml:space="preserve"> el tono es muy persistente, es decir, un día se parece mucho al anterior.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la tesis: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Explica por qué el tono en nivel dio "inconcluso" en U5.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Justifica usar el tono anormal en el VAR.</w:t>
      </w:r>
    </w:p>
    <w:p>
      <w:pPr>
        <w:keepNext/>
        <w:spacing w:after="100" w:before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C3A5C"/>
          <w:sz w:val="24"/>
          <w:szCs w:val="24"/>
        </w:rPr>
        <w:t xml:space="preserve">U6. VAR y Granger: ¿quién anticipa a quién?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Verma, Tulsyan, Dhanuka y Sen (2026). </w:t>
      </w:r>
      <w:r>
        <w:rPr>
          <w:b/>
          <w:bCs/>
          <w:i/>
          <w:iCs/>
        </w:rPr>
        <w:t xml:space="preserve">Quantitative Analysis of Media Bias and Stock Price Dynamics: The 2020 Shock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2608.05899.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U6_2608.05899_media_bias_stock_prices_2020.pdf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usa el shock de 2020 para preguntar si las noticias influyen en el precio o reflejan información que el precio ya tiene.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la tesis:</w:t>
      </w:r>
      <w:r>
        <w:rPr>
          <w:b w:val="false"/>
          <w:bCs w:val="false"/>
          <w:i w:val="false"/>
          <w:iCs w:val="false"/>
        </w:rPr>
        <w:t xml:space="preserve"> es exactamente la pregunta de la tesis.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Mukherjee (2025). </w:t>
      </w:r>
      <w:r>
        <w:rPr>
          <w:b/>
          <w:bCs/>
          <w:i/>
          <w:iCs/>
        </w:rPr>
        <w:t xml:space="preserve">Investor Sentiment and Market Movements: A Granger Causality Perspective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2510.15915.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U6_2510.15915_investor_sentiment_granger.pdf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prueba de Granger entre sentimiento y mercado, en las dos direcciones.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la tesis:</w:t>
      </w:r>
      <w:r>
        <w:rPr>
          <w:b w:val="false"/>
          <w:bCs w:val="false"/>
          <w:i w:val="false"/>
          <w:iCs w:val="false"/>
        </w:rPr>
        <w:t xml:space="preserve"> es un paper corto, útil como ejemplo del mismo método de U6.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Chniguir y Henchiri (2022). </w:t>
      </w:r>
      <w:r>
        <w:rPr>
          <w:b/>
          <w:bCs/>
          <w:i/>
          <w:iCs/>
        </w:rPr>
        <w:t xml:space="preserve">Causality between investor sentiment and the shares return on the Moroccan and Tunisian financial markets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Revue du Contrôle, de la Comptabilité et de l'Audit 6(4), 350–364; arXiv 2305.16632.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U6_2305.16632_sentiment_returns_Morocco_Tunisia.pdf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prueba la causalidad entre el sentimiento y los retornos en dos mercados emergentes.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la tesis:</w:t>
      </w:r>
      <w:r>
        <w:rPr>
          <w:b w:val="false"/>
          <w:bCs w:val="false"/>
          <w:i w:val="false"/>
          <w:iCs w:val="false"/>
        </w:rPr>
        <w:t xml:space="preserve"> son mercados chicos y poco líquidos, como el argentino, lo que permite comparar.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Wu, Liu, Chen, Li et al. (2026). </w:t>
      </w:r>
      <w:r>
        <w:rPr>
          <w:b/>
          <w:bCs/>
          <w:i/>
          <w:iCs/>
        </w:rPr>
        <w:t xml:space="preserve">Do News and Social Media Tell the Same Story? Constructing and Comparing Sentiment Spillover Networks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2604.26811.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U6_2604.26811_news_vs_social_media_spillover.pdf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compara cómo se contagia el sentimiento entre empresas en las noticias y en las redes sociales.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la tesis: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Sirve para el análisis por empresa y por sector de U6.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También sirve para justificar que Twitter quede como trabajo futuro.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Jazbec, Pàsztor, Faltings, Antulov-Fantulin et al. (2020). </w:t>
      </w:r>
      <w:r>
        <w:rPr>
          <w:b/>
          <w:bCs/>
          <w:i/>
          <w:iCs/>
        </w:rPr>
        <w:t xml:space="preserve">On the impact of publicly available news and information transfer to financial markets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2010.12002.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U6_2010.12002_public_news_information_transfer.pdf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mide cuánta información pasa de las noticias de la web a los precios.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la tesis:</w:t>
      </w:r>
      <w:r>
        <w:rPr>
          <w:b w:val="false"/>
          <w:bCs w:val="false"/>
          <w:i w:val="false"/>
          <w:iCs w:val="false"/>
        </w:rPr>
        <w:t xml:space="preserve"> es otra forma, distinta de Granger, de medir la misma dirección noticias → mercado.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Coronado, Martinez, Gualajara y Rojas (2022). </w:t>
      </w:r>
      <w:r>
        <w:rPr>
          <w:b/>
          <w:bCs/>
          <w:i/>
          <w:iCs/>
        </w:rPr>
        <w:t xml:space="preserve">Transfer Entropy Granger Causality between News Indices and Stock Markets in U.S. and Latin America during the COVID-19 Pandemic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Entropy 24, 1420.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U6_Entropy_2022_transfer_entropy_COVID_LatAm.pdf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prueba la causalidad de Granger desde los índices de noticias del COVID hacia las bolsas de Estados Unidos y de Latinoamérica, incluida Argentina.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la tesis: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Es uno de los pocos trabajos que incluye al mercado argentino.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Una diferencia importante: usa índices de cantidad de noticias, no de tono.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Coronado, Martinez, Gualajara, Romero-Meza y Rojas (2023). </w:t>
      </w:r>
      <w:r>
        <w:rPr>
          <w:b/>
          <w:bCs/>
          <w:i/>
          <w:iCs/>
        </w:rPr>
        <w:t xml:space="preserve">Time-Varying Granger Causality of COVID-19 News on Emerging Financial Markets: The Latin American Case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Mathematics 11, 394.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U6_MDPI_2023_Granger_variable_COVID_LatAm.pdf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es la continuación del paper anterior, con una causalidad que cambia en el tiempo.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la tesis:</w:t>
      </w:r>
      <w:r>
        <w:rPr>
          <w:b w:val="false"/>
          <w:bCs w:val="false"/>
          <w:i w:val="false"/>
          <w:iCs w:val="false"/>
        </w:rPr>
        <w:t xml:space="preserve"> se relaciona con el análisis por régimen de U6. La causalidad puede existir en unos períodos y en otros no.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Cruz Montaña y Tirado León (2025). </w:t>
      </w:r>
      <w:r>
        <w:rPr>
          <w:b/>
          <w:bCs/>
          <w:i/>
          <w:iCs/>
        </w:rPr>
        <w:t xml:space="preserve">Análisis de sentimientos en noticias financieras y su impacto en la bolsa de valores de Colombia – COLCAP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Universidad EAN, Seminario de Investigación de Especialización.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U6_CruzMontana_Tirado_2025_sentimiento_COLCAP.pdf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Idioma:</w:t>
      </w:r>
      <w:r>
        <w:rPr>
          <w:b w:val="false"/>
          <w:bCs w:val="false"/>
          <w:i w:val="false"/>
          <w:iCs w:val="false"/>
        </w:rPr>
        <w:t xml:space="preserve"> español.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cruza el tono de noticias financieras con el índice de la bolsa colombiana.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la tesis:</w:t>
      </w:r>
      <w:r>
        <w:rPr>
          <w:b w:val="false"/>
          <w:bCs w:val="false"/>
          <w:i w:val="false"/>
          <w:iCs w:val="false"/>
        </w:rPr>
        <w:t xml:space="preserve"> es el trabajo más parecido a la tesis en otro país latinoamericano y en español.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Galdi y Gonçalves (2018). </w:t>
      </w:r>
      <w:r>
        <w:rPr>
          <w:b/>
          <w:bCs/>
          <w:i/>
          <w:iCs/>
        </w:rPr>
        <w:t xml:space="preserve">Pessimismo e incerteza das notícias e o comportamento dos investidores no Brasil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RAE-Revista de Administração de Empresas 58(2), 130–148.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U6_Galdi_Goncalves_2018_RAE_pesimismo_noticias_Brasil.pdf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Idioma:</w:t>
      </w:r>
      <w:r>
        <w:rPr>
          <w:b w:val="false"/>
          <w:bCs w:val="false"/>
          <w:i w:val="false"/>
          <w:iCs w:val="false"/>
        </w:rPr>
        <w:t xml:space="preserve"> portugués, con resumen en español y en inglés.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mide el tono de 1.237 ediciones diarias del diario Valor Econômico (2012–2016) y lo cruza con la rentabilidad y la volatilidad de los índices de la bolsa brasileña.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encuentra: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Las palabras de "incertidumbre" se asocian con menor rentabilidad.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Hay indicios más débiles de que las palabras "negativas" se asocian con más volatilidad.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la tesis: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Es el antecedente más cercano en un país vecino, porque también usa el tono de un diario económico y lo cruza con el índice de la bolsa.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Reemplaza a la disertación de la UFPB, que no se pudo bajar (sección 3) y usa el mismo diario.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A diferencia de la tesis, en Brasil sí encuentran contenido informativo en las noticias.</w:t>
      </w:r>
    </w:p>
    <w:p>
      <w:pPr>
        <w:keepNext/>
        <w:spacing w:after="100" w:before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C3A5C"/>
          <w:sz w:val="24"/>
          <w:szCs w:val="24"/>
        </w:rPr>
        <w:t xml:space="preserve">U6b. Notas publicadas con el mercado cerrado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Glasserman, Krstovski, Laliberte y Mamaysky (2025). </w:t>
      </w:r>
      <w:r>
        <w:rPr>
          <w:b/>
          <w:bCs/>
          <w:i/>
          <w:iCs/>
        </w:rPr>
        <w:t xml:space="preserve">Does Overnight News Explain Overnight Returns?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2507.04481.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U6b_2507.04481_overnight_news_overnight_returns.pdf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pregunta si las noticias publicadas de noche explican el retorno entre el cierre y la apertura.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la tesis: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Es la prueba más parecida a U6b.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Él lo hace con el mercado de Estados Unidos y con muchas más noticias, así que su resultado sirve de comparación directa.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Knuteson (2020). </w:t>
      </w:r>
      <w:r>
        <w:rPr>
          <w:b/>
          <w:bCs/>
          <w:i/>
          <w:iCs/>
        </w:rPr>
        <w:t xml:space="preserve">Strikingly Suspicious Overnight and Intraday Returns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2010.01727.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U6b_2010.01727_overnight_intraday_returns.pdf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muestra que el retorno de la noche (del cierre a la apertura) y el del día se comportan de forma muy distinta.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la tesis:</w:t>
      </w:r>
      <w:r>
        <w:rPr>
          <w:b w:val="false"/>
          <w:bCs w:val="false"/>
          <w:i w:val="false"/>
          <w:iCs w:val="false"/>
        </w:rPr>
        <w:t xml:space="preserve"> justifica separar el retorno de apertura en U6b.</w:t>
      </w:r>
    </w:p>
    <w:p>
      <w:pPr>
        <w:keepNext/>
        <w:spacing w:after="100" w:before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C3A5C"/>
          <w:sz w:val="24"/>
          <w:szCs w:val="24"/>
        </w:rPr>
        <w:t xml:space="preserve">U7. Event study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Kargarzadeh, Khaledian, Parvini, Ghatak et al. (2026). </w:t>
      </w:r>
      <w:r>
        <w:rPr>
          <w:b/>
          <w:bCs/>
          <w:i/>
          <w:iCs/>
        </w:rPr>
        <w:t xml:space="preserve">Buy the Rumor, Sell the News: When Is News Priced In?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2608.14014.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U7_2608.14014_buy_rumor_sell_news.pdf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mide en qué momento el precio incorpora una noticia: antes, el mismo día o después.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la tesis: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Es la misma pregunta de U7.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En la tesis, el Merval ya venía subiendo +3,2% en las 3 ruedas previas a una rueda de tono extremo positivo.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Ardia, Bluteau y Boudt (2022). </w:t>
      </w:r>
      <w:r>
        <w:rPr>
          <w:b/>
          <w:bCs/>
          <w:i/>
          <w:iCs/>
        </w:rPr>
        <w:t xml:space="preserve">Media abnormal tone, earnings announcements, and the stock market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Journal of Financial Markets 61, 100683; arXiv 2110.10800.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U7_2110.10800_media_abnormal_tone_earnings.pdf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event study con el "tono anormal" de los medios, es decir, el tono comparado con lo habitual.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la tesis:</w:t>
      </w:r>
      <w:r>
        <w:rPr>
          <w:b w:val="false"/>
          <w:bCs w:val="false"/>
          <w:i w:val="false"/>
          <w:iCs w:val="false"/>
        </w:rPr>
        <w:t xml:space="preserve"> es la misma idea que el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sent_anormal</w:t>
      </w:r>
      <w:r>
        <w:rPr>
          <w:b w:val="false"/>
          <w:bCs w:val="false"/>
          <w:i w:val="false"/>
          <w:iCs w:val="false"/>
        </w:rPr>
        <w:t xml:space="preserve"> y el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tono_propio</w:t>
      </w:r>
      <w:r>
        <w:rPr>
          <w:b w:val="false"/>
          <w:bCs w:val="false"/>
          <w:i w:val="false"/>
          <w:iCs w:val="false"/>
        </w:rPr>
        <w:t xml:space="preserve"> de U4, aplicada a un event study como el de U7.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Guo, Peng, Tao y Tu (2017). </w:t>
      </w:r>
      <w:r>
        <w:rPr>
          <w:b/>
          <w:bCs/>
          <w:i/>
          <w:iCs/>
        </w:rPr>
        <w:t xml:space="preserve">Joint News, Attention Spillover, and Stock Returns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1703.02715.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U7_1703.02715_joint_news_attention_spillover.pdf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estudia qué pasa con el precio de una empresa cuando aparece en la misma noticia que otra.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la tesis:</w:t>
      </w:r>
      <w:r>
        <w:rPr>
          <w:b w:val="false"/>
          <w:bCs w:val="false"/>
          <w:i w:val="false"/>
          <w:iCs w:val="false"/>
        </w:rPr>
        <w:t xml:space="preserve"> sirve para el event study por empresa de U7 y para el problema de las notas que nombran a varias empresas a la vez.</w:t>
      </w:r>
    </w:p>
    <w:p>
      <w:pPr>
        <w:keepNext/>
        <w:spacing w:after="100" w:before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C3A5C"/>
          <w:sz w:val="24"/>
          <w:szCs w:val="24"/>
        </w:rPr>
        <w:t xml:space="preserve">U6 y U8. Muchas pruebas a la vez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Harvey y Liu (2020). </w:t>
      </w:r>
      <w:r>
        <w:rPr>
          <w:b/>
          <w:bCs/>
          <w:i/>
          <w:iCs/>
        </w:rPr>
        <w:t xml:space="preserve">False (and Missed) Discoveries in Financial Economics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2006.04269.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U6U8_2006.04269_false_missed_discoveries.pdf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explica que, cuando se hacen muchas pruebas, algunas salen significativas por azar. Propone cómo controlar los falsos positivos sin perder los verdaderos.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la tesis: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Respalda la corrección de Benjamini-Hochberg de U6.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También respalda leer las 4 pruebas significativas de 152 en "noticias → mercado" como lo esperable por azar.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Nikolopoulos (2026). </w:t>
      </w:r>
      <w:r>
        <w:rPr>
          <w:b/>
          <w:bCs/>
          <w:i/>
          <w:iCs/>
        </w:rPr>
        <w:t xml:space="preserve">Spurious Predictability in Financial Machine Learning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2604.15531.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U8_2604.15531_spurious_predictability.pdf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muestra que, si se prueban muchas variantes hasta que una "funciona", aparecen resultados falsos.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la tesis:</w:t>
      </w:r>
      <w:r>
        <w:rPr>
          <w:b w:val="false"/>
          <w:bCs w:val="false"/>
          <w:i w:val="false"/>
          <w:iCs w:val="false"/>
        </w:rPr>
        <w:t xml:space="preserve"> justifica que U8 cambie una sola decisión por vez y que la especificación de U6b se haya fijado antes de ver los resultados.</w:t>
      </w:r>
    </w:p>
    <w:p>
      <w:pPr>
        <w:pStyle w:val="Heading1"/>
        <w:keepNext/>
        <w:spacing w:after="160" w:before="360"/>
      </w:pPr>
      <w:r>
        <w:t xml:space="preserve">2. Citados pero no descargados</w:t>
      </w:r>
    </w:p>
    <w:p>
      <w:pPr>
        <w:spacing w:before="120"/>
      </w:pPr>
      <w:r>
        <w:rPr>
          <w:b w:val="false"/>
          <w:bCs w:val="false"/>
          <w:i w:val="false"/>
          <w:iCs w:val="false"/>
        </w:rPr>
        <w:t xml:space="preserve">Son trabajos con derechos de autor y sin una copia gratuita oficial. Están en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referencias_papers.bib</w:t>
      </w:r>
      <w:r>
        <w:rPr>
          <w:b w:val="false"/>
          <w:bCs w:val="false"/>
          <w:i w:val="false"/>
          <w:iCs w:val="false"/>
        </w:rPr>
        <w:t xml:space="preserve"> con su DOI, para conseguirlos desde la biblioteca de la facultad.</w:t>
      </w:r>
    </w:p>
    <w:tbl>
      <w:tblPr>
        <w:tblW w:type="pct" w:w="5000"/>
        <w:tblBorders>
          <w:top w:val="single" w:color="D9E0E7" w:sz="4"/>
          <w:left w:val="single" w:color="D9E0E7" w:sz="4"/>
          <w:bottom w:val="single" w:color="D9E0E7" w:sz="4"/>
          <w:right w:val="single" w:color="D9E0E7" w:sz="4"/>
          <w:insideH w:val="single" w:color="D9E0E7" w:sz="4"/>
          <w:insideV w:val="single" w:color="D9E0E7" w:sz="4"/>
        </w:tblBorders>
      </w:tblPr>
      <w:tblGrid>
        <w:gridCol w:w="964"/>
        <w:gridCol w:w="5301"/>
        <w:gridCol w:w="3373"/>
      </w:tblGrid>
      <w:tr>
        <w:trPr>
          <w:tblHeader/>
        </w:trPr>
        <w:tc>
          <w:tcPr>
            <w:tcW w:type="pct" w:w="5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pct" w:w="275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Referencia</w:t>
            </w:r>
          </w:p>
        </w:tc>
        <w:tc>
          <w:tcPr>
            <w:tcW w:type="pct" w:w="175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qué se usa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U4</w:t>
            </w:r>
          </w:p>
        </w:tc>
        <w:tc>
          <w:tcPr>
            <w:tcW w:type="pct" w:w="2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Efron y Morris (1975).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Data Analysis Using Stein's Estimator and its Generalizations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JASA 70(350), 311–319</w:t>
            </w:r>
          </w:p>
        </w:tc>
        <w:tc>
          <w:tcPr>
            <w:tcW w:type="pct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"encogimiento" del tono propio hacia 0 cuando hay pocas oraciones (bayes empírico, K = 10,9)</w:t>
            </w:r>
          </w:p>
        </w:tc>
      </w:tr>
      <w:tr>
        <w:trPr>
          <w:cantSplit/>
        </w:trPr>
        <w:tc>
          <w:tcPr>
            <w:tcW w:type="pct" w:w="5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U4</w:t>
            </w:r>
          </w:p>
        </w:tc>
        <w:tc>
          <w:tcPr>
            <w:tcW w:type="pct" w:w="27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Fang y Peress (2009).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Media Coverage and the Cross-Section of Stock Returns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Journal of Finance 64(5), 2023–2052</w:t>
            </w:r>
          </w:p>
        </w:tc>
        <w:tc>
          <w:tcPr>
            <w:tcW w:type="pct" w:w="17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Cobertura de medios como variable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U4</w:t>
            </w:r>
          </w:p>
        </w:tc>
        <w:tc>
          <w:tcPr>
            <w:tcW w:type="pct" w:w="2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Da, Engelberg y Gao (2011).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In Search of Attention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Journal of Finance 66(5), 1461–1499</w:t>
            </w:r>
          </w:p>
        </w:tc>
        <w:tc>
          <w:tcPr>
            <w:tcW w:type="pct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Medidas de atención</w:t>
            </w:r>
          </w:p>
        </w:tc>
      </w:tr>
      <w:tr>
        <w:trPr>
          <w:cantSplit/>
        </w:trPr>
        <w:tc>
          <w:tcPr>
            <w:tcW w:type="pct" w:w="5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U5</w:t>
            </w:r>
          </w:p>
        </w:tc>
        <w:tc>
          <w:tcPr>
            <w:tcW w:type="pct" w:w="27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Dickey y Fuller (1979).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Distribution of the Estimators for Autoregressive Time Series with a Unit Root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JASA 74(366), 427–431</w:t>
            </w:r>
          </w:p>
        </w:tc>
        <w:tc>
          <w:tcPr>
            <w:tcW w:type="pct" w:w="17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prueba ADF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U5</w:t>
            </w:r>
          </w:p>
        </w:tc>
        <w:tc>
          <w:tcPr>
            <w:tcW w:type="pct" w:w="2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Kwiatkowski, Phillips, Schmidt y Shin (1992).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Testing the null hypothesis of stationarity against the alternative of a unit root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Journal of Econometrics 54, 159–178</w:t>
            </w:r>
          </w:p>
        </w:tc>
        <w:tc>
          <w:tcPr>
            <w:tcW w:type="pct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prueba KPSS</w:t>
            </w:r>
          </w:p>
        </w:tc>
      </w:tr>
      <w:tr>
        <w:trPr>
          <w:cantSplit/>
        </w:trPr>
        <w:tc>
          <w:tcPr>
            <w:tcW w:type="pct" w:w="5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U6</w:t>
            </w:r>
          </w:p>
        </w:tc>
        <w:tc>
          <w:tcPr>
            <w:tcW w:type="pct" w:w="27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Granger (1969).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Investigating Causal Relations by Econometric Models and Cross-spectral Methods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Econometrica 37(3), 424–438</w:t>
            </w:r>
          </w:p>
        </w:tc>
        <w:tc>
          <w:tcPr>
            <w:tcW w:type="pct" w:w="17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causalidad de Granger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U6</w:t>
            </w:r>
          </w:p>
        </w:tc>
        <w:tc>
          <w:tcPr>
            <w:tcW w:type="pct" w:w="2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Sims (1980).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Macroeconomics and Reality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Econometrica 48(1), 1–48</w:t>
            </w:r>
          </w:p>
        </w:tc>
        <w:tc>
          <w:tcPr>
            <w:tcW w:type="pct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modelo VAR</w:t>
            </w:r>
          </w:p>
        </w:tc>
      </w:tr>
      <w:tr>
        <w:trPr>
          <w:cantSplit/>
        </w:trPr>
        <w:tc>
          <w:tcPr>
            <w:tcW w:type="pct" w:w="5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U6</w:t>
            </w:r>
          </w:p>
        </w:tc>
        <w:tc>
          <w:tcPr>
            <w:tcW w:type="pct" w:w="27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Lütkepohl (2005).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New Introduction to Multiple Time Series Analysis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Springer</w:t>
            </w:r>
          </w:p>
        </w:tc>
        <w:tc>
          <w:tcPr>
            <w:tcW w:type="pct" w:w="17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elección de rezagos por AIC y las bandas de la impulso-respuesta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U6</w:t>
            </w:r>
          </w:p>
        </w:tc>
        <w:tc>
          <w:tcPr>
            <w:tcW w:type="pct" w:w="2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Benjamini y Hochberg (1995).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Controlling the False Discovery Rate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JRSS B 57(1), 289–300</w:t>
            </w:r>
          </w:p>
        </w:tc>
        <w:tc>
          <w:tcPr>
            <w:tcW w:type="pct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corrección BH</w:t>
            </w:r>
          </w:p>
        </w:tc>
      </w:tr>
      <w:tr>
        <w:trPr>
          <w:cantSplit/>
        </w:trPr>
        <w:tc>
          <w:tcPr>
            <w:tcW w:type="pct" w:w="5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U6/U8</w:t>
            </w:r>
          </w:p>
        </w:tc>
        <w:tc>
          <w:tcPr>
            <w:tcW w:type="pct" w:w="27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Harvey, Liu y Zhu (2016).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... and the Cross-Section of Expected Returns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Review of Financial Studies 29(1), 5–68</w:t>
            </w:r>
          </w:p>
        </w:tc>
        <w:tc>
          <w:tcPr>
            <w:tcW w:type="pct" w:w="17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Pruebas múltiples en finanzas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U7</w:t>
            </w:r>
          </w:p>
        </w:tc>
        <w:tc>
          <w:tcPr>
            <w:tcW w:type="pct" w:w="2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MacKinlay (1997).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Event Studies in Economics and Finance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Journal of Economic Literature 35(1), 13–39</w:t>
            </w:r>
          </w:p>
        </w:tc>
        <w:tc>
          <w:tcPr>
            <w:tcW w:type="pct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método del event study</w:t>
            </w:r>
          </w:p>
        </w:tc>
      </w:tr>
      <w:tr>
        <w:trPr>
          <w:cantSplit/>
        </w:trPr>
        <w:tc>
          <w:tcPr>
            <w:tcW w:type="pct" w:w="5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U6 (régimen)</w:t>
            </w:r>
          </w:p>
        </w:tc>
        <w:tc>
          <w:tcPr>
            <w:tcW w:type="pct" w:w="27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Rabiner (1989).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 Tutorial on Hidden Markov Models and Selected Applications in Speech Recognition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Proceedings of the IEEE 77(2), 257–286</w:t>
            </w:r>
          </w:p>
        </w:tc>
        <w:tc>
          <w:tcPr>
            <w:tcW w:type="pct" w:w="17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HMM de regímenes (Calmo, Moderado, Tenso) que usa el análisis por régimen; viene del plan de trabajo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Futuro</w:t>
            </w:r>
          </w:p>
        </w:tc>
        <w:tc>
          <w:tcPr>
            <w:tcW w:type="pct" w:w="2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Yang, Fernández-Pérez e Indriawan (2024).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Spillover between investor sentiment and volatility: The role of social media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International Review of Financial Analysis 96, 103643</w:t>
            </w:r>
          </w:p>
        </w:tc>
        <w:tc>
          <w:tcPr>
            <w:tcW w:type="pct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Sentimiento en redes sociales; respalda el uso de X/Twitter que quedó como trabajo futuro; viene del plan de trabajo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3. Lo que no se pudo bajar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Disertación de la UFPB (Brasil).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/>
          <w:iCs/>
        </w:rPr>
        <w:t xml:space="preserve">O efeito do sentimento das notícias sobre o comportamento dos preços no mercado acionário brasileiro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cruza el tono de 45.304 notas del diario Valor Econômico (2011–2017) con el Ibovespa.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Por qué no está:</w:t>
      </w:r>
      <w:r>
        <w:rPr>
          <w:b w:val="false"/>
          <w:bCs w:val="false"/>
          <w:i w:val="false"/>
          <w:iCs w:val="false"/>
        </w:rPr>
        <w:t xml:space="preserve"> el repositorio de la UFPB devolvió error 502 (servidor caído) en los tres intentos del 24/10/2026.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Para bajarlo después:</w:t>
      </w:r>
      <w:r>
        <w:rPr>
          <w:b w:val="false"/>
          <w:bCs w:val="false"/>
          <w:i w:val="false"/>
          <w:iCs w:val="false"/>
        </w:rPr>
        <w:t xml:space="preserve"> https://repositorio.ufpb.br/jspui/bitstream/123456789/12575/1/Arquivototal.pdf</w:t>
      </w:r>
    </w:p>
    <w:p>
      <w:pPr>
        <w:pStyle w:val="Heading1"/>
        <w:keepNext/>
        <w:spacing w:after="160" w:before="360"/>
      </w:pPr>
      <w:r>
        <w:t xml:space="preserve">4. Qué dice la literatura sobre los resultados de la tesis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Mercado → noticias:</w:t>
      </w:r>
      <w:r>
        <w:rPr>
          <w:b w:val="false"/>
          <w:bCs w:val="false"/>
          <w:i w:val="false"/>
          <w:iCs w:val="false"/>
        </w:rPr>
        <w:t xml:space="preserve"> lo encontraron Tetlock (2007) en Estados Unidos y ahora la unión en Argentina. Es un resultado conocido, y que se repita con medios argentinos lo hace más creíble.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Noticias → mercado: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Tetlock (2007), Galdi y Gonçalves (2018) y la disertación brasileña lo encuentran.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Garcia (2013) lo encuentra casi solo en las recesiones.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Que en la ventana de la tesis no aparezca no contradice a la literatura: es compatible con lo que dice Garcia.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En español y en Latinoamérica: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Hay muy pocos trabajos que crucen el tono de los medios con precios: el de Colombia, los dos brasileños (Galdi y Gonçalves, y la disertación de la UFPB) y los de COVID, que usan cantidad de noticias y no tono.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El de la UAI solo clasifica el sentimiento.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Esto deja a la tesis como un aporte en un tema poco estudiado en la región.</w:t>
      </w:r>
    </w:p>
    <w:p>
      <w:pPr>
        <w:spacing w:after="160" w:line="300"/>
      </w:pPr>
      <w:r>
        <w:rPr>
          <w:i/>
          <w:iCs/>
          <w:color w:val="5C6B7A"/>
          <w:sz w:val="18"/>
          <w:szCs w:val="18"/>
        </w:rPr>
        <w:t xml:space="preserve">Búsqueda hecha el 24/10/2026 en alphaXiv (arXiv) y en la web, en español y en inglés.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6B7A"/>
        <w:sz w:val="16"/>
        <w:szCs w:val="16"/>
      </w:rPr>
      <w:t xml:space="preserve">Nicolás Diddi · Gino Frigoni · Página </w:t>
    </w:r>
    <w:r>
      <w:rPr>
        <w:color w:val="5C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C6B7A"/>
        <w:sz w:val="16"/>
        <w:szCs w:val="16"/>
      </w:rPr>
      <w:t xml:space="preserve"> de </w:t>
    </w:r>
    <w:r>
      <w:rPr>
        <w:color w:val="5C6B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C6B7A"/>
        <w:sz w:val="16"/>
        <w:szCs w:val="16"/>
      </w:rPr>
      <w:t xml:space="preserve">Referencias de papers — tesis version 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0798C" w:sz="6" w:space="4"/>
      </w:pBdr>
      <w:spacing w:after="160" w:before="360"/>
    </w:pPr>
    <w:rPr>
      <w:rFonts w:ascii="Cambria" w:cs="Cambria" w:eastAsia="Cambria" w:hAnsi="Cambria"/>
      <w:b/>
      <w:bCs/>
      <w:color w:val="12263A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2026-10-24T19:52:13.318Z</dcterms:created>
  <dcterms:modified xsi:type="dcterms:W3CDTF">2026-10-24T19:52:13.319Z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