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Papers relacionados con el lado de noticias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Qué trabajos respaldan la recolección, el sentimiento y el NER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de la unión: lee el lado bursátil y el lado de noticias sin modificarlos.</w:t>
      </w:r>
    </w:p>
    <w:p>
      <w:pPr>
        <w:spacing w:after="160" w:line="300"/>
      </w:pPr>
      <w:r>
        <w:rPr>
          <w:b/>
          <w:bCs/>
        </w:rPr>
        <w:t xml:space="preserve">Ubicación.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3.0\Unión\11_papers_lado_noticias\</w:t>
      </w:r>
      <w:r>
        <w:t xml:space="preserve"> (23 PDF). Este documento se genera desde referencias_papers.md.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Esta carpeta junta trabajos de otros autores relacionados con lo que se hizo en el lado de noticias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Lado Noticias</w:t>
      </w:r>
      <w:r>
        <w:rPr>
          <w:b w:val="false"/>
          <w:bCs w:val="false"/>
          <w:i w:val="false"/>
          <w:iCs w:val="false"/>
        </w:rPr>
        <w:t xml:space="preserve">, Gino): la recolección del corpus, el modelo de sentimiento FinBETO y el reconocimiento de entidades (NER). Sirven para citar de dónde sale cada método y para comparar las decisiones tomadas con lo que hicieron otros.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Dónde está:</w:t>
      </w:r>
      <w:r>
        <w:rPr>
          <w:b w:val="false"/>
          <w:bCs w:val="false"/>
          <w:i w:val="false"/>
          <w:iCs w:val="false"/>
        </w:rPr>
        <w:t xml:space="preserve"> la carpeta está en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Unión</w:t>
      </w:r>
      <w:r>
        <w:rPr>
          <w:b w:val="false"/>
          <w:bCs w:val="false"/>
          <w:i w:val="false"/>
          <w:iCs w:val="false"/>
        </w:rPr>
        <w:t xml:space="preserve"> y no dentro de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Lado Noticias</w:t>
      </w:r>
      <w:r>
        <w:rPr>
          <w:b w:val="false"/>
          <w:bCs w:val="false"/>
          <w:i w:val="false"/>
          <w:iCs w:val="false"/>
        </w:rPr>
        <w:t xml:space="preserve">, porque en ese lado no entra nada sin una decisión explícita de Gino. Si él la quiere, puede copiarla a su lado.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Búsqueda:</w:t>
      </w:r>
      <w:r>
        <w:rPr>
          <w:b w:val="false"/>
          <w:bCs w:val="false"/>
          <w:i w:val="false"/>
          <w:iCs w:val="false"/>
        </w:rPr>
        <w:t xml:space="preserve"> alphaXiv (arXiv) y web, en español y en inglés.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Nombre de cada archivo:</w:t>
      </w:r>
      <w:r>
        <w:rPr>
          <w:b w:val="false"/>
          <w:bCs w:val="false"/>
          <w:i w:val="false"/>
          <w:iCs w:val="false"/>
        </w:rPr>
        <w:t xml:space="preserve"> empieza con la carpeta de Gino a la que corresponde: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</w:t>
      </w:r>
      <w:r>
        <w:rPr>
          <w:b w:val="false"/>
          <w:bCs w:val="false"/>
          <w:i w:val="false"/>
          <w:iCs w:val="false"/>
        </w:rPr>
        <w:t xml:space="preserve"> o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hay:</w:t>
      </w:r>
      <w:r>
        <w:rPr>
          <w:b w:val="false"/>
          <w:bCs w:val="false"/>
          <w:i w:val="false"/>
          <w:iCs w:val="false"/>
        </w:rPr>
        <w:t xml:space="preserve"> 23 PDF descargados (sección 1) y 8 trabajos que se citan pero no se descargaron (sección 2).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Para citar:</w:t>
      </w:r>
      <w:r>
        <w:rPr>
          <w:b w:val="false"/>
          <w:bCs w:val="false"/>
          <w:i w:val="false"/>
          <w:iCs w:val="false"/>
        </w:rPr>
        <w:t xml:space="preserve"> las citas en formato BibTeX están en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referencias_papers.bib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before="120"/>
      </w:pPr>
      <w:r>
        <w:rPr>
          <w:b w:val="false"/>
          <w:bCs w:val="false"/>
          <w:i w:val="false"/>
          <w:iCs w:val="false"/>
        </w:rPr>
        <w:t xml:space="preserve">Los resúmenes salen del abstract y de la primera página de cada paper. Antes de citar un número puntual, conviene confirmarlo en el PDF.</w:t>
      </w:r>
    </w:p>
    <w:p>
      <w:pPr>
        <w:pStyle w:val="Heading1"/>
        <w:keepNext/>
        <w:spacing w:after="160" w:before="360"/>
      </w:pPr>
      <w:r>
        <w:t xml:space="preserve">1. Papers descargados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Recolección del corpus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)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Barbaresi (2021). </w:t>
      </w:r>
      <w:r>
        <w:rPr>
          <w:b/>
          <w:bCs/>
          <w:i/>
          <w:iCs/>
        </w:rPr>
        <w:t xml:space="preserve">Trafilatura: A Web Scraping Library and Command-Line Tool for Text Discovery and Extraction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Proceedings of ACL-IJCNLP 2021: System Demonstrations, 122–131.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noticias_Barbaresi_2021_trafilatura.pdf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la librería trafilatura, que extrae de una página web el texto principal y los metadatos (título, autor, fecha). La compara con otras herramientas.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una de las capas del extractor de Gino: primero el JSON-LD, después Open Graph, el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&lt;h1&gt;</w:t>
      </w:r>
      <w:r>
        <w:rPr>
          <w:b w:val="false"/>
          <w:bCs w:val="false"/>
          <w:i w:val="false"/>
          <w:iCs w:val="false"/>
        </w:rPr>
        <w:t xml:space="preserve">, trafilatura y, por último, BeautifulSoup.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cita obligada para esa herramienta.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Garg, Alam, Ayala, Graham et al. (2025). </w:t>
      </w:r>
      <w:r>
        <w:rPr>
          <w:b/>
          <w:bCs/>
          <w:i/>
          <w:iCs/>
        </w:rPr>
        <w:t xml:space="preserve">Longitudinal Sampling of URLs From the Wayback Machine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2507.14752.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noticias_2507.14752_wayback_machine_sampling.pdf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cuenta cómo se recolectaron millones de páginas archivadas en Internet Archive (la Wayback Machine) y qué problemas aparecieron.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el método principal de recolección de Gino, que usó la CDX API de Internet Archive.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respalda la limitación que él menciona: el corpus depende de qué páginas archivó un tercero.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Foley (2026). </w:t>
      </w:r>
      <w:r>
        <w:rPr>
          <w:b/>
          <w:bCs/>
          <w:i/>
          <w:iCs/>
        </w:rPr>
        <w:t xml:space="preserve">WCXB: A Multi-Type Web Content Extraction Benchmark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2605.21097.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noticias_2605.21097_WCXB_extraccion_contenido.pdf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compara herramientas que separan el texto principal de una página del "relleno" (menús, publicidad, pies de página).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Explica por qué quedaron restos como "PUBLICIDAD" o el bloque "Sobre la firma / Newsletter Clarín" dentro del texto.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Esos restos hubo que filtrarlos después, en el sentimiento y en el NER.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Hatwar, Partridge, Bhargava y Bermejo (2024). </w:t>
      </w:r>
      <w:r>
        <w:rPr>
          <w:b/>
          <w:bCs/>
          <w:i/>
          <w:iCs/>
        </w:rPr>
        <w:t xml:space="preserve">Author Unknown: Evaluating Performance of Author Extraction Libraries on Global Online News Articles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2410.19771.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noticias_2410.19771_extraccion_autor_noticias.pdf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mide qué tan bien distintas librerías sacan el autor y otros metadatos de las noticias online.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Se relaciona con el problema de iProfesional y El Economista: los metadatos faltaban por un error de parseo del JSON-LD.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Muestra que la extracción de metadatos falla seguido y conviene validarla.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Dodge, Sap, Marasović, Agnew et al. (2021). </w:t>
      </w:r>
      <w:r>
        <w:rPr>
          <w:b/>
          <w:bCs/>
          <w:i/>
          <w:iCs/>
        </w:rPr>
        <w:t xml:space="preserve">Documenting Large Webtext Corpora: A Case Study on the Colossal Clean Crawled Corpus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2104.08758.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noticias_2104.08758_documentar_corpus_web_C4.pdf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audita un corpus sacado de la web y encuentra texto de plantilla, duplicados y contenido que no corresponde.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los documentos de auditoría de Gino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AUDITORIA_CORPUS.md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DEPURACION_CALIDAD.md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La idea es la misma: un corpus de la web hay que documentarlo y auditarlo antes de usarlo.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Lee, Ippolito, Nystrom, Zhang et al. (2021). </w:t>
      </w:r>
      <w:r>
        <w:rPr>
          <w:b/>
          <w:bCs/>
          <w:i/>
          <w:iCs/>
        </w:rPr>
        <w:t xml:space="preserve">Deduplicating Training Data Makes Language Models Better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2107.06499.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noticias_2107.06499_deduplicacion.pdf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 los corpus de texto tienen muchos duplicados y casi duplicados. También muestra que quitarlos mejora los modelos y evita que se "memoricen" textos repetidos.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Respalda la limpieza de duplicados de Gino: 205 duplicados exactos entre Wayback y sitemap, y la publicación cruzada de una misma nota.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También respalda haber quitado los párrafos fijos repetidos del conjunto etiquetado.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Fronzetti Colladon y Vestrelli (2026). </w:t>
      </w:r>
      <w:r>
        <w:rPr>
          <w:b/>
          <w:bCs/>
          <w:i/>
          <w:iCs/>
        </w:rPr>
        <w:t xml:space="preserve">Free Access to World News: Reconstructing Full-Text Articles from GDELT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Big Data and Cognitive Computing 10(2), 45; arXiv 2504.16063.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noticias_2504.16063_GDELT_texto_completo.pdf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propone cómo reconstruir el texto completo de noticias a partir de GDELT, una base mundial de noticias.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una fuente alternativa para ampliar el corpus o cubrir huecos, como el de iProfesional en abril de 2026.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Queda como trabajo futuro.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Modelo de sentimiento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sentimiento_finbert/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)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Cañete, Chaperon, Fuentes, Ho et al. (2020). </w:t>
      </w:r>
      <w:r>
        <w:rPr>
          <w:b/>
          <w:bCs/>
          <w:i/>
          <w:iCs/>
        </w:rPr>
        <w:t xml:space="preserve">Spanish Pre-trained BERT Model and Evaluation Data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Workshop PML4DC, ICLR 2020; arXiv 2308.02976.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sentimiento_2308.02976_BETO.pdf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</w:t>
      </w:r>
      <w:r>
        <w:rPr>
          <w:b/>
          <w:bCs/>
          <w:i w:val="false"/>
          <w:iCs w:val="false"/>
        </w:rPr>
        <w:t xml:space="preserve">BETO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dccuchile/bert-base-spanish-wwm-cased</w:t>
      </w:r>
      <w:r>
        <w:rPr>
          <w:b w:val="false"/>
          <w:bCs w:val="false"/>
          <w:i w:val="false"/>
          <w:iCs w:val="false"/>
        </w:rPr>
        <w:t xml:space="preserve">), un modelo BERT entrenado en español por la Universidad de Chile.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  <w:r>
        <w:rPr>
          <w:b w:val="false"/>
          <w:bCs w:val="false"/>
          <w:i w:val="false"/>
          <w:iCs w:val="false"/>
        </w:rPr>
        <w:t xml:space="preserve"> es el modelo base del que parte FinBETO y la cita obligada para él.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Pérez, Rajngewerc, Giudici, Furman et al. (2021). </w:t>
      </w:r>
      <w:r>
        <w:rPr>
          <w:b/>
          <w:bCs/>
          <w:i/>
          <w:iCs/>
        </w:rPr>
        <w:t xml:space="preserve">pysentimiento: A Python Toolkit for Opinion Mining and Social NLP tasks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2106.09462.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sentimiento_2106.09462_pysentimiento.pdf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la librería pysentimiento (UBA y CONICET), con modelos de sentimiento en español entrenados con tuits (corpus TASS).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origen del modelo de referencia con el que se comparó FinBETO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finiteautomata/beto-sentiment-analysis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FinBETO lo supera en noticias no vistas: 0,724 contra 0,546 de F1 en 3 clases.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Este paper explica por qué el de referencia rinde peor: se entrenó con tuits, no con prensa económica.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Gutiérrez-Fandiño, Armengol-Estapé, Pàmies, Llop-Palao et al. (2022). </w:t>
      </w:r>
      <w:r>
        <w:rPr>
          <w:b/>
          <w:bCs/>
          <w:i/>
          <w:iCs/>
        </w:rPr>
        <w:t xml:space="preserve">MarIA: Spanish Language Models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Procesamiento del Lenguaje Natural 68, 39–60; arXiv 2107.07253.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sentimiento_2107.07253_MarIA.pdf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MarIA, la familia de modelos en español del Barcelona Supercomputing Center.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principal alternativa a BETO.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En sentimiento financiero en español, MarIA y BETO son los que mejor rinden (ver Pan et al. 2023, sección 2).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Probar MarIA queda como trabajo futuro.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Gururangan, Marasović, Swayamdipta, Lo et al. (2020). </w:t>
      </w:r>
      <w:r>
        <w:rPr>
          <w:b/>
          <w:bCs/>
          <w:i/>
          <w:iCs/>
        </w:rPr>
        <w:t xml:space="preserve">Don't Stop Pretraining: Adapt Language Models to Domains and Tasks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ACL 2020; arXiv 2004.10964.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sentimiento_2004.10964_dont_stop_pretraining.pdf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 seguir entrenando un modelo con texto de su dominio, antes del ajuste fino, mejora su desempeño.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respaldo directo del preentrenamiento continuado de BETO sobre el texto del corpus.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En ese paso Gino enmascaró el 15% de los tokens, durante 3 épocas.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Araci (2019). </w:t>
      </w:r>
      <w:r>
        <w:rPr>
          <w:b/>
          <w:bCs/>
          <w:i/>
          <w:iCs/>
        </w:rPr>
        <w:t xml:space="preserve">FinBERT: Financial Sentiment Analysis with Pre-trained Language Models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1908.10063.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sentimiento_1908.10063_FinBERT.pdf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adapta BERT al lenguaje financiero en inglés y lo ajusta para clasificar sentimiento.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  <w:r>
        <w:rPr>
          <w:b w:val="false"/>
          <w:bCs w:val="false"/>
          <w:i w:val="false"/>
          <w:iCs w:val="false"/>
        </w:rPr>
        <w:t xml:space="preserve"> es el antecedente de "FinBETO", que hace lo mismo con BETO y en español.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Malo, Sinha, Takala, Korhonen et al. (2014). </w:t>
      </w:r>
      <w:r>
        <w:rPr>
          <w:b/>
          <w:bCs/>
          <w:i/>
          <w:iCs/>
        </w:rPr>
        <w:t xml:space="preserve">Good Debt or Bad Debt: Detecting Semantic Orientations in Economic Texts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Journal of the Association for Information Science and Technology; arXiv 1307.5336.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sentimiento_1307.5336_Financial_PhraseBank.pdf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el </w:t>
      </w:r>
      <w:r>
        <w:rPr>
          <w:b/>
          <w:bCs/>
          <w:i w:val="false"/>
          <w:iCs w:val="false"/>
        </w:rPr>
        <w:t xml:space="preserve">Financial PhraseBank</w:t>
      </w:r>
      <w:r>
        <w:rPr>
          <w:b w:val="false"/>
          <w:bCs w:val="false"/>
          <w:i w:val="false"/>
          <w:iCs w:val="false"/>
        </w:rPr>
        <w:t xml:space="preserve">, el conjunto clásico de oraciones financieras etiquetadas por personas como positivas, negativas o neutras.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antecedente del conjunto etiquetado de Gino: 10.855 oraciones de prensa económica argentina.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Una diferencia importante: allí etiquetaron personas, y acá un modelo (Gemma).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Gilardi, Alizadeh y Kubli (2023). </w:t>
      </w:r>
      <w:r>
        <w:rPr>
          <w:b/>
          <w:bCs/>
          <w:i/>
          <w:iCs/>
        </w:rPr>
        <w:t xml:space="preserve">ChatGPT Outperforms Crowd-Workers for Text-Annotation Tasks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PNAS 120(30); arXiv 2303.15056.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sentimiento_2303.15056_ChatGPT_anotador.pdf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compara las etiquetas de ChatGPT con las de personas contratadas para etiquetar textos. El modelo resulta más preciso y mucho más barato.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  <w:r>
        <w:rPr>
          <w:b w:val="false"/>
          <w:bCs w:val="false"/>
          <w:i w:val="false"/>
          <w:iCs w:val="false"/>
        </w:rPr>
        <w:t xml:space="preserve"> respalda haber usado un modelo de lenguaje (Gemma) para etiquetar las oraciones de entrenamiento.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Aguda, Siddagangappa, Kochkina, Kaur et al. (2024). </w:t>
      </w:r>
      <w:r>
        <w:rPr>
          <w:b/>
          <w:bCs/>
          <w:i/>
          <w:iCs/>
        </w:rPr>
        <w:t xml:space="preserve">Large Language Models as Financial Data Annotators: A Study on Effectiveness and Efficiency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2403.18152.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sentimiento_2403.18152_LLM_anotadores_financieros.pdf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estudia qué tan bien etiquetan textos financieros los modelos de lenguaje, comparados con expertos. Es de JPMorgan AI Research.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  <w:r>
        <w:rPr>
          <w:b w:val="false"/>
          <w:bCs w:val="false"/>
          <w:i w:val="false"/>
          <w:iCs w:val="false"/>
        </w:rPr>
        <w:t xml:space="preserve"> es lo mismo que el paper anterior, pero en el dominio financiero, que es el de Gino.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Calderon, Reichart y Dror (2025). </w:t>
      </w:r>
      <w:r>
        <w:rPr>
          <w:b/>
          <w:bCs/>
          <w:i/>
          <w:iCs/>
        </w:rPr>
        <w:t xml:space="preserve">The Alternative Annotator Test for LLM-as-a-Judge: How to Statistically Justify Replacing Human Annotators with LLMs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2501.10970.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sentimiento_2501.10970_alternative_annotator_test.pdf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propone una prueba estadística para decidir si un modelo de lenguaje puede reemplazar a anotadores humanos. Necesita solo una muestra chica etiquetada por personas.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Responde a la principal limitación del modelo: "las etiquetas provienen de un modelo, no de personas".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guía más concreta para hacer la validación humana pendiente con pocas oraciones.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Gemma Team, Google DeepMind (2026). </w:t>
      </w:r>
      <w:r>
        <w:rPr>
          <w:b/>
          <w:bCs/>
          <w:i/>
          <w:iCs/>
        </w:rPr>
        <w:t xml:space="preserve">Gemma 4 Technical Report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2607.02770.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sentimiento_2607.02770_Gemma4.pdf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la familia de modelos abiertos Gemma 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  <w:r>
        <w:rPr>
          <w:b w:val="false"/>
          <w:bCs w:val="false"/>
          <w:i w:val="false"/>
          <w:iCs w:val="false"/>
        </w:rPr>
        <w:t xml:space="preserve"> es la cita del modelo que etiquetó las oraciones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gemma4:26b</w:t>
      </w:r>
      <w:r>
        <w:rPr>
          <w:b w:val="false"/>
          <w:bCs w:val="false"/>
          <w:i w:val="false"/>
          <w:iCs w:val="false"/>
        </w:rPr>
        <w:t xml:space="preserve">, servido con Ollama).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Kapoor y Narayanan (2023). </w:t>
      </w:r>
      <w:r>
        <w:rPr>
          <w:b/>
          <w:bCs/>
          <w:i/>
          <w:iCs/>
        </w:rPr>
        <w:t xml:space="preserve">Leakage and the Reproducibility Crisis in Machine-learning-based Science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Patterns 4(9); arXiv 2207.07048.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sentimiento_2207.07048_leakage_reproducibilidad.pdf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 muchos trabajos informan resultados inflados por "fuga de información", es decir, datos de prueba que también estaban en el entrenamiento.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el respaldo de la corrección más importante del modelo.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Dividir por oración y no por noticia hacía que el modelo se evaluara con notas que ya había visto en parte.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Al corregirlo, el F1 bajó de 0,732 a 0,685.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Xue, Guesmi, Feng, Gong et al. (2026). </w:t>
      </w:r>
      <w:r>
        <w:rPr>
          <w:b/>
          <w:bCs/>
          <w:i/>
          <w:iCs/>
        </w:rPr>
        <w:t xml:space="preserve">Temporal Leakage in Financial News NLP: A Multi-Architecture Audit with a Regime-Specific M&amp;A Signal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2608.17223.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sentimiento_2608.17223_temporal_leakage_noticias_financieras.pdf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muestra que, con noticias financieras, el resultado cambia mucho según cómo se dividan entrenamiento y prueba (al azar o por fecha).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la misma familia de problemas que la división por noticia.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Una mejora posible sería dividir también por fecha.</w:t>
      </w:r>
    </w:p>
    <w:p>
      <w:pPr>
        <w:keepNext/>
        <w:spacing w:after="100" w:before="24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Reconocimiento de entidades (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ner_entidades/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C3A5C"/>
          <w:sz w:val="24"/>
          <w:szCs w:val="24"/>
        </w:rPr>
        <w:t xml:space="preserve">)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Tjong Kim Sang (2002). </w:t>
      </w:r>
      <w:r>
        <w:rPr>
          <w:b/>
          <w:bCs/>
          <w:i/>
          <w:iCs/>
        </w:rPr>
        <w:t xml:space="preserve">Introduction to the CoNLL-2002 Shared Task: Language-Independent Named Entity Recognition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Proceedings of CoNLL-2002.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ner_TjongKimSang_2002_CoNLL_NER_espanol.pdf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presenta la tarea y el conjunto de datos clásicos de NER en español.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De este trabajo vienen los cuatro tipos de entidad que usa spaCy en español: persona (PER), organización (ORG), lugar (LOC) y misceláneas (MISC).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Son los mismos cuatro tipos que reporta el NER de Gino.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Ujiie, Iso, Yada, Wakamiya et al. (2021). </w:t>
      </w:r>
      <w:r>
        <w:rPr>
          <w:b/>
          <w:bCs/>
          <w:i/>
          <w:iCs/>
        </w:rPr>
        <w:t xml:space="preserve">End-to-end Biomedical Entity Linking with Span-based Dictionary Matching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2104.10493.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ner_2104.10493_dictionary_matching.pdf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reconoce entidades buscando en un diccionario y une cada mención a un identificador único.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El ejemplo es biomédico, pero el método es el del gazetteer de empresas de Gino.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Cada alias ("Banco Galicia", "Grupo Financiero Galicia", "GGAL") se une a un identificador único, el ticker.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Golde, Haller y Akbik (2025). </w:t>
      </w:r>
      <w:r>
        <w:rPr>
          <w:b/>
          <w:bCs/>
          <w:i/>
          <w:iCs/>
        </w:rPr>
        <w:t xml:space="preserve">FiNERweb: Datasets and Artifacts for Scalable Multilingual Named Entity Recognition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2512.13884.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ner_2512.13884_FiNERweb.pdf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arma conjuntos de NER en muchos idiomas usando modelos de lenguaje como etiquetadores.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Es una alternativa para mejorar el NER.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El paper usa modelos de lenguaje para etiquetar, la misma idea que el etiquetado con Gemma del sentimiento.</w:t>
      </w:r>
    </w:p>
    <w:p>
      <w:pPr>
        <w:keepNext/>
        <w:spacing w:after="60" w:before="160"/>
      </w:pPr>
      <w:r>
        <w:rPr>
          <w:b/>
          <w:bCs/>
          <w:i w:val="false"/>
          <w:iCs w:val="false"/>
        </w:rPr>
        <w:t xml:space="preserve">Asgarieh, Thadani y O'Hare (2024). </w:t>
      </w:r>
      <w:r>
        <w:rPr>
          <w:b/>
          <w:bCs/>
          <w:i/>
          <w:iCs/>
        </w:rPr>
        <w:t xml:space="preserve">Scalable Detection of Salient Entities in News Articles</w:t>
      </w:r>
      <w:r>
        <w:rPr>
          <w:b/>
          <w:bCs/>
          <w:i w:val="false"/>
          <w:iCs w:val="false"/>
        </w:rPr>
        <w:t xml:space="preserve">.</w:t>
      </w:r>
      <w:r>
        <w:rPr>
          <w:b w:val="false"/>
          <w:bCs w:val="false"/>
          <w:i w:val="false"/>
          <w:iCs w:val="false"/>
        </w:rPr>
        <w:t xml:space="preserve"> arXiv 2405.20461.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Archivo: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color w:val="1C3A5C"/>
          <w:sz w:val="18"/>
          <w:szCs w:val="18"/>
        </w:rPr>
        <w:t xml:space="preserve">ner_2405.20461_entidades_salientes_noticias.pdf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Qué hace:</w:t>
      </w:r>
      <w:r>
        <w:rPr>
          <w:b w:val="false"/>
          <w:bCs w:val="false"/>
          <w:i w:val="false"/>
          <w:iCs w:val="false"/>
        </w:rPr>
        <w:t xml:space="preserve"> distingue las entidades centrales de una noticia de las que se mencionan al pasar. Es de Yahoo Research.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Relación con el lado de noticias: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Se relaciona con una limitación del cruce entidad-sentimiento: una empresa nombrada al pasar recibe el tono de la oración aunque la nota no sea sobre ella.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Medir la "saliencia" de cada empresa sería una mejora.</w:t>
      </w:r>
    </w:p>
    <w:p>
      <w:pPr>
        <w:pStyle w:val="Heading1"/>
        <w:keepNext/>
        <w:spacing w:after="160" w:before="360"/>
      </w:pPr>
      <w:r>
        <w:t xml:space="preserve">2. Citados pero no descargados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1638"/>
        <w:gridCol w:w="4433"/>
        <w:gridCol w:w="3566"/>
      </w:tblGrid>
      <w:tr>
        <w:trPr>
          <w:tblHeader/>
        </w:trPr>
        <w:tc>
          <w:tcPr>
            <w:tcW w:type="pct" w:w="8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pct" w:w="23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pct" w:w="185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 no se descargó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Pan, García-Díaz, García-Sánchez y Valencia-García (2023).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Evaluation of transformer models for financial targeted sentiment analysis in Spanish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PeerJ Computer Science 9, e1377</w:t>
            </w:r>
          </w:p>
        </w:tc>
        <w:tc>
          <w:tcPr>
            <w:tcW w:type="pct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 de acceso abierto, pero el sitio bloquea la descarga automática. Se puede bajar a mano desde https://peerj.com/articles/cs-1377. Es lo más parecido en español: titulares financieros, donde BETO y MarIA son los mejores modelos</w:t>
            </w:r>
          </w:p>
        </w:tc>
      </w:tr>
      <w:tr>
        <w:trPr>
          <w:cantSplit/>
        </w:trPr>
        <w:tc>
          <w:tcPr>
            <w:tcW w:type="pct" w:w="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</w:t>
            </w:r>
          </w:p>
        </w:tc>
        <w:tc>
          <w:tcPr>
            <w:tcW w:type="pct" w:w="2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Marín, Valencia-García, García-Díaz et al. (2023).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Overview of FinancES 2023: Financial Targeted Sentiment Analysis in Spanish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Procesamiento del Lenguaje Natural 71, 417–423</w:t>
            </w:r>
          </w:p>
        </w:tc>
        <w:tc>
          <w:tcPr>
            <w:tcW w:type="pct" w:w="1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se encontró un PDF directo. Es el concurso de sentimiento financiero en español: sentimiento hacia la empresa principal, otras empresas y la sociedad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García-Díaz, García-Sánchez y Valencia-García (2023).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Smart Analysis of Economics Sentiment in Spanish Based on Linguistic Features and Transformers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IEEE Access 11, 14211–14224</w:t>
            </w:r>
          </w:p>
        </w:tc>
        <w:tc>
          <w:tcPr>
            <w:tcW w:type="pct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 de acceso abierto, pero no se encontró un enlace directo al PDF; se baja a mano desde IEEE Xplore (DOI 10.1109/ACCESS.2023.3244065). Usa 15.915 tuits económicos en español</w:t>
            </w:r>
          </w:p>
        </w:tc>
      </w:tr>
      <w:tr>
        <w:trPr>
          <w:cantSplit/>
        </w:trPr>
        <w:tc>
          <w:tcPr>
            <w:tcW w:type="pct" w:w="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</w:t>
            </w:r>
          </w:p>
        </w:tc>
        <w:tc>
          <w:tcPr>
            <w:tcW w:type="pct" w:w="2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Loughran y McDonald (2011).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When Is a Liability Not a Liability? Textual Analysis, Dictionaries, and 10-Ks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Journal of Finance 66(1), 35–65</w:t>
            </w:r>
          </w:p>
        </w:tc>
        <w:tc>
          <w:tcPr>
            <w:tcW w:type="pct" w:w="1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Paga. Es el diccionario financiero clásico, la alternativa "por palabras" a FinBETO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Devlin, Chang, Lee y Toutanova (2019).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BERT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NAACL 2019</w:t>
            </w:r>
          </w:p>
        </w:tc>
        <w:tc>
          <w:tcPr>
            <w:tcW w:type="pct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 la base de BETO; se cita a través del paper de BETO</w:t>
            </w:r>
          </w:p>
        </w:tc>
      </w:tr>
      <w:tr>
        <w:trPr>
          <w:cantSplit/>
        </w:trPr>
        <w:tc>
          <w:tcPr>
            <w:tcW w:type="pct" w:w="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Todo</w:t>
            </w:r>
          </w:p>
        </w:tc>
        <w:tc>
          <w:tcPr>
            <w:tcW w:type="pct" w:w="2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Wirth y Hipp (2000).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CRISP-DM: Towards a Standard Process Model for Data Mining</w:t>
            </w:r>
          </w:p>
        </w:tc>
        <w:tc>
          <w:tcPr>
            <w:tcW w:type="pct" w:w="1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se localizó una copia oficial. Es la metodología que mencionan los borradores de Gino ("fase 02")</w:t>
            </w:r>
          </w:p>
        </w:tc>
      </w:tr>
      <w:tr>
        <w:trPr>
          <w:cantSplit/>
        </w:trPr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NER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Honnibal, Montani, Van Landeghem y Boyd (2020).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spaCy: Industrial-strength Natural Language Processing in Python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 Zenodo</w:t>
            </w:r>
          </w:p>
        </w:tc>
        <w:tc>
          <w:tcPr>
            <w:tcW w:type="pct" w:w="1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 software, no un paper. Se cita como herramienta (modelo </w:t>
            </w:r>
            <w:r>
              <w:rPr>
                <w:rFonts w:ascii="Consolas" w:cs="Consolas" w:eastAsia="Consolas" w:hAnsi="Consolas"/>
                <w:color w:val="1C3A5C"/>
                <w:sz w:val="18"/>
                <w:szCs w:val="18"/>
              </w:rPr>
              <w:t xml:space="preserve">es_core_news_lg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pct" w:w="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Sentimiento por entidad</w:t>
            </w:r>
          </w:p>
        </w:tc>
        <w:tc>
          <w:tcPr>
            <w:tcW w:type="pct" w:w="23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FinEntity (Tang et al., 2023) y SEntFiN (Sinha et al., 2023)</w:t>
            </w:r>
          </w:p>
        </w:tc>
        <w:tc>
          <w:tcPr>
            <w:tcW w:type="pct" w:w="185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 están descargados en </w:t>
            </w:r>
            <w:r>
              <w:rPr>
                <w:rFonts w:ascii="Consolas" w:cs="Consolas" w:eastAsia="Consolas" w:hAnsi="Consolas"/>
                <w:color w:val="1C3A5C"/>
                <w:sz w:val="18"/>
                <w:szCs w:val="18"/>
              </w:rPr>
              <w:t xml:space="preserve">../10_papers_union/</w:t>
            </w: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(U3); no se duplican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3. Qué dice la literatura sobre las decisiones del lado de noticias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Etiquetar con un modelo de lenguaje es una práctica aceptada,</w:t>
      </w:r>
      <w:r>
        <w:rPr>
          <w:b w:val="false"/>
          <w:bCs w:val="false"/>
          <w:i w:val="false"/>
          <w:iCs w:val="false"/>
        </w:rPr>
        <w:t xml:space="preserve"> con una condición: hay que validarlo contra personas.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Gilardi et al. (2023) y Aguda et al. (2024) muestran que puede funcionar.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Calderon et al. (2025) dan la prueba para justificarlo.</w:t>
      </w:r>
    </w:p>
    <w:p>
      <w:pPr>
        <w:spacing w:after="40"/>
        <w:ind w:left="720" w:hanging="240"/>
      </w:pPr>
      <w:r>
        <w:t xml:space="preserve">–  </w:t>
      </w:r>
      <w:r>
        <w:rPr>
          <w:b w:val="false"/>
          <w:bCs w:val="false"/>
          <w:i w:val="false"/>
          <w:iCs w:val="false"/>
        </w:rPr>
        <w:t xml:space="preserve">La validación humana que Gino dejó pendiente es justamente lo que pide esta literatura.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Dividir por noticia y no por oración fue la decisión correcta.</w:t>
      </w:r>
      <w:r>
        <w:rPr>
          <w:b w:val="false"/>
          <w:bCs w:val="false"/>
          <w:i w:val="false"/>
          <w:iCs w:val="false"/>
        </w:rPr>
        <w:t xml:space="preserve"> Kapoor y Narayanan (2023) muestran que la fuga de información infla los resultados. Por eso el F1 que corresponde informar es 0,685 y no 0,732.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El preentrenamiento continuado sobre el propio corpus</w:t>
      </w:r>
      <w:r>
        <w:rPr>
          <w:b w:val="false"/>
          <w:bCs w:val="false"/>
          <w:i w:val="false"/>
          <w:iCs w:val="false"/>
        </w:rPr>
        <w:t xml:space="preserve"> está respaldado por Gururangan et al. (2020).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Superar al modelo de referencia tiene sentido.</w:t>
      </w:r>
      <w:r>
        <w:rPr>
          <w:b w:val="false"/>
          <w:bCs w:val="false"/>
          <w:i w:val="false"/>
          <w:iCs w:val="false"/>
        </w:rPr>
        <w:t xml:space="preserve"> pysentimiento se entrenó con tuits, no con prensa económica. Por eso la ventaja de FinBETO (0,724 contra 0,546) es razonable.</w:t>
      </w:r>
    </w:p>
    <w:p>
      <w:pPr>
        <w:spacing w:after="40"/>
        <w:ind w:left="360" w:hanging="240"/>
      </w:pPr>
      <w:r>
        <w:t xml:space="preserve">•  </w:t>
      </w:r>
      <w:r>
        <w:rPr>
          <w:b/>
          <w:bCs/>
          <w:i w:val="false"/>
          <w:iCs w:val="false"/>
        </w:rPr>
        <w:t xml:space="preserve">En español hay pocos recursos de sentimiento financiero.</w:t>
      </w:r>
      <w:r>
        <w:rPr>
          <w:b w:val="false"/>
          <w:bCs w:val="false"/>
          <w:i w:val="false"/>
          <w:iCs w:val="false"/>
        </w:rPr>
        <w:t xml:space="preserve"> Están FinancES, Pan et al. y García-Díaz et al., todos de la Universidad de Murcia y casi todos sobre titulares y tuits. No hay un conjunto público de oraciones de prensa económica argentina. El conjunto de Gino es un aporte en sí mismo.</w:t>
      </w:r>
    </w:p>
    <w:p>
      <w:pPr>
        <w:spacing w:after="160" w:line="300"/>
      </w:pPr>
      <w:r>
        <w:rPr>
          <w:i/>
          <w:iCs/>
          <w:color w:val="5C6B7A"/>
          <w:sz w:val="18"/>
          <w:szCs w:val="18"/>
        </w:rPr>
        <w:t xml:space="preserve">Búsqueda hecha el 24/10/2026 en alphaXiv (arXiv) y en la web, en español y en inglés.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Gino Frigoni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Referencias de papers del lado de noticias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2026-10-24T18:27:33.011Z</dcterms:created>
  <dcterms:modified xsi:type="dcterms:W3CDTF">2026-10-24T18:27:33.011Z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