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Clases de equivalencia: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color w:val="0b539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b5394"/>
          <w:rtl w:val="0"/>
        </w:rPr>
        <w:t xml:space="preserve">Clases de entrada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165"/>
        <w:gridCol w:w="3000"/>
        <w:tblGridChange w:id="0">
          <w:tblGrid>
            <w:gridCol w:w="2835"/>
            <w:gridCol w:w="316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CONDICION EXTERNA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CLASES DE EQUIVALENCIAS VÁLIDAS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Estado Taxi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Estado ingresado igual a Libre, Solicitado, ocupado o fuera de servicio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Cualquier estado distinto a Libre, solicitado, ocupado, fuera de servicio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Estado no ingresado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Barrio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Barrio existente ingresado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Barrio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Barrio no ingresado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Chapa (4 números)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Chapa existente ingresada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Chapa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Chapa no ingresada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Chapa con formato no válido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Cursor encima de taxi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Cursor sobre el ícono de taxi en estado ocupado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Cursos sobre el icono de taxi en estado Libre, Solicitado, Fuera de servicio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Logueado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logueado con rol Administrador de la central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no logueado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logueado con rol distinto a Administrador de la central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  <w:color w:val="0b539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b5394"/>
          <w:rtl w:val="0"/>
        </w:rPr>
        <w:t xml:space="preserve">Clases de Salida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165"/>
        <w:gridCol w:w="3000"/>
        <w:tblGridChange w:id="0">
          <w:tblGrid>
            <w:gridCol w:w="2835"/>
            <w:gridCol w:w="316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CONDICION EXTERNA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CLASES DE EQUIVALENCIAS VÁLIDAS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mfortaa" w:cs="Comfortaa" w:eastAsia="Comfortaa" w:hAnsi="Comfortaa"/>
                <w:color w:val="ffffff"/>
                <w:shd w:fill="3d85c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shd w:fill="3d85c6" w:val="clear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Mapa con los colores de taxis segun estado correspondiente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Mapa de taxis con todos los colores segun estado   completo de taxis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Error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Mapa de taxis con todos los colores segun estado filtrado por barrio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Mensaje informando que el barrio ingresado es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Mapa de taxis con un solo color filtrado por estado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Mensaje informando que el estado ingresado es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Mapa de taxi con su color segun estado  filtrado por chapa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Mensaje informando que la chapa  ingresada es inexistente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Información de taxi ocupado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Datos de pasajero cuando el taxi seleccionado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Datos de viaje y pasajero cuando el taxi seleccionado tiene un estado diferente a ocupado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22.594934253908"/>
        <w:gridCol w:w="1570.942942477018"/>
        <w:gridCol w:w="1289.3588301462319"/>
        <w:gridCol w:w="1689.5046739847178"/>
        <w:gridCol w:w="1615.4035917924055"/>
        <w:gridCol w:w="1837.7068383693422"/>
        <w:tblGridChange w:id="0">
          <w:tblGrid>
            <w:gridCol w:w="1022.594934253908"/>
            <w:gridCol w:w="1570.942942477018"/>
            <w:gridCol w:w="1289.3588301462319"/>
            <w:gridCol w:w="1689.5046739847178"/>
            <w:gridCol w:w="1615.4035917924055"/>
            <w:gridCol w:w="1837.706838369342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Id del Caso de Prueba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Nombre del Caso de prueba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(Ingredientes)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60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Filtrado de taxis por barrio.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Barrio San Martín cargado en sistema.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logueado y con permiso de administrador.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Usuario “Juan Ignacio Bertola”.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Taxis conectados con ubicación en barrio “San Martín”.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El administrador de la central selecciona la opción “Filtrar busqueda de taxis por barrio”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El Aministrador ingresa barrio=”San Martin”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El administrador selecciona la opción “Buscar”.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Visualizar los taxis en barrio San Martín.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Sistema muestra taxis con los colores correspondientes segun estado localizados en el barrio “San Martin”.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