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618D" w:rsidRPr="001A0863" w:rsidRDefault="00307460" w:rsidP="001A0863">
      <w:pPr>
        <w:pStyle w:val="Ttulo1"/>
      </w:pPr>
      <w:r w:rsidRPr="001A0863">
        <w:t>APÉ</w:t>
      </w:r>
      <w:r w:rsidR="007D2E65" w:rsidRPr="001A0863">
        <w:t xml:space="preserve">NDICE A: </w:t>
      </w:r>
      <w:r w:rsidR="00F17AA6" w:rsidRPr="001A0863">
        <w:t>Elementos</w:t>
      </w:r>
      <w:r w:rsidR="00DF6D48">
        <w:t xml:space="preserve"> de un conversor flash</w:t>
      </w:r>
      <w:r w:rsidR="003E44A2" w:rsidRPr="001A0863">
        <w:t xml:space="preserve"> (Teoría)</w:t>
      </w:r>
      <w:r w:rsidR="00DF6D48">
        <w:t>.</w:t>
      </w:r>
    </w:p>
    <w:p w:rsidR="00CB1A45" w:rsidRPr="001A0863" w:rsidRDefault="003E44A2" w:rsidP="001A0863">
      <w:pPr>
        <w:pStyle w:val="IntroCAPTESIS"/>
        <w:rPr>
          <w:iCs/>
        </w:rPr>
      </w:pPr>
      <w:r w:rsidRPr="001A0863">
        <w:rPr>
          <w:iCs/>
        </w:rPr>
        <w:t xml:space="preserve">En este </w:t>
      </w:r>
      <w:r w:rsidR="00866E73" w:rsidRPr="001A0863">
        <w:rPr>
          <w:iCs/>
        </w:rPr>
        <w:t>apéndice</w:t>
      </w:r>
      <w:r w:rsidRPr="001A0863">
        <w:rPr>
          <w:iCs/>
        </w:rPr>
        <w:t xml:space="preserve"> se pretende dar una breve explicación sobre el funcionamiento de los componentes del conversor flash.</w:t>
      </w:r>
      <w:r w:rsidR="00CB1A45" w:rsidRPr="001A0863">
        <w:rPr>
          <w:iCs/>
        </w:rPr>
        <w:t xml:space="preserve"> Se describirán las consideraciones tenidas </w:t>
      </w:r>
      <w:r w:rsidRPr="001A0863">
        <w:rPr>
          <w:iCs/>
        </w:rPr>
        <w:t xml:space="preserve">en cuenta </w:t>
      </w:r>
      <w:r w:rsidR="00CB1A45" w:rsidRPr="001A0863">
        <w:rPr>
          <w:iCs/>
        </w:rPr>
        <w:t>en el diseño y las maneras de evaluar y describir el funcionamiento de cada componente por separado.</w:t>
      </w:r>
    </w:p>
    <w:p w:rsidR="0061618D" w:rsidRDefault="0061618D" w:rsidP="001A0863">
      <w:pPr>
        <w:pStyle w:val="Ttulo2"/>
        <w:pBdr>
          <w:top w:val="single" w:sz="4" w:space="1" w:color="auto"/>
          <w:bottom w:val="single" w:sz="4" w:space="1" w:color="auto"/>
        </w:pBdr>
      </w:pPr>
      <w:r>
        <w:t>COMPARADOR</w:t>
      </w:r>
    </w:p>
    <w:p w:rsidR="0030599C" w:rsidRPr="001A0863" w:rsidRDefault="0030599C" w:rsidP="001A0863">
      <w:pPr>
        <w:pStyle w:val="ParrafoTESIS"/>
        <w:rPr>
          <w:lang w:eastAsia="es-AR"/>
        </w:rPr>
      </w:pPr>
      <w:r w:rsidRPr="001A0863">
        <w:rPr>
          <w:lang w:eastAsia="es-AR"/>
        </w:rPr>
        <w:t>El comparador es un circuito que compara dos señales y nos d</w:t>
      </w:r>
      <w:r w:rsidR="00307460" w:rsidRPr="001A0863">
        <w:rPr>
          <w:lang w:eastAsia="es-AR"/>
        </w:rPr>
        <w:t>a</w:t>
      </w:r>
      <w:r w:rsidRPr="001A0863">
        <w:rPr>
          <w:lang w:eastAsia="es-AR"/>
        </w:rPr>
        <w:t xml:space="preserve"> como resultado una señal binaria indicando la mayor de ellas. En el sentido intrínseco, una señal binaria puede tener tan solo dos valores determinados en cualquier instante de tiempo, pero esta consideración es ideal, y en realidad, donde se realiza la transición de un estado a otro, existe una región donde la señal </w:t>
      </w:r>
      <w:r w:rsidR="00002B26" w:rsidRPr="001A0863">
        <w:rPr>
          <w:lang w:eastAsia="es-AR"/>
        </w:rPr>
        <w:t xml:space="preserve">no se comporta con una </w:t>
      </w:r>
      <w:r w:rsidRPr="001A0863">
        <w:rPr>
          <w:lang w:eastAsia="es-AR"/>
        </w:rPr>
        <w:t xml:space="preserve">binaria </w:t>
      </w:r>
      <w:r w:rsidR="00002B26" w:rsidRPr="001A0863">
        <w:rPr>
          <w:lang w:eastAsia="es-AR"/>
        </w:rPr>
        <w:t xml:space="preserve">sino mas bien </w:t>
      </w:r>
      <w:r w:rsidRPr="001A0863">
        <w:rPr>
          <w:lang w:eastAsia="es-AR"/>
        </w:rPr>
        <w:t>t</w:t>
      </w:r>
      <w:r w:rsidR="00002B26" w:rsidRPr="001A0863">
        <w:rPr>
          <w:lang w:eastAsia="es-AR"/>
        </w:rPr>
        <w:t>oma</w:t>
      </w:r>
      <w:r w:rsidRPr="001A0863">
        <w:rPr>
          <w:lang w:eastAsia="es-AR"/>
        </w:rPr>
        <w:t xml:space="preserve"> varios valores</w:t>
      </w:r>
      <w:r w:rsidR="00002B26" w:rsidRPr="001A0863">
        <w:rPr>
          <w:lang w:eastAsia="es-AR"/>
        </w:rPr>
        <w:t>.</w:t>
      </w:r>
      <w:r w:rsidRPr="001A0863">
        <w:rPr>
          <w:lang w:eastAsia="es-AR"/>
        </w:rPr>
        <w:t xml:space="preserve"> </w:t>
      </w:r>
      <w:r w:rsidR="00002B26" w:rsidRPr="001A0863">
        <w:rPr>
          <w:lang w:eastAsia="es-AR"/>
        </w:rPr>
        <w:t>Lo que un buen diseño busca, es una rápida transición de esta región.</w:t>
      </w:r>
    </w:p>
    <w:p w:rsidR="0030599C" w:rsidRDefault="0030599C" w:rsidP="001A0863">
      <w:pPr>
        <w:pStyle w:val="ParrafoTESIS"/>
      </w:pPr>
      <w:r>
        <w:t xml:space="preserve">Podemos </w:t>
      </w:r>
      <w:r w:rsidR="00002B26">
        <w:t>clasificar</w:t>
      </w:r>
      <w:r>
        <w:t xml:space="preserve"> a los comparadores en 3 categorías, comparadores de </w:t>
      </w:r>
      <w:r>
        <w:rPr>
          <w:i/>
        </w:rPr>
        <w:t>Lazo Abierto</w:t>
      </w:r>
      <w:r>
        <w:t xml:space="preserve">, </w:t>
      </w:r>
      <w:r>
        <w:rPr>
          <w:i/>
        </w:rPr>
        <w:t>Regenerativos</w:t>
      </w:r>
      <w:r>
        <w:t xml:space="preserve"> y en una combinación de ambos que resultan ser extremadamente veloces. Los </w:t>
      </w:r>
      <w:r>
        <w:rPr>
          <w:i/>
        </w:rPr>
        <w:t>Comparadores de Lazo Abierto</w:t>
      </w:r>
      <w:r>
        <w:t xml:space="preserve"> son básicamente amplificadores operacionales sin compensación. Los </w:t>
      </w:r>
      <w:r>
        <w:rPr>
          <w:i/>
        </w:rPr>
        <w:t>Comparadores Regenerativos</w:t>
      </w:r>
      <w:r>
        <w:t xml:space="preserve"> utilizan realimentación positiva, similar a un amplificador de censado o a los Flip</w:t>
      </w:r>
      <w:r w:rsidR="00024623">
        <w:t>-</w:t>
      </w:r>
      <w:r>
        <w:t>Flops.</w:t>
      </w:r>
    </w:p>
    <w:p w:rsidR="0030599C" w:rsidRPr="00BC12A1" w:rsidRDefault="00307460" w:rsidP="001A0863">
      <w:pPr>
        <w:pStyle w:val="Ttulo3"/>
      </w:pPr>
      <w:r>
        <w:t>CARACTERIZACIÓ</w:t>
      </w:r>
      <w:r w:rsidR="0030599C" w:rsidRPr="00BC12A1">
        <w:t>N DE</w:t>
      </w:r>
      <w:r w:rsidR="0030599C">
        <w:t>L</w:t>
      </w:r>
      <w:r w:rsidR="0030599C" w:rsidRPr="00BC12A1">
        <w:t xml:space="preserve"> COMPARADOR</w:t>
      </w:r>
    </w:p>
    <w:p w:rsidR="0030599C" w:rsidRDefault="0030599C" w:rsidP="001A0863">
      <w:pPr>
        <w:pStyle w:val="ParrafoTESIS"/>
      </w:pPr>
      <w:r>
        <w:t xml:space="preserve">En la </w:t>
      </w:r>
      <w:fldSimple w:instr=" REF _Ref256172921 \h  \* MERGEFORMAT ">
        <w:r w:rsidR="00024623" w:rsidRPr="00024623">
          <w:rPr>
            <w:color w:val="4F81BD" w:themeColor="accent1"/>
          </w:rPr>
          <w:t xml:space="preserve">Figura </w:t>
        </w:r>
        <w:r w:rsidR="00024623" w:rsidRPr="00024623">
          <w:rPr>
            <w:noProof/>
            <w:color w:val="4F81BD" w:themeColor="accent1"/>
          </w:rPr>
          <w:t>1</w:t>
        </w:r>
      </w:fldSimple>
      <w:r>
        <w:rPr>
          <w:b/>
          <w:color w:val="0070C0"/>
        </w:rPr>
        <w:t xml:space="preserve"> </w:t>
      </w:r>
      <w:r>
        <w:t>se muestra el símbolo del comparador</w:t>
      </w:r>
      <w:r w:rsidRPr="00024623">
        <w:t xml:space="preserve">. Si un valor positivo es aplicado en la entrada </w:t>
      </w:r>
      <w:r w:rsidRPr="00024623">
        <w:rPr>
          <w:i/>
        </w:rPr>
        <w:t>v</w:t>
      </w:r>
      <w:r w:rsidRPr="00024623">
        <w:rPr>
          <w:i/>
          <w:vertAlign w:val="subscript"/>
        </w:rPr>
        <w:t>p</w:t>
      </w:r>
      <w:r w:rsidRPr="00024623">
        <w:t xml:space="preserve"> hará que la salida del comparado llegue a un valor positivo, y si es aplicado a la entrada </w:t>
      </w:r>
      <w:r w:rsidRPr="00024623">
        <w:rPr>
          <w:i/>
        </w:rPr>
        <w:t>v</w:t>
      </w:r>
      <w:r w:rsidRPr="00024623">
        <w:rPr>
          <w:i/>
          <w:vertAlign w:val="subscript"/>
        </w:rPr>
        <w:t>n</w:t>
      </w:r>
      <w:r w:rsidR="00307460">
        <w:t xml:space="preserve"> causará</w:t>
      </w:r>
      <w:r w:rsidRPr="00024623">
        <w:t xml:space="preserve"> que la salida llegue a un valor negativo.</w:t>
      </w:r>
      <w:r>
        <w:t xml:space="preserve"> Los niveles de excursión más altos y más bajos de la salida del comparador son definidos como </w:t>
      </w:r>
      <w:r w:rsidRPr="0010527E">
        <w:rPr>
          <w:i/>
        </w:rPr>
        <w:t>V</w:t>
      </w:r>
      <w:r w:rsidRPr="0010527E">
        <w:rPr>
          <w:i/>
          <w:vertAlign w:val="subscript"/>
        </w:rPr>
        <w:t>OH</w:t>
      </w:r>
      <w:r>
        <w:t xml:space="preserve"> y </w:t>
      </w:r>
      <w:r w:rsidRPr="0010527E">
        <w:rPr>
          <w:i/>
        </w:rPr>
        <w:t>V</w:t>
      </w:r>
      <w:r w:rsidRPr="0010527E">
        <w:rPr>
          <w:i/>
          <w:vertAlign w:val="subscript"/>
        </w:rPr>
        <w:t>OL</w:t>
      </w:r>
      <w:r w:rsidRPr="0010527E">
        <w:rPr>
          <w:vertAlign w:val="subscript"/>
        </w:rPr>
        <w:t xml:space="preserve"> </w:t>
      </w:r>
      <w:r>
        <w:t>respectivamente.</w:t>
      </w:r>
    </w:p>
    <w:p w:rsidR="0030599C" w:rsidRDefault="0030599C" w:rsidP="00CB1A45">
      <w:pPr>
        <w:pStyle w:val="Epgrafe"/>
        <w:jc w:val="center"/>
      </w:pPr>
      <w:r>
        <w:rPr>
          <w:noProof/>
          <w:szCs w:val="28"/>
          <w:lang w:eastAsia="es-AR"/>
        </w:rPr>
        <w:drawing>
          <wp:inline distT="0" distB="0" distL="0" distR="0">
            <wp:extent cx="1639629" cy="605533"/>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40979" cy="606032"/>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0" w:name="_Ref256172921"/>
      <w:r>
        <w:t xml:space="preserve">Figura </w:t>
      </w:r>
      <w:fldSimple w:instr=" SEQ Figura \* ARABIC ">
        <w:r w:rsidR="00024623">
          <w:rPr>
            <w:noProof/>
          </w:rPr>
          <w:t>1</w:t>
        </w:r>
      </w:fldSimple>
      <w:bookmarkEnd w:id="0"/>
      <w:r>
        <w:t>) Circuito simbólico del comparador.</w:t>
      </w:r>
    </w:p>
    <w:p w:rsidR="0030599C" w:rsidRPr="00BC12A1" w:rsidRDefault="0030599C" w:rsidP="001A0863">
      <w:pPr>
        <w:pStyle w:val="Ttulo4"/>
      </w:pPr>
      <w:r w:rsidRPr="00BC12A1">
        <w:t>Características Estáticas</w:t>
      </w:r>
      <w:r w:rsidR="00724590">
        <w:t>:</w:t>
      </w:r>
    </w:p>
    <w:p w:rsidR="00307460" w:rsidRDefault="0030599C" w:rsidP="001A0863">
      <w:pPr>
        <w:pStyle w:val="ParrafoTESIS"/>
      </w:pPr>
      <w:r w:rsidRPr="00024623">
        <w:t xml:space="preserve">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sidRPr="00024623">
        <w:t xml:space="preserve"> muestra la curva de transferencia de DC de los modelos de primer orden de un comparador realizable (no ideal). La diferencia entre este modelo y el anterior es la ganancia, la</w:t>
      </w:r>
      <w:r>
        <w:t xml:space="preserve"> cual puede ser expresada como:</w:t>
      </w:r>
    </w:p>
    <w:p w:rsidR="0030599C" w:rsidRDefault="00EB0909"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representa la diferencia de los voltajes de entrada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rsidR="00307460">
        <w:t xml:space="preserve"> </w:t>
      </w:r>
      <w:r>
        <w:t>necesaria para sat</w:t>
      </w:r>
      <w:r w:rsidR="00307460">
        <w:t>urar la salida en sus niveles lí</w:t>
      </w:r>
      <w:r>
        <w:t>mites superio</w:t>
      </w:r>
      <w:r w:rsidR="00307460">
        <w:t>r e inferior, respectivamente. É</w:t>
      </w:r>
      <w:r>
        <w:t>sta carga de entrada (</w:t>
      </w:r>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oMath>
      <w:r>
        <w:t xml:space="preserve">) es llamada </w:t>
      </w:r>
      <w:r>
        <w:rPr>
          <w:i/>
        </w:rPr>
        <w:t>resolución</w:t>
      </w:r>
      <w:r>
        <w:t xml:space="preserve"> del comparador. En la ganancia se define la mínima cantidad de carga necesaria (</w:t>
      </w:r>
      <w:r>
        <w:rPr>
          <w:i/>
        </w:rPr>
        <w:t>resolución</w:t>
      </w:r>
      <w:r>
        <w:t>) para generar el cambio de estado de la salida entre los dos niveles binarios.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gridCol w:w="4789"/>
      </w:tblGrid>
      <w:tr w:rsidR="0030599C" w:rsidRPr="001D2E64" w:rsidTr="00307460">
        <w:tc>
          <w:tcPr>
            <w:tcW w:w="4265" w:type="dxa"/>
            <w:vAlign w:val="center"/>
          </w:tcPr>
          <w:p w:rsidR="0030599C" w:rsidRPr="001D2E64" w:rsidRDefault="0030599C" w:rsidP="00FA4D0D">
            <w:pPr>
              <w:pStyle w:val="Epgrafe"/>
              <w:jc w:val="center"/>
            </w:pPr>
            <w:r w:rsidRPr="001D2E64">
              <w:rPr>
                <w:rFonts w:eastAsiaTheme="minorEastAsia"/>
                <w:noProof/>
                <w:szCs w:val="28"/>
                <w:lang w:eastAsia="es-AR"/>
              </w:rPr>
              <w:drawing>
                <wp:inline distT="0" distB="0" distL="0" distR="0">
                  <wp:extent cx="1873545" cy="107554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1885158" cy="1082213"/>
                          </a:xfrm>
                          <a:prstGeom prst="rect">
                            <a:avLst/>
                          </a:prstGeom>
                          <a:noFill/>
                          <a:ln w="9525">
                            <a:noFill/>
                            <a:miter lim="800000"/>
                            <a:headEnd/>
                            <a:tailEnd/>
                          </a:ln>
                        </pic:spPr>
                      </pic:pic>
                    </a:graphicData>
                  </a:graphic>
                </wp:inline>
              </w:drawing>
            </w:r>
          </w:p>
        </w:tc>
        <w:tc>
          <w:tcPr>
            <w:tcW w:w="4789" w:type="dxa"/>
            <w:vAlign w:val="center"/>
          </w:tcPr>
          <w:p w:rsidR="0030599C" w:rsidRPr="001D2E64" w:rsidRDefault="0030599C" w:rsidP="00FA4D0D">
            <w:pPr>
              <w:pStyle w:val="Epgrafe"/>
              <w:jc w:val="center"/>
              <w:rPr>
                <w:rFonts w:eastAsiaTheme="minorEastAsia"/>
                <w:noProof/>
                <w:szCs w:val="28"/>
                <w:lang w:eastAsia="es-AR"/>
              </w:rPr>
            </w:pPr>
            <w:r>
              <w:rPr>
                <w:rFonts w:eastAsiaTheme="minorEastAsia"/>
                <w:noProof/>
                <w:szCs w:val="28"/>
                <w:lang w:eastAsia="es-AR"/>
              </w:rPr>
              <w:drawing>
                <wp:inline distT="0" distB="0" distL="0" distR="0">
                  <wp:extent cx="2884685" cy="1424763"/>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2896256" cy="1430478"/>
                          </a:xfrm>
                          <a:prstGeom prst="rect">
                            <a:avLst/>
                          </a:prstGeom>
                          <a:noFill/>
                          <a:ln w="9525">
                            <a:noFill/>
                            <a:miter lim="800000"/>
                            <a:headEnd/>
                            <a:tailEnd/>
                          </a:ln>
                        </pic:spPr>
                      </pic:pic>
                    </a:graphicData>
                  </a:graphic>
                </wp:inline>
              </w:drawing>
            </w:r>
          </w:p>
        </w:tc>
      </w:tr>
      <w:tr w:rsidR="0030599C" w:rsidRPr="001D2E64" w:rsidTr="00307460">
        <w:tc>
          <w:tcPr>
            <w:tcW w:w="4265" w:type="dxa"/>
          </w:tcPr>
          <w:p w:rsidR="0030599C" w:rsidRPr="001D2E64" w:rsidRDefault="0030599C" w:rsidP="00FA4D0D">
            <w:pPr>
              <w:pStyle w:val="Epgrafe"/>
              <w:rPr>
                <w:rFonts w:eastAsiaTheme="minorEastAsia"/>
                <w:szCs w:val="28"/>
              </w:rPr>
            </w:pPr>
            <w:bookmarkStart w:id="1" w:name="_Ref256173117"/>
            <w:r w:rsidRPr="001D2E64">
              <w:t xml:space="preserve">Figura </w:t>
            </w:r>
            <w:fldSimple w:instr=" SEQ Figura \* ARABIC ">
              <w:r w:rsidR="00024623">
                <w:rPr>
                  <w:noProof/>
                </w:rPr>
                <w:t>2</w:t>
              </w:r>
            </w:fldSimple>
            <w:bookmarkEnd w:id="1"/>
            <w:r w:rsidRPr="001D2E64">
              <w:t>) Curva de transferencia con ganancia finita.</w:t>
            </w:r>
          </w:p>
        </w:tc>
        <w:tc>
          <w:tcPr>
            <w:tcW w:w="4789" w:type="dxa"/>
          </w:tcPr>
          <w:p w:rsidR="0030599C" w:rsidRPr="001D2E64" w:rsidRDefault="0030599C" w:rsidP="00FA4D0D">
            <w:pPr>
              <w:pStyle w:val="Epgrafe"/>
              <w:rPr>
                <w:rFonts w:eastAsiaTheme="minorEastAsia"/>
                <w:szCs w:val="28"/>
              </w:rPr>
            </w:pPr>
            <w:bookmarkStart w:id="2" w:name="_Ref256173145"/>
            <w:r>
              <w:t xml:space="preserve">Figura </w:t>
            </w:r>
            <w:fldSimple w:instr=" SEQ Figura \* ARABIC ">
              <w:r w:rsidR="00024623">
                <w:rPr>
                  <w:noProof/>
                </w:rPr>
                <w:t>3</w:t>
              </w:r>
            </w:fldSimple>
            <w:bookmarkEnd w:id="2"/>
            <w:r>
              <w:t>) Modelo del comparador con ganancia finita.</w:t>
            </w:r>
          </w:p>
        </w:tc>
      </w:tr>
      <w:tr w:rsidR="00307460" w:rsidRPr="001D2E64" w:rsidTr="00307460">
        <w:tc>
          <w:tcPr>
            <w:tcW w:w="4265" w:type="dxa"/>
          </w:tcPr>
          <w:p w:rsidR="00307460" w:rsidRPr="001D2E64" w:rsidRDefault="00307460" w:rsidP="00FA4D0D">
            <w:pPr>
              <w:pStyle w:val="Epgrafe"/>
            </w:pPr>
          </w:p>
        </w:tc>
        <w:tc>
          <w:tcPr>
            <w:tcW w:w="4789" w:type="dxa"/>
          </w:tcPr>
          <w:p w:rsidR="00307460" w:rsidRDefault="00307460" w:rsidP="00FA4D0D">
            <w:pPr>
              <w:pStyle w:val="Epgrafe"/>
            </w:pPr>
          </w:p>
        </w:tc>
      </w:tr>
    </w:tbl>
    <w:p w:rsidR="00024623" w:rsidRDefault="0030599C" w:rsidP="001A0863">
      <w:pPr>
        <w:pStyle w:val="ParrafoTESIS"/>
      </w:pPr>
      <w:r>
        <w:rPr>
          <w:rFonts w:eastAsiaTheme="minorEastAsia"/>
          <w:szCs w:val="28"/>
        </w:rPr>
        <w:t xml:space="preserve">La función de transferencia de la </w:t>
      </w:r>
      <w:fldSimple w:instr=" REF _Ref256173117 \h  \* MERGEFORMAT ">
        <w:r w:rsidR="00024623" w:rsidRPr="00024623">
          <w:rPr>
            <w:color w:val="4F81BD" w:themeColor="accent1"/>
          </w:rPr>
          <w:t xml:space="preserve">Figura </w:t>
        </w:r>
        <w:r w:rsidR="00024623" w:rsidRPr="00024623">
          <w:rPr>
            <w:noProof/>
            <w:color w:val="4F81BD" w:themeColor="accent1"/>
          </w:rPr>
          <w:t>2</w:t>
        </w:r>
      </w:fldSimple>
      <w:r>
        <w:rPr>
          <w:rFonts w:eastAsiaTheme="minorEastAsia"/>
          <w:szCs w:val="28"/>
        </w:rPr>
        <w:t xml:space="preserve"> es modelada por el circuito en la </w:t>
      </w:r>
      <w:fldSimple w:instr=" REF _Ref256173145 \h  \* MERGEFORMAT ">
        <w:r w:rsidR="00024623" w:rsidRPr="00024623">
          <w:rPr>
            <w:color w:val="4F81BD" w:themeColor="accent1"/>
          </w:rPr>
          <w:t xml:space="preserve">Figura </w:t>
        </w:r>
        <w:r w:rsidR="00024623" w:rsidRPr="00024623">
          <w:rPr>
            <w:noProof/>
            <w:color w:val="4F81BD" w:themeColor="accent1"/>
          </w:rPr>
          <w:t>3</w:t>
        </w:r>
      </w:fldSimple>
      <w:r w:rsidR="00024623">
        <w:t>.</w:t>
      </w:r>
    </w:p>
    <w:p w:rsidR="0030599C" w:rsidRDefault="0030599C" w:rsidP="001A0863">
      <w:pPr>
        <w:pStyle w:val="ParrafoTESIS"/>
        <w:rPr>
          <w:rFonts w:eastAsiaTheme="minorEastAsia"/>
          <w:szCs w:val="28"/>
        </w:rPr>
      </w:pPr>
      <w:r>
        <w:rPr>
          <w:rFonts w:eastAsiaTheme="minorEastAsia"/>
          <w:szCs w:val="28"/>
        </w:rPr>
        <w:t>Si la salida no cambia hasta que la diferencia de los voltajes de entrada supere el valor +V</w:t>
      </w:r>
      <w:r w:rsidRPr="00861A6B">
        <w:rPr>
          <w:rFonts w:eastAsiaTheme="minorEastAsia"/>
          <w:szCs w:val="28"/>
          <w:vertAlign w:val="subscript"/>
        </w:rPr>
        <w:t>OS</w:t>
      </w:r>
      <w:r w:rsidR="00861A6B">
        <w:rPr>
          <w:rFonts w:eastAsiaTheme="minorEastAsia"/>
          <w:szCs w:val="28"/>
        </w:rPr>
        <w:t>, entonces a é</w:t>
      </w:r>
      <w:r>
        <w:rPr>
          <w:rFonts w:eastAsiaTheme="minorEastAsia"/>
          <w:szCs w:val="28"/>
        </w:rPr>
        <w:t xml:space="preserve">sta diferencia la definimos como </w:t>
      </w:r>
      <w:r>
        <w:rPr>
          <w:rFonts w:eastAsiaTheme="minorEastAsia"/>
          <w:i/>
          <w:szCs w:val="28"/>
        </w:rPr>
        <w:t xml:space="preserve">voltaje de offset </w:t>
      </w:r>
      <w:r>
        <w:rPr>
          <w:rFonts w:eastAsiaTheme="minorEastAsia"/>
          <w:szCs w:val="28"/>
        </w:rPr>
        <w:t>(</w:t>
      </w:r>
      <w:fldSimple w:instr=" REF _Ref256173252 \h  \* MERGEFORMAT ">
        <w:r w:rsidR="00024623" w:rsidRPr="00024623">
          <w:rPr>
            <w:color w:val="4F81BD" w:themeColor="accent1"/>
          </w:rPr>
          <w:t xml:space="preserve">Figura </w:t>
        </w:r>
        <w:r w:rsidR="00024623" w:rsidRPr="00024623">
          <w:rPr>
            <w:noProof/>
            <w:color w:val="4F81BD" w:themeColor="accent1"/>
          </w:rPr>
          <w:t>4</w:t>
        </w:r>
      </w:fldSimple>
      <w:r>
        <w:rPr>
          <w:rFonts w:eastAsiaTheme="minorEastAsia"/>
          <w:szCs w:val="28"/>
        </w:rPr>
        <w:t>).</w:t>
      </w:r>
    </w:p>
    <w:p w:rsidR="0030599C" w:rsidRDefault="0030599C" w:rsidP="00CB1A45">
      <w:pPr>
        <w:pStyle w:val="Epgrafe"/>
        <w:jc w:val="center"/>
      </w:pPr>
      <w:r>
        <w:rPr>
          <w:rFonts w:eastAsiaTheme="minorEastAsia"/>
          <w:noProof/>
          <w:szCs w:val="28"/>
          <w:lang w:eastAsia="es-AR"/>
        </w:rPr>
        <w:drawing>
          <wp:inline distT="0" distB="0" distL="0" distR="0">
            <wp:extent cx="2069058" cy="1012837"/>
            <wp:effectExtent l="19050" t="0" r="7392"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2072564" cy="1014553"/>
                    </a:xfrm>
                    <a:prstGeom prst="rect">
                      <a:avLst/>
                    </a:prstGeom>
                    <a:noFill/>
                    <a:ln w="9525">
                      <a:noFill/>
                      <a:miter lim="800000"/>
                      <a:headEnd/>
                      <a:tailEnd/>
                    </a:ln>
                  </pic:spPr>
                </pic:pic>
              </a:graphicData>
            </a:graphic>
          </wp:inline>
        </w:drawing>
      </w:r>
    </w:p>
    <w:p w:rsidR="0030599C" w:rsidRDefault="0030599C" w:rsidP="00CB1A45">
      <w:pPr>
        <w:pStyle w:val="Epgrafe"/>
        <w:jc w:val="center"/>
        <w:rPr>
          <w:rFonts w:eastAsiaTheme="minorEastAsia"/>
          <w:szCs w:val="28"/>
        </w:rPr>
      </w:pPr>
      <w:bookmarkStart w:id="3" w:name="_Ref256173252"/>
      <w:r>
        <w:t xml:space="preserve">Figura </w:t>
      </w:r>
      <w:fldSimple w:instr=" SEQ Figura \* ARABIC ">
        <w:r w:rsidR="00024623">
          <w:rPr>
            <w:noProof/>
          </w:rPr>
          <w:t>4</w:t>
        </w:r>
      </w:fldSimple>
      <w:bookmarkEnd w:id="3"/>
      <w:r>
        <w:t>) Curva de transferencia del comparador con offset de entrada.</w:t>
      </w:r>
    </w:p>
    <w:p w:rsidR="0030599C" w:rsidRDefault="0030599C" w:rsidP="001A0863">
      <w:pPr>
        <w:pStyle w:val="Ttulo4"/>
      </w:pPr>
      <w:r w:rsidRPr="00BC12A1">
        <w:t xml:space="preserve">Características </w:t>
      </w:r>
      <w:r>
        <w:t>Dinámicas</w:t>
      </w:r>
      <w:r w:rsidR="00724590">
        <w:t>:</w:t>
      </w:r>
    </w:p>
    <w:p w:rsidR="0030599C" w:rsidRDefault="0030599C" w:rsidP="001A0863">
      <w:pPr>
        <w:pStyle w:val="ParrafoTESIS"/>
      </w:pPr>
      <w:r>
        <w:t>Las características dinámicas de un comparador abarc</w:t>
      </w:r>
      <w:r w:rsidR="00861A6B">
        <w:t xml:space="preserve">an comportamientos para pequeña y grande </w:t>
      </w:r>
      <w:r>
        <w:t>señal. La característica que marca el tiempo de retardo (delay) entre la señal de entrada y la transición de la señal de salida del comparado</w:t>
      </w:r>
      <w:r w:rsidR="00861A6B">
        <w:t>r</w:t>
      </w:r>
      <w:r>
        <w:t xml:space="preserve"> es conocida como </w:t>
      </w:r>
      <w:r>
        <w:rPr>
          <w:i/>
        </w:rPr>
        <w:t>tiempo de respuesta</w:t>
      </w:r>
      <w:r>
        <w:t xml:space="preserve">. La </w:t>
      </w:r>
      <w:fldSimple w:instr=" REF _Ref256173280 \h  \* MERGEFORMAT ">
        <w:r w:rsidR="00024623" w:rsidRPr="00024623">
          <w:rPr>
            <w:color w:val="4F81BD" w:themeColor="accent1"/>
          </w:rPr>
          <w:t xml:space="preserve">Figura </w:t>
        </w:r>
        <w:r w:rsidR="00024623" w:rsidRPr="00024623">
          <w:rPr>
            <w:noProof/>
            <w:color w:val="4F81BD" w:themeColor="accent1"/>
          </w:rPr>
          <w:t>5</w:t>
        </w:r>
      </w:fldSimple>
      <w:r>
        <w:t xml:space="preserve">, ilustra la respuesta del comparador a una entrada en función del tiempo. Esta diferencia de tiempos es llamada </w:t>
      </w:r>
      <w:r>
        <w:rPr>
          <w:i/>
        </w:rPr>
        <w:t>tiempo de retardo de propagación “t</w:t>
      </w:r>
      <w:r w:rsidRPr="001E7C19">
        <w:rPr>
          <w:i/>
          <w:vertAlign w:val="subscript"/>
        </w:rPr>
        <w:t>p</w:t>
      </w:r>
      <w:r>
        <w:rPr>
          <w:i/>
        </w:rPr>
        <w:t>”</w:t>
      </w:r>
      <w:r w:rsidR="003D15A3">
        <w:rPr>
          <w:i/>
        </w:rPr>
        <w:t xml:space="preserve"> </w:t>
      </w:r>
      <w:r w:rsidRPr="00BB47C7">
        <w:t>(propagation delay time)</w:t>
      </w:r>
      <w:r>
        <w:t xml:space="preserve"> de un comparador, el cual usualmente varía en función de la amplitud de la señal de entrada. Una señal de entrada grande resulta en un retardo de propagación menor. Cuando se alcanza el límite para </w:t>
      </w:r>
      <w:r>
        <w:lastRenderedPageBreak/>
        <w:t xml:space="preserve">el cual un aumento de voltaje en la señal de entrada ya no afecta al tiempo de retardo de propagación, estamos en el modo de operación </w:t>
      </w:r>
      <w:r w:rsidRPr="00724590">
        <w:rPr>
          <w:i/>
        </w:rPr>
        <w:t xml:space="preserve">slewing </w:t>
      </w:r>
      <w:r w:rsidRPr="00724590">
        <w:t xml:space="preserve">o </w:t>
      </w:r>
      <w:r w:rsidRPr="00724590">
        <w:rPr>
          <w:i/>
        </w:rPr>
        <w:t>sle</w:t>
      </w:r>
      <w:r w:rsidR="003D15A3" w:rsidRPr="00724590">
        <w:rPr>
          <w:i/>
        </w:rPr>
        <w:t>w-</w:t>
      </w:r>
      <w:r w:rsidRPr="00724590">
        <w:rPr>
          <w:i/>
        </w:rPr>
        <w:t>rate</w:t>
      </w:r>
      <w:r>
        <w:t>.</w:t>
      </w:r>
    </w:p>
    <w:p w:rsidR="0030599C" w:rsidRDefault="0030599C" w:rsidP="00CB1A45">
      <w:pPr>
        <w:pStyle w:val="Epgrafe"/>
        <w:jc w:val="center"/>
      </w:pPr>
      <w:r>
        <w:rPr>
          <w:noProof/>
          <w:szCs w:val="28"/>
          <w:lang w:eastAsia="es-AR"/>
        </w:rPr>
        <w:drawing>
          <wp:inline distT="0" distB="0" distL="0" distR="0">
            <wp:extent cx="2103177" cy="1777954"/>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107642" cy="1781729"/>
                    </a:xfrm>
                    <a:prstGeom prst="rect">
                      <a:avLst/>
                    </a:prstGeom>
                    <a:noFill/>
                    <a:ln w="9525">
                      <a:noFill/>
                      <a:miter lim="800000"/>
                      <a:headEnd/>
                      <a:tailEnd/>
                    </a:ln>
                  </pic:spPr>
                </pic:pic>
              </a:graphicData>
            </a:graphic>
          </wp:inline>
        </w:drawing>
      </w:r>
    </w:p>
    <w:p w:rsidR="0030599C" w:rsidRDefault="0030599C" w:rsidP="00CB1A45">
      <w:pPr>
        <w:pStyle w:val="Epgrafe"/>
        <w:jc w:val="center"/>
        <w:rPr>
          <w:szCs w:val="28"/>
        </w:rPr>
      </w:pPr>
      <w:bookmarkStart w:id="4" w:name="_Ref256173280"/>
      <w:r>
        <w:t xml:space="preserve">Figura </w:t>
      </w:r>
      <w:fldSimple w:instr=" SEQ Figura \* ARABIC ">
        <w:r w:rsidR="00024623">
          <w:rPr>
            <w:noProof/>
          </w:rPr>
          <w:t>5</w:t>
        </w:r>
      </w:fldSimple>
      <w:bookmarkEnd w:id="4"/>
      <w:r>
        <w:t>) Tiempo de propagación de un comparador no-inversor.</w:t>
      </w:r>
    </w:p>
    <w:p w:rsidR="0030599C" w:rsidRDefault="0030599C" w:rsidP="001A0863">
      <w:pPr>
        <w:pStyle w:val="ParrafoTESIS"/>
      </w:pPr>
      <w:r>
        <w:t xml:space="preserve">Las características dinámicas de pequeña señal del comparador </w:t>
      </w:r>
      <w:r w:rsidR="00EB5C1E">
        <w:t>están</w:t>
      </w:r>
      <w:r>
        <w:t xml:space="preserve"> definidas por su respuesta en frecuencia. Un modelo simple del comportamiento asume que la ganancia diferencial de voltaje, </w:t>
      </w:r>
      <w:r w:rsidRPr="00775FD8">
        <w:rPr>
          <w:i/>
        </w:rPr>
        <w:t>A</w:t>
      </w:r>
      <w:r w:rsidRPr="00775FD8">
        <w:rPr>
          <w:i/>
          <w:vertAlign w:val="subscript"/>
        </w:rPr>
        <w:t>v</w:t>
      </w:r>
      <w:r>
        <w:t>, está dada por:</w:t>
      </w:r>
    </w:p>
    <w:p w:rsidR="0030599C" w:rsidRDefault="00EB0909" w:rsidP="0030599C">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30599C" w:rsidRDefault="0030599C" w:rsidP="001A0863">
      <w:pPr>
        <w:pStyle w:val="ParrafoTESIS"/>
      </w:pPr>
      <w:r>
        <w:t xml:space="preserve">Donde </w:t>
      </w:r>
      <m:oMath>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0</m:t>
            </m:r>
          </m:e>
        </m:d>
      </m:oMath>
      <w:r>
        <w:t xml:space="preserve"> es la ganancia en DC del comparador y </w:t>
      </w:r>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=1/</m:t>
        </m:r>
        <m:sSub>
          <m:sSubPr>
            <m:ctrlPr>
              <w:rPr>
                <w:rFonts w:ascii="Cambria Math" w:hAnsi="Cambria Math"/>
                <w:i/>
              </w:rPr>
            </m:ctrlPr>
          </m:sSubPr>
          <m:e>
            <m:r>
              <w:rPr>
                <w:rFonts w:ascii="Cambria Math" w:hAnsi="Cambria Math"/>
              </w:rPr>
              <m:t>τ</m:t>
            </m:r>
          </m:e>
          <m:sub>
            <m:r>
              <w:rPr>
                <w:rFonts w:ascii="Cambria Math" w:hAnsi="Cambria Math"/>
              </w:rPr>
              <m:t>c</m:t>
            </m:r>
          </m:sub>
        </m:sSub>
      </m:oMath>
      <w:r>
        <w:t xml:space="preserve"> es la frecuencia de </w:t>
      </w:r>
      <w:r w:rsidRPr="0026762B">
        <w:rPr>
          <w:i/>
        </w:rPr>
        <w:t>-3dB</w:t>
      </w:r>
      <w:r>
        <w:t xml:space="preserve"> del polo dominante.</w:t>
      </w:r>
    </w:p>
    <w:p w:rsidR="0030599C" w:rsidRDefault="0030599C" w:rsidP="001A0863">
      <w:pPr>
        <w:pStyle w:val="ParrafoTESIS"/>
      </w:pPr>
      <w:r>
        <w:t xml:space="preserve">Para una entrada de tipo escalón, la salida del comparador subirá (o caerá) con una respuesta exponencial de primer orden de </w:t>
      </w:r>
      <w:r w:rsidRPr="0026762B">
        <w:rPr>
          <w:i/>
        </w:rPr>
        <w:t>V</w:t>
      </w:r>
      <w:r w:rsidRPr="0026762B">
        <w:rPr>
          <w:i/>
          <w:vertAlign w:val="subscript"/>
        </w:rPr>
        <w:t>OL</w:t>
      </w:r>
      <w:r w:rsidRPr="0026762B">
        <w:rPr>
          <w:vertAlign w:val="subscript"/>
        </w:rPr>
        <w:t xml:space="preserve"> </w:t>
      </w:r>
      <w:r>
        <w:t xml:space="preserve">a </w:t>
      </w:r>
      <w:r w:rsidRPr="0026762B">
        <w:rPr>
          <w:i/>
        </w:rPr>
        <w:t>V</w:t>
      </w:r>
      <w:r w:rsidRPr="0026762B">
        <w:rPr>
          <w:i/>
          <w:vertAlign w:val="subscript"/>
        </w:rPr>
        <w:t>OH</w:t>
      </w:r>
      <w:r>
        <w:t xml:space="preserve"> (</w:t>
      </w:r>
      <w:r w:rsidRPr="0026762B">
        <w:rPr>
          <w:i/>
        </w:rPr>
        <w:t>V</w:t>
      </w:r>
      <w:r w:rsidRPr="0026762B">
        <w:rPr>
          <w:i/>
          <w:vertAlign w:val="subscript"/>
        </w:rPr>
        <w:t>OH</w:t>
      </w:r>
      <w:r>
        <w:t xml:space="preserve"> a </w:t>
      </w:r>
      <w:r w:rsidRPr="0026762B">
        <w:rPr>
          <w:i/>
        </w:rPr>
        <w:t>V</w:t>
      </w:r>
      <w:r w:rsidRPr="0026762B">
        <w:rPr>
          <w:i/>
          <w:vertAlign w:val="subscript"/>
        </w:rPr>
        <w:t>OL</w:t>
      </w:r>
      <w:r>
        <w:t xml:space="preserve">) como se muestra en la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t xml:space="preserve">. Si </w:t>
      </w:r>
      <w:r w:rsidRPr="0026762B">
        <w:rPr>
          <w:i/>
        </w:rPr>
        <w:t>V</w:t>
      </w:r>
      <w:r w:rsidRPr="0026762B">
        <w:rPr>
          <w:i/>
          <w:vertAlign w:val="subscript"/>
        </w:rPr>
        <w:t>in</w:t>
      </w:r>
      <w:r>
        <w:t xml:space="preserve"> es más grande que </w:t>
      </w:r>
      <w:r w:rsidRPr="0026762B">
        <w:rPr>
          <w:i/>
        </w:rPr>
        <w:t>V</w:t>
      </w:r>
      <w:r w:rsidRPr="0026762B">
        <w:rPr>
          <w:i/>
          <w:vertAlign w:val="subscript"/>
        </w:rPr>
        <w:t>in</w:t>
      </w:r>
      <w:r w:rsidRPr="0026762B">
        <w:rPr>
          <w:i/>
        </w:rPr>
        <w:t>(min),</w:t>
      </w:r>
      <w:r>
        <w:t xml:space="preserve"> la salida subirá o caerá veces más rápido. Cuando </w:t>
      </w:r>
      <w:r w:rsidRPr="0026762B">
        <w:rPr>
          <w:i/>
        </w:rPr>
        <w:t>V</w:t>
      </w:r>
      <w:r w:rsidRPr="0026762B">
        <w:rPr>
          <w:i/>
          <w:vertAlign w:val="subscript"/>
        </w:rPr>
        <w:t>in</w:t>
      </w:r>
      <w:r w:rsidRPr="0026762B">
        <w:rPr>
          <w:i/>
        </w:rPr>
        <w:t>(min)</w:t>
      </w:r>
      <w:r>
        <w:t xml:space="preserve"> es aplicada al comparador, podemos escribir la ecuación:</w:t>
      </w:r>
    </w:p>
    <w:p w:rsidR="0030599C" w:rsidRDefault="00EB0909" w:rsidP="0030599C">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30599C" w:rsidRDefault="00EB0909" w:rsidP="0030599C">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0599C" w:rsidRDefault="0030599C" w:rsidP="001A0863">
      <w:pPr>
        <w:pStyle w:val="ParrafoTESIS"/>
      </w:pPr>
      <w:r>
        <w:t>Cuando se incrementa la tensión de entrada, entra en el modo de operación para gran-</w:t>
      </w:r>
      <w:r w:rsidR="003D15A3">
        <w:t>señal</w:t>
      </w:r>
      <w:r>
        <w:t xml:space="preserve"> (</w:t>
      </w:r>
      <w:fldSimple w:instr=" REF _Ref256173343 \h  \* MERGEFORMAT ">
        <w:r w:rsidR="00024623" w:rsidRPr="00024623">
          <w:rPr>
            <w:color w:val="4F81BD" w:themeColor="accent1"/>
          </w:rPr>
          <w:t xml:space="preserve">Figura </w:t>
        </w:r>
        <w:r w:rsidR="00024623" w:rsidRPr="00024623">
          <w:rPr>
            <w:noProof/>
            <w:color w:val="4F81BD" w:themeColor="accent1"/>
          </w:rPr>
          <w:t>6</w:t>
        </w:r>
      </w:fldSimple>
      <w:r>
        <w:t xml:space="preserve">) y los límites del </w:t>
      </w:r>
      <w:r>
        <w:rPr>
          <w:i/>
        </w:rPr>
        <w:t>slew-rate</w:t>
      </w:r>
      <w:r>
        <w:t xml:space="preserve"> van a estar limitados por la capacidad de carga y descarga de capacitores por parte de los comparadores.</w:t>
      </w:r>
    </w:p>
    <w:p w:rsidR="0030599C" w:rsidRDefault="0030599C" w:rsidP="001A0863">
      <w:pPr>
        <w:pStyle w:val="Epgrafe"/>
        <w:jc w:val="center"/>
      </w:pPr>
      <w:r>
        <w:rPr>
          <w:noProof/>
          <w:sz w:val="28"/>
          <w:szCs w:val="28"/>
          <w:lang w:eastAsia="es-AR"/>
        </w:rPr>
        <w:lastRenderedPageBreak/>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60000">
                      <a:off x="0" y="0"/>
                      <a:ext cx="3115366" cy="1082123"/>
                    </a:xfrm>
                    <a:prstGeom prst="rect">
                      <a:avLst/>
                    </a:prstGeom>
                    <a:noFill/>
                    <a:ln w="9525">
                      <a:noFill/>
                      <a:miter lim="800000"/>
                      <a:headEnd/>
                      <a:tailEnd/>
                    </a:ln>
                  </pic:spPr>
                </pic:pic>
              </a:graphicData>
            </a:graphic>
          </wp:inline>
        </w:drawing>
      </w:r>
    </w:p>
    <w:p w:rsidR="00724590" w:rsidRDefault="0030599C" w:rsidP="001A0863">
      <w:pPr>
        <w:pStyle w:val="Epgrafe"/>
        <w:jc w:val="center"/>
      </w:pPr>
      <w:bookmarkStart w:id="5" w:name="_Ref256173343"/>
      <w:r>
        <w:t xml:space="preserve">Figura </w:t>
      </w:r>
      <w:fldSimple w:instr=" SEQ Figura \* ARABIC ">
        <w:r w:rsidR="00024623">
          <w:rPr>
            <w:noProof/>
          </w:rPr>
          <w:t>6</w:t>
        </w:r>
      </w:fldSimple>
      <w:bookmarkEnd w:id="5"/>
      <w:r>
        <w:t>) Respuesta transitoria de pequeña señal del comparador.</w:t>
      </w:r>
    </w:p>
    <w:p w:rsidR="0030599C" w:rsidRPr="0030599C" w:rsidRDefault="0030599C" w:rsidP="001A0863">
      <w:pPr>
        <w:pStyle w:val="Ttulo2"/>
        <w:pBdr>
          <w:top w:val="single" w:sz="4" w:space="1" w:color="auto"/>
          <w:bottom w:val="single" w:sz="4" w:space="1" w:color="auto"/>
        </w:pBdr>
      </w:pPr>
      <w:r w:rsidRPr="0030599C">
        <w:t>INVERSOR</w:t>
      </w:r>
    </w:p>
    <w:p w:rsidR="0030599C" w:rsidRDefault="0030599C" w:rsidP="001A0863">
      <w:pPr>
        <w:pStyle w:val="ParrafoTESIS"/>
      </w:pPr>
      <w:r>
        <w:t xml:space="preserve">El inversor CMOS es el bloque básico de diseño de circuitos digitales. En la </w:t>
      </w:r>
      <w:fldSimple w:instr=" REF _Ref256413447 \h  \* MERGEFORMAT ">
        <w:r w:rsidR="00024623" w:rsidRPr="00024623">
          <w:rPr>
            <w:color w:val="4F81BD" w:themeColor="accent1"/>
          </w:rPr>
          <w:t xml:space="preserve">Figura </w:t>
        </w:r>
        <w:r w:rsidR="00024623" w:rsidRPr="00024623">
          <w:rPr>
            <w:noProof/>
            <w:color w:val="4F81BD" w:themeColor="accent1"/>
          </w:rPr>
          <w:t>7</w:t>
        </w:r>
      </w:fldSimple>
      <w:r>
        <w:t xml:space="preserve"> se ilustra la compuerta inversora, donde se muestra que el inversor realiza una operación de A a Ã (invierte la entrada). Cuando la entrada del inversor es conectada a CERO, la salida es elevada a VDD a través del dispositivo PMOS de nombre M2 (y el transistor NMOS de nombre M1 es apagado). Cuando el terminal de entrada es conectado a VDD, la salida del dispositivo es reducida a CERO a través del transistor NMOS de nombre M1 (mientras que M2 es desconectado).</w:t>
      </w:r>
    </w:p>
    <w:p w:rsidR="0030599C" w:rsidRDefault="0030599C" w:rsidP="00565026">
      <w:pPr>
        <w:pStyle w:val="Epgrafe"/>
        <w:jc w:val="center"/>
      </w:pPr>
      <w:r>
        <w:rPr>
          <w:noProof/>
          <w:lang w:eastAsia="es-AR"/>
        </w:rPr>
        <w:drawing>
          <wp:inline distT="0" distB="0" distL="0" distR="0">
            <wp:extent cx="2106633" cy="741631"/>
            <wp:effectExtent l="19050" t="0" r="7917" b="1319"/>
            <wp:docPr id="39" name="Imagen 1" descr="C:\Users\FABRICIO\Desktop\img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19.jpg"/>
                    <pic:cNvPicPr>
                      <a:picLocks noChangeAspect="1" noChangeArrowheads="1"/>
                    </pic:cNvPicPr>
                  </pic:nvPicPr>
                  <pic:blipFill>
                    <a:blip r:embed="rId14" cstate="print"/>
                    <a:srcRect/>
                    <a:stretch>
                      <a:fillRect/>
                    </a:stretch>
                  </pic:blipFill>
                  <pic:spPr bwMode="auto">
                    <a:xfrm>
                      <a:off x="0" y="0"/>
                      <a:ext cx="2107026" cy="741769"/>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6" w:name="_Ref256413447"/>
      <w:r>
        <w:t xml:space="preserve">Figura </w:t>
      </w:r>
      <w:fldSimple w:instr=" SEQ Figura \* ARABIC ">
        <w:r w:rsidR="00024623">
          <w:rPr>
            <w:noProof/>
          </w:rPr>
          <w:t>7</w:t>
        </w:r>
      </w:fldSimple>
      <w:bookmarkEnd w:id="6"/>
      <w:r>
        <w:t xml:space="preserve">) Esquemático y </w:t>
      </w:r>
      <w:r w:rsidR="0066162B">
        <w:t>s</w:t>
      </w:r>
      <w:r>
        <w:t xml:space="preserve">ímbolo del </w:t>
      </w:r>
      <w:r w:rsidR="0066162B">
        <w:t>i</w:t>
      </w:r>
      <w:r>
        <w:t>nversor</w:t>
      </w:r>
    </w:p>
    <w:p w:rsidR="0030599C" w:rsidRDefault="0030599C" w:rsidP="001A0863">
      <w:pPr>
        <w:pStyle w:val="Ttulo3"/>
      </w:pPr>
      <w:r>
        <w:t>Características DC de la compuerta inversora</w:t>
      </w:r>
      <w:r w:rsidR="0066162B">
        <w:t>:</w:t>
      </w:r>
    </w:p>
    <w:p w:rsidR="0030599C" w:rsidRDefault="0030599C" w:rsidP="001A0863">
      <w:pPr>
        <w:pStyle w:val="ParrafoTESIS"/>
      </w:pPr>
      <w:r>
        <w:t xml:space="preserve">Considerando la curva de transferencia de la </w:t>
      </w:r>
      <w:fldSimple w:instr=" REF _Ref256413469 \h  \* MERGEFORMAT ">
        <w:r w:rsidR="00024623" w:rsidRPr="00024623">
          <w:rPr>
            <w:color w:val="4F81BD" w:themeColor="accent1"/>
          </w:rPr>
          <w:t xml:space="preserve">Figura </w:t>
        </w:r>
        <w:r w:rsidR="00024623" w:rsidRPr="00024623">
          <w:rPr>
            <w:noProof/>
            <w:color w:val="4F81BD" w:themeColor="accent1"/>
          </w:rPr>
          <w:t>8</w:t>
        </w:r>
      </w:fldSimple>
      <w:r>
        <w:rPr>
          <w:color w:val="FF0000"/>
        </w:rPr>
        <w:t xml:space="preserve"> </w:t>
      </w:r>
      <w:r>
        <w:t>de la compuerta inversora, podemos observar que en la región 1 de la característica de transferencia, el voltaje de entrada es lo suficientemente bajo (típicamente menos que el voltaje de disparo V</w:t>
      </w:r>
      <w:r w:rsidRPr="00317B38">
        <w:rPr>
          <w:vertAlign w:val="subscript"/>
        </w:rPr>
        <w:t>THP</w:t>
      </w:r>
      <w:r>
        <w:t xml:space="preserve"> de M1), entonces M1 está apagado y M2 encendido (</w:t>
      </w:r>
      <w:r w:rsidRPr="0030757C">
        <w:rPr>
          <w:i/>
        </w:rPr>
        <w:t>V</w:t>
      </w:r>
      <w:r w:rsidRPr="0030757C">
        <w:rPr>
          <w:i/>
          <w:vertAlign w:val="subscript"/>
        </w:rPr>
        <w:t>SG</w:t>
      </w:r>
      <w:r w:rsidRPr="0030757C">
        <w:rPr>
          <w:i/>
        </w:rPr>
        <w:t>&gt;&gt;V</w:t>
      </w:r>
      <w:r w:rsidRPr="0030757C">
        <w:rPr>
          <w:i/>
          <w:vertAlign w:val="subscript"/>
        </w:rPr>
        <w:t>THP</w:t>
      </w:r>
      <w:r>
        <w:t>). A medida que V</w:t>
      </w:r>
      <w:r w:rsidRPr="0015188E">
        <w:rPr>
          <w:vertAlign w:val="subscript"/>
        </w:rPr>
        <w:t>in</w:t>
      </w:r>
      <w:r>
        <w:t xml:space="preserve"> se incrementa, ambos transistores M1 y M2 se encienden (región 2 de la curva característica). Al seguir aumentando V</w:t>
      </w:r>
      <w:r w:rsidRPr="0015188E">
        <w:rPr>
          <w:vertAlign w:val="subscript"/>
        </w:rPr>
        <w:t>in</w:t>
      </w:r>
      <w:r>
        <w:t xml:space="preserve"> produce que M2 se apague y M1 se encienda completamente, como se muestra en la región 3 de la curva.</w:t>
      </w:r>
    </w:p>
    <w:p w:rsidR="0030599C" w:rsidRDefault="0030599C" w:rsidP="00565026">
      <w:pPr>
        <w:pStyle w:val="Epgrafe"/>
        <w:jc w:val="center"/>
      </w:pPr>
      <w:r>
        <w:rPr>
          <w:noProof/>
          <w:lang w:eastAsia="es-AR"/>
        </w:rPr>
        <w:drawing>
          <wp:inline distT="0" distB="0" distL="0" distR="0">
            <wp:extent cx="3121561" cy="1391626"/>
            <wp:effectExtent l="19050" t="0" r="2639" b="0"/>
            <wp:docPr id="49" name="Imagen 2" descr="C:\Users\FABRICIO\Desktop\img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img020.jpg"/>
                    <pic:cNvPicPr>
                      <a:picLocks noChangeAspect="1" noChangeArrowheads="1"/>
                    </pic:cNvPicPr>
                  </pic:nvPicPr>
                  <pic:blipFill>
                    <a:blip r:embed="rId15" cstate="print"/>
                    <a:srcRect/>
                    <a:stretch>
                      <a:fillRect/>
                    </a:stretch>
                  </pic:blipFill>
                  <pic:spPr bwMode="auto">
                    <a:xfrm>
                      <a:off x="0" y="0"/>
                      <a:ext cx="3118799" cy="1390395"/>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7" w:name="_Ref256413469"/>
      <w:r>
        <w:t xml:space="preserve">Figura </w:t>
      </w:r>
      <w:fldSimple w:instr=" SEQ Figura \* ARABIC ">
        <w:r w:rsidR="00024623">
          <w:rPr>
            <w:noProof/>
          </w:rPr>
          <w:t>8</w:t>
        </w:r>
      </w:fldSimple>
      <w:bookmarkEnd w:id="7"/>
      <w:r>
        <w:t>) Esquemático y CTV del inversor.</w:t>
      </w:r>
    </w:p>
    <w:p w:rsidR="0030599C" w:rsidRDefault="0030599C" w:rsidP="001A0863">
      <w:pPr>
        <w:pStyle w:val="ParrafoTESIS"/>
      </w:pPr>
      <w:r>
        <w:lastRenderedPageBreak/>
        <w:t>La máxima salida en nivel “alto” es identificado como V</w:t>
      </w:r>
      <w:r w:rsidRPr="004D5DE2">
        <w:rPr>
          <w:vertAlign w:val="subscript"/>
        </w:rPr>
        <w:t>OH</w:t>
      </w:r>
      <w:r>
        <w:t xml:space="preserve"> y la mínima salida en estado “bajo” lo identificamos con V</w:t>
      </w:r>
      <w:r w:rsidRPr="004D5DE2">
        <w:rPr>
          <w:vertAlign w:val="subscript"/>
        </w:rPr>
        <w:t>OL</w:t>
      </w:r>
      <w:r>
        <w:t>. Los puntos A y B en la curva se encuentran definidos por la pendiente -1 de la curva de transferencia.</w:t>
      </w:r>
    </w:p>
    <w:p w:rsidR="0030599C" w:rsidRPr="00EB3749" w:rsidRDefault="0030599C" w:rsidP="0030599C">
      <w:pPr>
        <w:rPr>
          <w:i/>
          <w:u w:val="single"/>
        </w:rPr>
      </w:pPr>
      <w:r w:rsidRPr="00EB3749">
        <w:rPr>
          <w:i/>
          <w:u w:val="single"/>
        </w:rPr>
        <w:t>Márgenes de ruido:</w:t>
      </w:r>
    </w:p>
    <w:p w:rsidR="0030599C" w:rsidRDefault="0030599C" w:rsidP="001A0863">
      <w:pPr>
        <w:pStyle w:val="ParrafoTESIS"/>
      </w:pPr>
      <w:r>
        <w:t xml:space="preserve">El </w:t>
      </w:r>
      <w:r w:rsidR="00AC067E">
        <w:t>margen</w:t>
      </w:r>
      <w:r>
        <w:t xml:space="preserve"> de ruido de un circuito o compuerta digital indica que tan bien se va a desempeñar la entrada de los transistores (GATE) bajo condiciones de ruido. </w:t>
      </w:r>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oMath>
      </m:oMathPara>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rsidR="0030599C" w:rsidRPr="00EB3749" w:rsidRDefault="0030599C" w:rsidP="0030599C">
      <w:pPr>
        <w:rPr>
          <w:i/>
          <w:u w:val="single"/>
        </w:rPr>
      </w:pPr>
      <w:r w:rsidRPr="00EB3749">
        <w:rPr>
          <w:i/>
          <w:u w:val="single"/>
        </w:rPr>
        <w:t>Punto de transición:</w:t>
      </w:r>
    </w:p>
    <w:p w:rsidR="0030599C" w:rsidRDefault="0030599C" w:rsidP="001A0863">
      <w:pPr>
        <w:pStyle w:val="ParrafoTESIS"/>
      </w:pPr>
      <w:r>
        <w:t xml:space="preserve">Considerando la función de transferencia de voltaje representada en la </w:t>
      </w:r>
      <w:fldSimple w:instr=" REF _Ref256413750 \h  \* MERGEFORMAT ">
        <w:r w:rsidR="00024623" w:rsidRPr="00024623">
          <w:rPr>
            <w:color w:val="4F81BD" w:themeColor="accent1"/>
          </w:rPr>
          <w:t xml:space="preserve">Figura </w:t>
        </w:r>
        <w:r w:rsidR="00024623" w:rsidRPr="00024623">
          <w:rPr>
            <w:noProof/>
            <w:color w:val="4F81BD" w:themeColor="accent1"/>
          </w:rPr>
          <w:t>9</w:t>
        </w:r>
      </w:fldSimple>
      <w:r>
        <w:t xml:space="preserve">, el punto C corresponde al punto de la curva en el que los voltajes de entrada y salida </w:t>
      </w:r>
      <w:r w:rsidR="00AC067E">
        <w:t>sean</w:t>
      </w:r>
      <w:r>
        <w:t xml:space="preserve"> iguales. En este punto, el voltaje de entrada (o salida) es llamado </w:t>
      </w:r>
      <w:r>
        <w:rPr>
          <w:i/>
        </w:rPr>
        <w:t>punto de cambio de voltaje, V</w:t>
      </w:r>
      <w:r w:rsidRPr="000876BF">
        <w:rPr>
          <w:i/>
          <w:vertAlign w:val="subscript"/>
        </w:rPr>
        <w:t>SP</w:t>
      </w:r>
      <w:r>
        <w:t>, y ambos MOSFETs en el inversor se encuentran en la región de saturación.</w:t>
      </w:r>
    </w:p>
    <w:p w:rsidR="0030599C" w:rsidRDefault="00EB0909" w:rsidP="0030599C">
      <w:pPr>
        <w:rPr>
          <w:rFonts w:eastAsiaTheme="minorEastAsia"/>
        </w:rPr>
      </w:pPr>
      <m:oMathPara>
        <m:oMath>
          <m:sSub>
            <m:sSubPr>
              <m:ctrlPr>
                <w:rPr>
                  <w:rFonts w:ascii="Cambria Math" w:hAnsi="Cambria Math"/>
                  <w:i/>
                  <w:sz w:val="18"/>
                </w:rPr>
              </m:ctrlPr>
            </m:sSubPr>
            <m:e>
              <m:r>
                <w:rPr>
                  <w:rFonts w:ascii="Cambria Math" w:hAnsi="Cambria Math"/>
                  <w:sz w:val="18"/>
                </w:rPr>
                <m:t>V</m:t>
              </m:r>
            </m:e>
            <m:sub>
              <m:r>
                <w:rPr>
                  <w:rFonts w:ascii="Cambria Math" w:hAnsi="Cambria Math"/>
                  <w:sz w:val="18"/>
                </w:rPr>
                <m:t>SP</m:t>
              </m:r>
            </m:sub>
          </m:sSub>
          <m:r>
            <w:rPr>
              <w:rFonts w:ascii="Cambria Math" w:hAnsi="Cambria Math"/>
              <w:sz w:val="18"/>
            </w:rPr>
            <m:t>=</m:t>
          </m:r>
          <m:f>
            <m:fPr>
              <m:ctrlPr>
                <w:rPr>
                  <w:rFonts w:ascii="Cambria Math" w:hAnsi="Cambria Math"/>
                  <w:i/>
                  <w:sz w:val="18"/>
                </w:rPr>
              </m:ctrlPr>
            </m:fPr>
            <m:num>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THN</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DD</m:t>
                  </m:r>
                </m:sub>
              </m:sSub>
              <m:r>
                <w:rPr>
                  <w:rFonts w:ascii="Cambria Math" w:hAnsi="Cambria Math"/>
                  <w:sz w:val="18"/>
                </w:rPr>
                <m:t>-</m:t>
              </m:r>
              <m:sSub>
                <m:sSubPr>
                  <m:ctrlPr>
                    <w:rPr>
                      <w:rFonts w:ascii="Cambria Math" w:hAnsi="Cambria Math"/>
                      <w:i/>
                      <w:sz w:val="18"/>
                    </w:rPr>
                  </m:ctrlPr>
                </m:sSubPr>
                <m:e>
                  <m:r>
                    <w:rPr>
                      <w:rFonts w:ascii="Cambria Math" w:hAnsi="Cambria Math"/>
                      <w:sz w:val="18"/>
                    </w:rPr>
                    <m:t>V</m:t>
                  </m:r>
                </m:e>
                <m:sub>
                  <m:r>
                    <w:rPr>
                      <w:rFonts w:ascii="Cambria Math" w:hAnsi="Cambria Math"/>
                      <w:sz w:val="18"/>
                    </w:rPr>
                    <m:t>THP</m:t>
                  </m:r>
                </m:sub>
              </m:sSub>
              <m:r>
                <w:rPr>
                  <w:rFonts w:ascii="Cambria Math" w:hAnsi="Cambria Math"/>
                  <w:sz w:val="18"/>
                </w:rPr>
                <m:t>)</m:t>
              </m:r>
            </m:num>
            <m:den>
              <m:r>
                <w:rPr>
                  <w:rFonts w:ascii="Cambria Math" w:hAnsi="Cambria Math"/>
                  <w:sz w:val="18"/>
                </w:rPr>
                <m:t>1+</m:t>
              </m:r>
              <m:rad>
                <m:radPr>
                  <m:degHide m:val="on"/>
                  <m:ctrlPr>
                    <w:rPr>
                      <w:rFonts w:ascii="Cambria Math" w:hAnsi="Cambria Math"/>
                      <w:i/>
                      <w:sz w:val="18"/>
                    </w:rPr>
                  </m:ctrlPr>
                </m:radPr>
                <m:deg/>
                <m:e>
                  <m:f>
                    <m:fPr>
                      <m:ctrlPr>
                        <w:rPr>
                          <w:rFonts w:ascii="Cambria Math" w:hAnsi="Cambria Math"/>
                          <w:i/>
                          <w:sz w:val="18"/>
                        </w:rPr>
                      </m:ctrlPr>
                    </m:fPr>
                    <m:num>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num>
                    <m:den>
                      <m:sSub>
                        <m:sSubPr>
                          <m:ctrlPr>
                            <w:rPr>
                              <w:rFonts w:ascii="Cambria Math" w:hAnsi="Cambria Math"/>
                              <w:i/>
                              <w:sz w:val="18"/>
                            </w:rPr>
                          </m:ctrlPr>
                        </m:sSubPr>
                        <m:e>
                          <m:r>
                            <w:rPr>
                              <w:rFonts w:ascii="Cambria Math" w:hAnsi="Cambria Math"/>
                              <w:sz w:val="18"/>
                            </w:rPr>
                            <m:t>β</m:t>
                          </m:r>
                        </m:e>
                        <m:sub>
                          <m:r>
                            <w:rPr>
                              <w:rFonts w:ascii="Cambria Math" w:hAnsi="Cambria Math"/>
                              <w:sz w:val="18"/>
                            </w:rPr>
                            <m:t>p</m:t>
                          </m:r>
                        </m:sub>
                      </m:sSub>
                    </m:den>
                  </m:f>
                </m:e>
              </m:rad>
            </m:den>
          </m:f>
        </m:oMath>
      </m:oMathPara>
    </w:p>
    <w:p w:rsidR="0030599C" w:rsidRDefault="0030599C" w:rsidP="00565026">
      <w:pPr>
        <w:pStyle w:val="Epgrafe"/>
        <w:jc w:val="center"/>
      </w:pPr>
      <w:r>
        <w:rPr>
          <w:rFonts w:eastAsiaTheme="minorEastAsia"/>
          <w:noProof/>
          <w:lang w:eastAsia="es-AR"/>
        </w:rPr>
        <w:drawing>
          <wp:inline distT="0" distB="0" distL="0" distR="0">
            <wp:extent cx="2427266" cy="1318297"/>
            <wp:effectExtent l="19050" t="0" r="0" b="0"/>
            <wp:docPr id="51" name="Imagen 3" descr="C:\Users\FABRICIO\Desktop\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21.jpg"/>
                    <pic:cNvPicPr>
                      <a:picLocks noChangeAspect="1" noChangeArrowheads="1"/>
                    </pic:cNvPicPr>
                  </pic:nvPicPr>
                  <pic:blipFill>
                    <a:blip r:embed="rId16" cstate="print"/>
                    <a:srcRect/>
                    <a:stretch>
                      <a:fillRect/>
                    </a:stretch>
                  </pic:blipFill>
                  <pic:spPr bwMode="auto">
                    <a:xfrm>
                      <a:off x="0" y="0"/>
                      <a:ext cx="2433641" cy="1321759"/>
                    </a:xfrm>
                    <a:prstGeom prst="rect">
                      <a:avLst/>
                    </a:prstGeom>
                    <a:noFill/>
                    <a:ln w="9525">
                      <a:noFill/>
                      <a:miter lim="800000"/>
                      <a:headEnd/>
                      <a:tailEnd/>
                    </a:ln>
                  </pic:spPr>
                </pic:pic>
              </a:graphicData>
            </a:graphic>
          </wp:inline>
        </w:drawing>
      </w:r>
    </w:p>
    <w:p w:rsidR="0030599C" w:rsidRDefault="0030599C" w:rsidP="00565026">
      <w:pPr>
        <w:pStyle w:val="Epgrafe"/>
        <w:jc w:val="center"/>
        <w:rPr>
          <w:rFonts w:eastAsiaTheme="minorEastAsia"/>
        </w:rPr>
      </w:pPr>
      <w:bookmarkStart w:id="8" w:name="_Ref256413750"/>
      <w:r>
        <w:t xml:space="preserve">Figura </w:t>
      </w:r>
      <w:fldSimple w:instr=" SEQ Figura \* ARABIC ">
        <w:r w:rsidR="00024623">
          <w:rPr>
            <w:noProof/>
          </w:rPr>
          <w:t>9</w:t>
        </w:r>
      </w:fldSimple>
      <w:bookmarkEnd w:id="8"/>
      <w:r>
        <w:t>) Curva de transferencia de tensión VTC del inversor (V</w:t>
      </w:r>
      <w:r w:rsidRPr="00D359CF">
        <w:rPr>
          <w:vertAlign w:val="subscript"/>
        </w:rPr>
        <w:t>SP</w:t>
      </w:r>
      <w:r>
        <w:t>)</w:t>
      </w:r>
    </w:p>
    <w:p w:rsidR="0030599C" w:rsidRDefault="0030599C" w:rsidP="00D051DA">
      <w:pPr>
        <w:pStyle w:val="Ttulo3"/>
      </w:pPr>
      <w:r>
        <w:t>Características de Transición de la compuerta inversora</w:t>
      </w:r>
      <w:r w:rsidR="00AC067E">
        <w:t>:</w:t>
      </w:r>
    </w:p>
    <w:p w:rsidR="0030599C" w:rsidRDefault="0030599C" w:rsidP="00D051DA">
      <w:pPr>
        <w:pStyle w:val="ParrafoTESIS"/>
      </w:pPr>
      <w:r>
        <w:t>El comportamiento transitorio del inversor puede ser generalizado examinando las capacidades parasitas y las resistencias asociadas con el mismo (</w:t>
      </w:r>
      <w:fldSimple w:instr=" REF _Ref256413767 \h  \* MERGEFORMAT ">
        <w:r w:rsidR="00024623" w:rsidRPr="00024623">
          <w:rPr>
            <w:color w:val="4F81BD" w:themeColor="accent1"/>
          </w:rPr>
          <w:t xml:space="preserve">Figura </w:t>
        </w:r>
        <w:r w:rsidR="00024623" w:rsidRPr="00024623">
          <w:rPr>
            <w:noProof/>
            <w:color w:val="4F81BD" w:themeColor="accent1"/>
          </w:rPr>
          <w:t>10</w:t>
        </w:r>
      </w:fldSimple>
      <w:r>
        <w:t>).</w:t>
      </w:r>
    </w:p>
    <w:p w:rsidR="0030599C" w:rsidRDefault="0030599C" w:rsidP="0030599C">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inp</m:t>
              </m:r>
            </m:sub>
          </m:sSub>
        </m:oMath>
      </m:oMathPara>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outp</m:t>
              </m:r>
            </m:sub>
          </m:sSub>
        </m:oMath>
      </m:oMathPara>
    </w:p>
    <w:p w:rsidR="0030599C" w:rsidRDefault="0030599C" w:rsidP="00D051DA">
      <w:pPr>
        <w:pStyle w:val="ParrafoTESIS"/>
      </w:pPr>
      <w:r>
        <w:lastRenderedPageBreak/>
        <w:t>Y el tiempo de propagación intrínseco de la compuerta:</w:t>
      </w:r>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Pr="00A415BF" w:rsidRDefault="00EB0909"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oMath>
      </m:oMathPara>
    </w:p>
    <w:p w:rsidR="0030599C" w:rsidRDefault="0030599C" w:rsidP="00565026">
      <w:pPr>
        <w:pStyle w:val="Epgrafe"/>
        <w:jc w:val="center"/>
      </w:pPr>
      <w:r>
        <w:rPr>
          <w:rFonts w:eastAsiaTheme="minorEastAsia"/>
          <w:noProof/>
          <w:lang w:eastAsia="es-AR"/>
        </w:rPr>
        <w:drawing>
          <wp:inline distT="0" distB="0" distL="0" distR="0">
            <wp:extent cx="3121561" cy="1334832"/>
            <wp:effectExtent l="19050" t="0" r="2639" b="0"/>
            <wp:docPr id="57" name="Imagen 4" descr="C:\Users\FABRICIO\Desktop\img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RICIO\Desktop\img022.jpg"/>
                    <pic:cNvPicPr>
                      <a:picLocks noChangeAspect="1" noChangeArrowheads="1"/>
                    </pic:cNvPicPr>
                  </pic:nvPicPr>
                  <pic:blipFill>
                    <a:blip r:embed="rId17" cstate="print"/>
                    <a:srcRect/>
                    <a:stretch>
                      <a:fillRect/>
                    </a:stretch>
                  </pic:blipFill>
                  <pic:spPr bwMode="auto">
                    <a:xfrm>
                      <a:off x="0" y="0"/>
                      <a:ext cx="3122391" cy="1335187"/>
                    </a:xfrm>
                    <a:prstGeom prst="rect">
                      <a:avLst/>
                    </a:prstGeom>
                    <a:noFill/>
                    <a:ln w="9525">
                      <a:noFill/>
                      <a:miter lim="800000"/>
                      <a:headEnd/>
                      <a:tailEnd/>
                    </a:ln>
                  </pic:spPr>
                </pic:pic>
              </a:graphicData>
            </a:graphic>
          </wp:inline>
        </w:drawing>
      </w:r>
    </w:p>
    <w:p w:rsidR="00724590" w:rsidRDefault="0030599C" w:rsidP="00565026">
      <w:pPr>
        <w:pStyle w:val="Epgrafe"/>
        <w:jc w:val="center"/>
        <w:rPr>
          <w:b w:val="0"/>
          <w:bCs w:val="0"/>
        </w:rPr>
      </w:pPr>
      <w:bookmarkStart w:id="9" w:name="_Ref256413767"/>
      <w:r>
        <w:t xml:space="preserve">Figura </w:t>
      </w:r>
      <w:fldSimple w:instr=" SEQ Figura \* ARABIC ">
        <w:r w:rsidR="00024623">
          <w:rPr>
            <w:noProof/>
          </w:rPr>
          <w:t>10</w:t>
        </w:r>
      </w:fldSimple>
      <w:bookmarkEnd w:id="9"/>
      <w:r>
        <w:t>) Esquemático y modelo transitorio del inversor.</w:t>
      </w:r>
      <w:r w:rsidRPr="00A415BF">
        <w:rPr>
          <w:rFonts w:eastAsiaTheme="minorEastAsia"/>
        </w:rPr>
        <w:t xml:space="preserve"> </w:t>
      </w:r>
    </w:p>
    <w:p w:rsidR="0030599C" w:rsidRPr="00AE6FD2" w:rsidRDefault="0030599C" w:rsidP="00D051DA">
      <w:pPr>
        <w:pStyle w:val="Ttulo2"/>
        <w:pBdr>
          <w:top w:val="single" w:sz="4" w:space="1" w:color="auto"/>
          <w:bottom w:val="single" w:sz="4" w:space="1" w:color="auto"/>
        </w:pBdr>
      </w:pPr>
      <w:r>
        <w:t>COMPUERTAS</w:t>
      </w:r>
    </w:p>
    <w:p w:rsidR="0030599C" w:rsidRDefault="0030599C" w:rsidP="00D051DA">
      <w:pPr>
        <w:pStyle w:val="ParrafoTESIS"/>
      </w:pPr>
      <w:r>
        <w:t xml:space="preserve">El esquemático de las compuertas NAND de 2 entradas se muestra en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Cada entrada está conectada al </w:t>
      </w:r>
      <w:r>
        <w:rPr>
          <w:i/>
        </w:rPr>
        <w:t>Gate</w:t>
      </w:r>
      <w:r>
        <w:t xml:space="preserve"> de un PMOS y de un NMOS.</w:t>
      </w:r>
    </w:p>
    <w:p w:rsidR="0030599C" w:rsidRDefault="0030599C" w:rsidP="00565026">
      <w:pPr>
        <w:jc w:val="center"/>
      </w:pPr>
      <w:r>
        <w:rPr>
          <w:noProof/>
          <w:lang w:eastAsia="es-AR"/>
        </w:rPr>
        <w:drawing>
          <wp:inline distT="0" distB="0" distL="0" distR="0">
            <wp:extent cx="2261012" cy="1201111"/>
            <wp:effectExtent l="19050" t="0" r="5938"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13" b="50110"/>
                    <a:stretch>
                      <a:fillRect/>
                    </a:stretch>
                  </pic:blipFill>
                  <pic:spPr bwMode="auto">
                    <a:xfrm>
                      <a:off x="0" y="0"/>
                      <a:ext cx="2274133" cy="1208081"/>
                    </a:xfrm>
                    <a:prstGeom prst="rect">
                      <a:avLst/>
                    </a:prstGeom>
                    <a:noFill/>
                    <a:ln w="9525">
                      <a:noFill/>
                      <a:miter lim="800000"/>
                      <a:headEnd/>
                      <a:tailEnd/>
                    </a:ln>
                  </pic:spPr>
                </pic:pic>
              </a:graphicData>
            </a:graphic>
          </wp:inline>
        </w:drawing>
      </w:r>
    </w:p>
    <w:p w:rsidR="0030599C" w:rsidRDefault="0030599C" w:rsidP="00565026">
      <w:pPr>
        <w:pStyle w:val="Epgrafe"/>
        <w:jc w:val="center"/>
      </w:pPr>
      <w:bookmarkStart w:id="10" w:name="_Ref256413842"/>
      <w:r>
        <w:t xml:space="preserve">Figura </w:t>
      </w:r>
      <w:fldSimple w:instr=" SEQ Figura \* ARABIC ">
        <w:r w:rsidR="00024623">
          <w:rPr>
            <w:noProof/>
          </w:rPr>
          <w:t>11</w:t>
        </w:r>
      </w:fldSimple>
      <w:bookmarkEnd w:id="10"/>
      <w:r>
        <w:t>) Esquemático y símbolos lógicos de compuertas NAND.</w:t>
      </w:r>
    </w:p>
    <w:p w:rsidR="0030599C" w:rsidRPr="00BD54FA" w:rsidRDefault="0030599C" w:rsidP="00D051DA">
      <w:pPr>
        <w:pStyle w:val="Ttulo3"/>
      </w:pPr>
      <w:r w:rsidRPr="00BD54FA">
        <w:t>Características DC de la compuerta NAND</w:t>
      </w:r>
      <w:r w:rsidR="00AC067E">
        <w:t>:</w:t>
      </w:r>
    </w:p>
    <w:p w:rsidR="0030599C" w:rsidRDefault="0030599C" w:rsidP="00D051DA">
      <w:pPr>
        <w:pStyle w:val="ParrafoTESIS"/>
      </w:pPr>
      <w:r>
        <w:t xml:space="preserve">Para que la salida de la compuerta NAND de la </w:t>
      </w:r>
      <w:fldSimple w:instr=" REF _Ref256413842 \h  \* MERGEFORMAT ">
        <w:r w:rsidR="00024623" w:rsidRPr="00024623">
          <w:rPr>
            <w:color w:val="4F81BD" w:themeColor="accent1"/>
          </w:rPr>
          <w:t xml:space="preserve">Figura </w:t>
        </w:r>
        <w:r w:rsidR="00024623" w:rsidRPr="00024623">
          <w:rPr>
            <w:noProof/>
            <w:color w:val="4F81BD" w:themeColor="accent1"/>
          </w:rPr>
          <w:t>11</w:t>
        </w:r>
      </w:fldSimple>
      <w:r>
        <w:t xml:space="preserve"> cambie el estado a nivel bajo (CERO lógico), es necesario que ambas entradas se encuentren en el estado lógico alto (UNO lógico).</w:t>
      </w:r>
    </w:p>
    <w:p w:rsidR="0030599C" w:rsidRDefault="0030599C" w:rsidP="00D051DA">
      <w:pPr>
        <w:pStyle w:val="ParrafoTESIS"/>
      </w:pPr>
      <w:r>
        <w:t xml:space="preserve">La curva de transferencia de voltaje (VTC o </w:t>
      </w:r>
      <w:r>
        <w:rPr>
          <w:i/>
        </w:rPr>
        <w:t>Voltaje-Transfer-Curve</w:t>
      </w:r>
      <w:r>
        <w:t>)</w:t>
      </w:r>
      <w:r>
        <w:rPr>
          <w:i/>
        </w:rPr>
        <w:t xml:space="preserve"> </w:t>
      </w:r>
      <w:r>
        <w:t>de la compuerta NAND (</w:t>
      </w:r>
      <w:fldSimple w:instr=" REF _Ref256414063 \h  \* MERGEFORMAT ">
        <w:r w:rsidR="00024623" w:rsidRPr="00024623">
          <w:rPr>
            <w:color w:val="4F81BD" w:themeColor="accent1"/>
          </w:rPr>
          <w:t xml:space="preserve">Figura </w:t>
        </w:r>
        <w:r w:rsidR="00024623" w:rsidRPr="00024623">
          <w:rPr>
            <w:noProof/>
            <w:color w:val="4F81BD" w:themeColor="accent1"/>
          </w:rPr>
          <w:t>12</w:t>
        </w:r>
      </w:fldSimple>
      <w:r>
        <w:t xml:space="preserve">)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están conectadas entre ellas, la compuerta NAND se comportaría como un Inversor.</w:t>
      </w:r>
    </w:p>
    <w:p w:rsidR="0030599C" w:rsidRPr="00D051DA" w:rsidRDefault="0030599C" w:rsidP="00D051DA">
      <w:pPr>
        <w:pStyle w:val="ParrafoTESIS"/>
      </w:pPr>
      <w:r w:rsidRPr="00D051DA">
        <w:t xml:space="preserve">Para el paralelo de los dos PMOS de la </w:t>
      </w:r>
      <w:fldSimple w:instr=" REF _Ref256413842 \h  \* MERGEFORMAT ">
        <w:r w:rsidR="00024623" w:rsidRPr="00D051DA">
          <w:t>Figura 11</w:t>
        </w:r>
      </w:fldSimple>
      <w:r w:rsidRPr="00D051DA">
        <w:t>, podemos escribir:</w:t>
      </w:r>
      <w:r w:rsidR="00724590" w:rsidRPr="00D051DA">
        <w:tab/>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W</m:t>
            </m:r>
          </m:e>
          <m:sub>
            <m:r>
              <w:rPr>
                <w:rFonts w:ascii="Cambria Math" w:hAnsi="Cambria Math"/>
              </w:rPr>
              <m:t>p</m:t>
            </m:r>
          </m:sub>
        </m:sSub>
      </m:oMath>
    </w:p>
    <w:p w:rsidR="0030599C" w:rsidRDefault="0030599C" w:rsidP="00D051DA">
      <w:pPr>
        <w:pStyle w:val="ParrafoTESIS"/>
      </w:pPr>
      <w:r>
        <w:lastRenderedPageBreak/>
        <w:t>Asumiendo que todos los PMOS están igualmente dimensionados</w:t>
      </w:r>
      <w:r w:rsidR="00AC067E">
        <w:t>,</w:t>
      </w:r>
      <w:r>
        <w:t xml:space="preserve"> </w:t>
      </w:r>
      <w:r w:rsidR="00AC067E">
        <w:t>l</w:t>
      </w:r>
      <w:r>
        <w:t>a transconductancia de estos MOSFETs también puede ser combinada y escribirla como:</w:t>
      </w:r>
      <w:r w:rsidR="00724590">
        <w:tab/>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w:p>
    <w:p w:rsidR="0030599C" w:rsidRDefault="0030599C" w:rsidP="00D051DA">
      <w:pPr>
        <w:pStyle w:val="ParrafoTESIS"/>
      </w:pPr>
      <w:r>
        <w:t xml:space="preserve">Los dos NMOS conectados en serie (con sus </w:t>
      </w:r>
      <w:r>
        <w:rPr>
          <w:i/>
        </w:rPr>
        <w:t>Gates</w:t>
      </w:r>
      <w:r>
        <w:t xml:space="preserve"> conectadas entre </w:t>
      </w:r>
      <w:r w:rsidR="003D15A3">
        <w:t>sí</w:t>
      </w:r>
      <w:r>
        <w:t>) lo podemos escribir como:</w:t>
      </w:r>
      <w:r w:rsidR="003A137F">
        <w:tab/>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w:p>
    <w:p w:rsidR="0030599C" w:rsidRDefault="0030599C" w:rsidP="00D051DA">
      <w:pPr>
        <w:pStyle w:val="ParrafoTESIS"/>
      </w:pPr>
      <w:r>
        <w:t>Y su transconductancia quedaría como:</w:t>
      </w:r>
      <w:r w:rsidR="003A137F">
        <w:tab/>
      </w:r>
      <w:r w:rsidR="003A137F">
        <w:tab/>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w:p>
    <w:p w:rsidR="0030599C" w:rsidRDefault="0030599C" w:rsidP="00D051DA">
      <w:pPr>
        <w:pStyle w:val="ParrafoTESIS"/>
      </w:pPr>
      <w:r>
        <w:t>Debido a la configuración del modelo, podemos escribir la transconductancia total de la compuerta NAND como:</w:t>
      </w:r>
    </w:p>
    <w:p w:rsidR="0030599C" w:rsidRDefault="0030599C" w:rsidP="00D051DA">
      <w:pPr>
        <w:pStyle w:val="ParrafoTESIS"/>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30599C" w:rsidRDefault="0030599C" w:rsidP="00D051DA">
      <w:pPr>
        <w:pStyle w:val="ParrafoTESIS"/>
      </w:pPr>
      <w:r>
        <w:t>Ahora podemos determinar el valor de cambio de estado para compuertas NAND de “n” entradas como:</w:t>
      </w:r>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0599C" w:rsidRDefault="0030599C" w:rsidP="00D051DA">
      <w:pPr>
        <w:pStyle w:val="ParrafoTESIS"/>
      </w:pPr>
      <w:r>
        <w:t xml:space="preserve">Esta ecuación es derivada bajo la consideración </w:t>
      </w:r>
      <w:r w:rsidR="00AD43B0">
        <w:t xml:space="preserve">de </w:t>
      </w:r>
      <w:r>
        <w:t>que todas las entradas estén conectadas entre sí.</w:t>
      </w:r>
    </w:p>
    <w:p w:rsidR="0030599C" w:rsidRDefault="0030599C" w:rsidP="00AD1C2E">
      <w:pPr>
        <w:jc w:val="center"/>
      </w:pPr>
      <w:r>
        <w:rPr>
          <w:noProof/>
          <w:lang w:eastAsia="es-AR"/>
        </w:rPr>
        <w:drawing>
          <wp:inline distT="0" distB="0" distL="0" distR="0">
            <wp:extent cx="2719344" cy="1188789"/>
            <wp:effectExtent l="38100" t="19050" r="4806" b="11361"/>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60000">
                      <a:off x="0" y="0"/>
                      <a:ext cx="2719400" cy="1188814"/>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1" w:name="_Ref256414063"/>
      <w:r>
        <w:t xml:space="preserve">Figura </w:t>
      </w:r>
      <w:fldSimple w:instr=" SEQ Figura \* ARABIC ">
        <w:r w:rsidR="00024623">
          <w:rPr>
            <w:noProof/>
          </w:rPr>
          <w:t>12</w:t>
        </w:r>
      </w:fldSimple>
      <w:bookmarkEnd w:id="11"/>
      <w:r>
        <w:t>) VTC de una compuerta NAND de 3 entradas.</w:t>
      </w:r>
    </w:p>
    <w:p w:rsidR="0030599C" w:rsidRDefault="0030599C" w:rsidP="00D051DA">
      <w:pPr>
        <w:pStyle w:val="Ttulo3"/>
      </w:pPr>
      <w:r w:rsidRPr="00BD54FA">
        <w:t xml:space="preserve">Características </w:t>
      </w:r>
      <w:r w:rsidR="003D15A3">
        <w:t>de cambio</w:t>
      </w:r>
      <w:r>
        <w:t xml:space="preserve"> de la compuerta NAND</w:t>
      </w:r>
      <w:r w:rsidR="00AD43B0">
        <w:t>:</w:t>
      </w:r>
    </w:p>
    <w:p w:rsidR="0030599C" w:rsidRDefault="0030599C" w:rsidP="00AD1C2E">
      <w:pPr>
        <w:jc w:val="center"/>
      </w:pPr>
      <w:r>
        <w:rPr>
          <w:noProof/>
          <w:lang w:eastAsia="es-AR"/>
        </w:rPr>
        <w:drawing>
          <wp:inline distT="0" distB="0" distL="0" distR="0">
            <wp:extent cx="1287235" cy="545823"/>
            <wp:effectExtent l="19050" t="0" r="8165"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294935" cy="549088"/>
                    </a:xfrm>
                    <a:prstGeom prst="rect">
                      <a:avLst/>
                    </a:prstGeom>
                    <a:noFill/>
                    <a:ln w="9525">
                      <a:noFill/>
                      <a:miter lim="800000"/>
                      <a:headEnd/>
                      <a:tailEnd/>
                    </a:ln>
                  </pic:spPr>
                </pic:pic>
              </a:graphicData>
            </a:graphic>
          </wp:inline>
        </w:drawing>
      </w:r>
    </w:p>
    <w:p w:rsidR="0030599C" w:rsidRDefault="0030599C" w:rsidP="00AD1C2E">
      <w:pPr>
        <w:pStyle w:val="Epgrafe"/>
        <w:jc w:val="center"/>
      </w:pPr>
      <w:bookmarkStart w:id="12" w:name="_Ref256414259"/>
      <w:r>
        <w:t xml:space="preserve">Figura </w:t>
      </w:r>
      <w:fldSimple w:instr=" SEQ Figura \* ARABIC ">
        <w:r w:rsidR="00024623">
          <w:rPr>
            <w:noProof/>
          </w:rPr>
          <w:t>13</w:t>
        </w:r>
      </w:fldSimple>
      <w:bookmarkEnd w:id="12"/>
      <w:r>
        <w:t>) Compue</w:t>
      </w:r>
      <w:r w:rsidR="00AD43B0">
        <w:t>rta NAND de N entradas con una c</w:t>
      </w:r>
      <w:r>
        <w:t>apacitancia C</w:t>
      </w:r>
      <w:r w:rsidRPr="000150FA">
        <w:rPr>
          <w:vertAlign w:val="subscript"/>
        </w:rPr>
        <w:t>load</w:t>
      </w:r>
      <w:r>
        <w:t xml:space="preserve"> como carga.</w:t>
      </w:r>
    </w:p>
    <w:p w:rsidR="0030599C" w:rsidRDefault="0030599C" w:rsidP="00D051DA">
      <w:pPr>
        <w:pStyle w:val="ParrafoTESIS"/>
        <w:rPr>
          <w:rFonts w:eastAsiaTheme="minorEastAsia"/>
        </w:rPr>
      </w:pPr>
      <w:r>
        <w:lastRenderedPageBreak/>
        <w:t xml:space="preserve">Considerando la compuerta NAND de N entradas de la </w:t>
      </w:r>
      <w:fldSimple w:instr=" REF _Ref256414259 \h  \* MERGEFORMAT ">
        <w:r w:rsidR="00024623" w:rsidRPr="00024623">
          <w:rPr>
            <w:color w:val="4F81BD" w:themeColor="accent1"/>
          </w:rPr>
          <w:t xml:space="preserve">Figura </w:t>
        </w:r>
        <w:r w:rsidR="00024623" w:rsidRPr="00024623">
          <w:rPr>
            <w:noProof/>
            <w:color w:val="4F81BD" w:themeColor="accent1"/>
          </w:rPr>
          <w:t>13</w:t>
        </w:r>
      </w:fldSimple>
      <w:r>
        <w:t xml:space="preserve">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0599C" w:rsidRDefault="0030599C" w:rsidP="00D051DA">
      <w:pPr>
        <w:pStyle w:val="ParrafoTESIS"/>
      </w:pPr>
      <w:r>
        <w:t>Y el tiempo de propagación de nivel alto a bajo quedaría:</w:t>
      </w:r>
    </w:p>
    <w:p w:rsidR="0030599C" w:rsidRPr="00043B40" w:rsidRDefault="00EB0909" w:rsidP="0030599C">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30599C" w:rsidRDefault="0030599C" w:rsidP="00AD1C2E">
      <w:pPr>
        <w:jc w:val="center"/>
      </w:pPr>
      <w:r>
        <w:rPr>
          <w:noProof/>
          <w:lang w:eastAsia="es-AR"/>
        </w:rPr>
        <w:drawing>
          <wp:inline distT="0" distB="0" distL="0" distR="0">
            <wp:extent cx="3212681" cy="1349758"/>
            <wp:effectExtent l="19050" t="0" r="6769"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213218" cy="1349984"/>
                    </a:xfrm>
                    <a:prstGeom prst="rect">
                      <a:avLst/>
                    </a:prstGeom>
                    <a:noFill/>
                    <a:ln w="9525">
                      <a:noFill/>
                      <a:miter lim="800000"/>
                      <a:headEnd/>
                      <a:tailEnd/>
                    </a:ln>
                  </pic:spPr>
                </pic:pic>
              </a:graphicData>
            </a:graphic>
          </wp:inline>
        </w:drawing>
      </w:r>
    </w:p>
    <w:p w:rsidR="00182884" w:rsidRDefault="0030599C" w:rsidP="00AD1C2E">
      <w:pPr>
        <w:pStyle w:val="Epgrafe"/>
        <w:jc w:val="center"/>
        <w:rPr>
          <w:b w:val="0"/>
          <w:bCs w:val="0"/>
        </w:rPr>
      </w:pPr>
      <w:r>
        <w:t xml:space="preserve">Figura </w:t>
      </w:r>
      <w:fldSimple w:instr=" SEQ Figura \* ARABIC ">
        <w:r w:rsidR="00024623">
          <w:rPr>
            <w:noProof/>
          </w:rPr>
          <w:t>14</w:t>
        </w:r>
      </w:fldSimple>
      <w:r>
        <w:t>) Simulación de una compuerta NAND de 3 entradas con una capacitancia de carga de 50fF.</w:t>
      </w:r>
    </w:p>
    <w:p w:rsidR="0030599C" w:rsidRPr="00D051DA" w:rsidRDefault="0030599C" w:rsidP="00D051DA">
      <w:pPr>
        <w:pStyle w:val="Ttulo2"/>
        <w:pBdr>
          <w:top w:val="single" w:sz="4" w:space="1" w:color="auto"/>
          <w:bottom w:val="single" w:sz="4" w:space="1" w:color="auto"/>
        </w:pBdr>
      </w:pPr>
      <w:r w:rsidRPr="00D051DA">
        <w:t>CONVERSOR</w:t>
      </w:r>
    </w:p>
    <w:p w:rsidR="0030599C" w:rsidRDefault="0030599C" w:rsidP="00D051DA">
      <w:pPr>
        <w:pStyle w:val="ParrafoTESIS"/>
      </w:pPr>
      <w:r>
        <w:t xml:space="preserve">Hay diversos algoritmos y formas de realizar un </w:t>
      </w:r>
      <w:r w:rsidR="00284D3B">
        <w:t>conversor</w:t>
      </w:r>
      <w:r>
        <w:t xml:space="preserve"> analógico/digital ofreciendo diferentes ventajas y desventajas. La relación de compromiso se da entre la resolución de conversión, velocidad y economía (haciendo referencia a la complejidad del circuito, el área del mismo en el chip, la potencia de disipación, etc.), ofreciendo gran cantidad de opciones. Diferentes aplicaciones obviamente requieren diferentes parámetros</w:t>
      </w:r>
      <w:r w:rsidR="00FA4D0D">
        <w:t>.</w:t>
      </w:r>
    </w:p>
    <w:p w:rsidR="0030599C" w:rsidRDefault="0030599C" w:rsidP="00D051DA">
      <w:pPr>
        <w:pStyle w:val="ParrafoTESIS"/>
      </w:pPr>
      <w:r>
        <w:t>Clasificando a los ADCs según su velocidad de conversión, tenemos 3 categorías:</w:t>
      </w:r>
    </w:p>
    <w:p w:rsidR="0030599C" w:rsidRDefault="0030599C" w:rsidP="00D051DA">
      <w:pPr>
        <w:pStyle w:val="ParrafoTESIS"/>
        <w:numPr>
          <w:ilvl w:val="0"/>
          <w:numId w:val="3"/>
        </w:numPr>
      </w:pPr>
      <w:r w:rsidRPr="001023F6">
        <w:rPr>
          <w:i/>
        </w:rPr>
        <w:t>ADCs de Alta Velocidad</w:t>
      </w:r>
      <w:r>
        <w:t>: la señal analógica es muestreada</w:t>
      </w:r>
      <w:r w:rsidRPr="00F425EC">
        <w:t xml:space="preserve"> a la misma velocidad que la señal de reloj, o a </w:t>
      </w:r>
      <w:r>
        <w:t>la</w:t>
      </w:r>
      <w:r w:rsidRPr="00F425EC">
        <w:t xml:space="preserve"> mitad </w:t>
      </w:r>
      <w:r>
        <w:t>de su frecuencia. A pesar de ello, existe una constante de tiempo de retardo (latency) entre el tiempo en que la muestra de la señal analógica entra al conversor y la señal digital generada aparece en la salida. Ejemplos son los conversores Flash, pipeline, de interpolación, etc. Tienen rangos de conversión de entre 0.5 MS/s hasta 10 GS/s, con resoluciones entre 6 a 12 bits.</w:t>
      </w:r>
    </w:p>
    <w:p w:rsidR="0030599C" w:rsidRDefault="0030599C" w:rsidP="00D051DA">
      <w:pPr>
        <w:pStyle w:val="ParrafoTESIS"/>
        <w:numPr>
          <w:ilvl w:val="0"/>
          <w:numId w:val="3"/>
        </w:numPr>
      </w:pPr>
      <w:r>
        <w:rPr>
          <w:i/>
        </w:rPr>
        <w:t>ADCs de Media Velocidad</w:t>
      </w:r>
      <w:r w:rsidRPr="00644BCB">
        <w:t>:</w:t>
      </w:r>
      <w:r>
        <w:t xml:space="preserve"> para N-bits de ADCs se requieren N per</w:t>
      </w:r>
      <w:r w:rsidR="00284D3B">
        <w:t>í</w:t>
      </w:r>
      <w:r>
        <w:t xml:space="preserve">odos de reloj para cada muestra analógica. Esto hace que la conversión sea N veces más lenta que el reloj. Las implementaciones más típicas incluyen varios conversores seriales </w:t>
      </w:r>
      <w:r>
        <w:lastRenderedPageBreak/>
        <w:t>(conversores de sucesivas aproximaciones). Los rangos de conversión se encuentran entre 0.1 MS/s y 0.5 MS/s con resoluciones de 10 a 14 bits.</w:t>
      </w:r>
    </w:p>
    <w:p w:rsidR="0030599C" w:rsidRDefault="0030599C" w:rsidP="00D051DA">
      <w:pPr>
        <w:pStyle w:val="ParrafoTESIS"/>
        <w:numPr>
          <w:ilvl w:val="0"/>
          <w:numId w:val="3"/>
        </w:numPr>
      </w:pPr>
      <w:r w:rsidRPr="0030599C">
        <w:rPr>
          <w:i/>
        </w:rPr>
        <w:t>ADCs de Baja Velocidad</w:t>
      </w:r>
      <w:r w:rsidRPr="001321DF">
        <w:t>:</w:t>
      </w:r>
      <w:r>
        <w:t xml:space="preserve"> para resoluciones de N-bits se requieren aproximadamente 2</w:t>
      </w:r>
      <w:r w:rsidRPr="0030599C">
        <w:rPr>
          <w:vertAlign w:val="superscript"/>
        </w:rPr>
        <w:t>N</w:t>
      </w:r>
      <w:r>
        <w:t xml:space="preserve"> per</w:t>
      </w:r>
      <w:r w:rsidR="00284D3B">
        <w:t>í</w:t>
      </w:r>
      <w:r>
        <w:t>odos de reloj para cada conversión de muestra analógica, lo que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30599C" w:rsidRPr="00024623" w:rsidRDefault="0030599C" w:rsidP="00D051DA">
      <w:pPr>
        <w:pStyle w:val="Ttulo3"/>
      </w:pPr>
      <w:r w:rsidRPr="00024623">
        <w:t>PAR</w:t>
      </w:r>
      <w:r w:rsidR="00284D3B">
        <w:t>ÁMETROS CARACTERÍ</w:t>
      </w:r>
      <w:r w:rsidRPr="00024623">
        <w:t>STICOS DEL CONVERSOR A/D</w:t>
      </w:r>
    </w:p>
    <w:p w:rsidR="0030599C" w:rsidRDefault="0030599C" w:rsidP="00D051DA">
      <w:pPr>
        <w:pStyle w:val="ParrafoTESIS"/>
      </w:pPr>
      <w:r>
        <w:t xml:space="preserve">El diagrama en bloque de un ADC se muestra en la </w:t>
      </w:r>
      <w:fldSimple w:instr=" REF _Ref256171752 \h  \* MERGEFORMAT ">
        <w:r w:rsidR="00024623" w:rsidRPr="00024623">
          <w:rPr>
            <w:color w:val="4F81BD" w:themeColor="accent1"/>
          </w:rPr>
          <w:t xml:space="preserve">Figura </w:t>
        </w:r>
        <w:r w:rsidR="00024623" w:rsidRPr="00024623">
          <w:rPr>
            <w:noProof/>
            <w:color w:val="4F81BD" w:themeColor="accent1"/>
          </w:rPr>
          <w:t>15</w:t>
        </w:r>
      </w:fldSimple>
      <w:r>
        <w:t xml:space="preserve">.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30599C" w:rsidRDefault="00EB0909" w:rsidP="0030599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30599C" w:rsidRDefault="0030599C" w:rsidP="00D051DA">
      <w:pPr>
        <w:pStyle w:val="ParrafoTESIS"/>
        <w:rPr>
          <w:noProof/>
          <w:lang w:eastAsia="es-AR"/>
        </w:rPr>
      </w:pPr>
      <w: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 el error de </w:t>
      </w:r>
      <w:r w:rsidR="00160254">
        <w:t>cuantificación</w:t>
      </w:r>
      <w:r>
        <w:t xml:space="preserve"> generado por el número finito de bits </w:t>
      </w:r>
      <w:r>
        <w:rPr>
          <w:i/>
        </w:rPr>
        <w:t>N</w:t>
      </w:r>
      <w:r>
        <w:t xml:space="preserve"> usados en la conversión. Este error es inherente al proceso y puede ser reducido solamente aumentando el número de bits utilizados o reduciendo la tensión de referencia </w:t>
      </w:r>
      <w:r>
        <w:rPr>
          <w:i/>
        </w:rPr>
        <w:t>V</w:t>
      </w:r>
      <w:r>
        <w:rPr>
          <w:i/>
          <w:vertAlign w:val="subscript"/>
        </w:rPr>
        <w:t>ref</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260"/>
      </w:tblGrid>
      <w:tr w:rsidR="0030599C" w:rsidRPr="001215C0" w:rsidTr="00FA4D0D">
        <w:tc>
          <w:tcPr>
            <w:tcW w:w="3794" w:type="dxa"/>
            <w:vAlign w:val="bottom"/>
          </w:tcPr>
          <w:p w:rsidR="0030599C" w:rsidRPr="001215C0" w:rsidRDefault="0030599C" w:rsidP="00FA4D0D">
            <w:pPr>
              <w:jc w:val="center"/>
              <w:rPr>
                <w:rFonts w:eastAsiaTheme="minorEastAsia"/>
              </w:rPr>
            </w:pPr>
            <w:r w:rsidRPr="001215C0">
              <w:rPr>
                <w:rFonts w:eastAsiaTheme="minorEastAsia"/>
                <w:noProof/>
                <w:lang w:eastAsia="es-AR"/>
              </w:rPr>
              <w:drawing>
                <wp:inline distT="0" distB="0" distL="0" distR="0">
                  <wp:extent cx="1979871" cy="938502"/>
                  <wp:effectExtent l="19050" t="0" r="1329"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006462" cy="951107"/>
                          </a:xfrm>
                          <a:prstGeom prst="rect">
                            <a:avLst/>
                          </a:prstGeom>
                          <a:noFill/>
                          <a:ln w="9525">
                            <a:noFill/>
                            <a:miter lim="800000"/>
                            <a:headEnd/>
                            <a:tailEnd/>
                          </a:ln>
                        </pic:spPr>
                      </pic:pic>
                    </a:graphicData>
                  </a:graphic>
                </wp:inline>
              </w:drawing>
            </w:r>
          </w:p>
        </w:tc>
        <w:tc>
          <w:tcPr>
            <w:tcW w:w="5260" w:type="dxa"/>
            <w:vAlign w:val="bottom"/>
          </w:tcPr>
          <w:p w:rsidR="0030599C" w:rsidRPr="001215C0" w:rsidRDefault="0030599C" w:rsidP="00FA4D0D">
            <w:pPr>
              <w:jc w:val="center"/>
              <w:rPr>
                <w:rFonts w:eastAsiaTheme="minorEastAsia"/>
                <w:noProof/>
                <w:lang w:eastAsia="es-AR"/>
              </w:rPr>
            </w:pPr>
            <w:r>
              <w:rPr>
                <w:rFonts w:eastAsiaTheme="minorEastAsia"/>
                <w:noProof/>
                <w:lang w:eastAsia="es-AR"/>
              </w:rPr>
              <w:drawing>
                <wp:inline distT="0" distB="0" distL="0" distR="0">
                  <wp:extent cx="2193503" cy="1871331"/>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196916" cy="1874243"/>
                          </a:xfrm>
                          <a:prstGeom prst="rect">
                            <a:avLst/>
                          </a:prstGeom>
                          <a:noFill/>
                          <a:ln w="9525">
                            <a:noFill/>
                            <a:miter lim="800000"/>
                            <a:headEnd/>
                            <a:tailEnd/>
                          </a:ln>
                        </pic:spPr>
                      </pic:pic>
                    </a:graphicData>
                  </a:graphic>
                </wp:inline>
              </w:drawing>
            </w:r>
          </w:p>
        </w:tc>
      </w:tr>
      <w:tr w:rsidR="0030599C" w:rsidRPr="001215C0" w:rsidTr="00FA4D0D">
        <w:tc>
          <w:tcPr>
            <w:tcW w:w="3794" w:type="dxa"/>
          </w:tcPr>
          <w:p w:rsidR="0030599C" w:rsidRPr="001215C0" w:rsidRDefault="0030599C" w:rsidP="0041360E">
            <w:pPr>
              <w:pStyle w:val="Epgrafe"/>
            </w:pPr>
            <w:bookmarkStart w:id="13" w:name="_Ref256171752"/>
            <w:r w:rsidRPr="001215C0">
              <w:t xml:space="preserve">Figura </w:t>
            </w:r>
            <w:fldSimple w:instr=" SEQ Figura \* ARABIC ">
              <w:r w:rsidR="00024623">
                <w:rPr>
                  <w:noProof/>
                </w:rPr>
                <w:t>15</w:t>
              </w:r>
            </w:fldSimple>
            <w:bookmarkEnd w:id="13"/>
            <w:r w:rsidRPr="001215C0">
              <w:t xml:space="preserve">) Diagrama en bloques del </w:t>
            </w:r>
            <w:r w:rsidR="0041360E" w:rsidRPr="001215C0">
              <w:t>convers</w:t>
            </w:r>
            <w:r w:rsidR="0041360E">
              <w:t>o</w:t>
            </w:r>
            <w:r w:rsidR="0041360E" w:rsidRPr="001215C0">
              <w:t>r</w:t>
            </w:r>
            <w:r w:rsidRPr="001215C0">
              <w:t xml:space="preserve"> analógico-digital.</w:t>
            </w:r>
          </w:p>
        </w:tc>
        <w:tc>
          <w:tcPr>
            <w:tcW w:w="5260" w:type="dxa"/>
          </w:tcPr>
          <w:p w:rsidR="0030599C" w:rsidRDefault="0030599C" w:rsidP="00FA4D0D">
            <w:pPr>
              <w:pStyle w:val="Epgrafe"/>
              <w:rPr>
                <w:rFonts w:eastAsiaTheme="minorEastAsia"/>
              </w:rPr>
            </w:pPr>
            <w:bookmarkStart w:id="14" w:name="_Ref256171773"/>
            <w:r>
              <w:t xml:space="preserve">Figura </w:t>
            </w:r>
            <w:fldSimple w:instr=" SEQ Figura \* ARABIC ">
              <w:r w:rsidR="00024623">
                <w:rPr>
                  <w:noProof/>
                </w:rPr>
                <w:t>16</w:t>
              </w:r>
            </w:fldSimple>
            <w:bookmarkEnd w:id="14"/>
            <w:r>
              <w:t>)</w:t>
            </w:r>
            <w:r w:rsidRPr="00065385">
              <w:rPr>
                <w:rFonts w:eastAsiaTheme="minorEastAsia"/>
              </w:rPr>
              <w:t xml:space="preserve"> </w:t>
            </w:r>
            <w:r>
              <w:rPr>
                <w:rFonts w:eastAsiaTheme="minorEastAsia"/>
              </w:rPr>
              <w:t>Función de transferencia de un ADC para 2 bits.</w:t>
            </w:r>
          </w:p>
          <w:p w:rsidR="0030599C" w:rsidRPr="001215C0" w:rsidRDefault="0030599C" w:rsidP="00FA4D0D">
            <w:pPr>
              <w:pStyle w:val="Epgrafe"/>
            </w:pPr>
          </w:p>
        </w:tc>
      </w:tr>
      <w:tr w:rsidR="0041360E" w:rsidRPr="001215C0" w:rsidTr="00FA4D0D">
        <w:tc>
          <w:tcPr>
            <w:tcW w:w="3794" w:type="dxa"/>
          </w:tcPr>
          <w:p w:rsidR="0041360E" w:rsidRPr="001215C0" w:rsidRDefault="0041360E" w:rsidP="0041360E">
            <w:pPr>
              <w:pStyle w:val="Epgrafe"/>
            </w:pPr>
          </w:p>
        </w:tc>
        <w:tc>
          <w:tcPr>
            <w:tcW w:w="5260" w:type="dxa"/>
          </w:tcPr>
          <w:p w:rsidR="0041360E" w:rsidRDefault="0041360E" w:rsidP="00FA4D0D">
            <w:pPr>
              <w:pStyle w:val="Epgrafe"/>
            </w:pPr>
          </w:p>
        </w:tc>
      </w:tr>
    </w:tbl>
    <w:p w:rsidR="0030599C" w:rsidRPr="00065385" w:rsidRDefault="0030599C" w:rsidP="00D051DA">
      <w:pPr>
        <w:pStyle w:val="ParrafoTESIS"/>
      </w:pPr>
      <w:r>
        <w:t xml:space="preserve">La función de transferencia salida-entrada del conversor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para N=2; el error de cuantizaci</w:t>
      </w:r>
      <w:r w:rsidR="00EB5C1E">
        <w:t>ó</w:t>
      </w:r>
      <w:r>
        <w:t xml:space="preserve">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es</w:t>
      </w:r>
      <w:r w:rsidR="0041360E">
        <w:t xml:space="preserve"> la diferencia entre la curva só</w:t>
      </w:r>
      <w:r>
        <w:t xml:space="preserve">lida en forma de </w:t>
      </w:r>
      <w:r w:rsidR="0041360E">
        <w:t xml:space="preserve">escalera (la </w:t>
      </w:r>
      <w:r w:rsidR="0041360E">
        <w:lastRenderedPageBreak/>
        <w:t>característica actual</w:t>
      </w:r>
      <w:r>
        <w:t xml:space="preserve"> del dispositivo) y la línea punteada (que representa a la curva ideal para un número infinito de N). Definimos el Voltaje </w:t>
      </w:r>
      <w:r w:rsidR="00160254">
        <w:rPr>
          <w:i/>
        </w:rPr>
        <w:t xml:space="preserve">Bit Menos Significativo </w:t>
      </w:r>
      <w:r>
        <w:rPr>
          <w:i/>
        </w:rPr>
        <w:t>(LSB o</w:t>
      </w:r>
      <w:r w:rsidR="00160254" w:rsidRPr="00160254">
        <w:rPr>
          <w:i/>
        </w:rPr>
        <w:t xml:space="preserve"> </w:t>
      </w:r>
      <w:r w:rsidR="00160254">
        <w:rPr>
          <w:i/>
        </w:rPr>
        <w:t>Least-Significant-Bit</w:t>
      </w:r>
      <w:r>
        <w:rPr>
          <w:i/>
        </w:rPr>
        <w:t>)</w:t>
      </w:r>
      <w:r>
        <w:t xml:space="preserve"> V</w:t>
      </w:r>
      <w:r>
        <w:rPr>
          <w:vertAlign w:val="subscript"/>
        </w:rPr>
        <w:t>LSB</w:t>
      </w:r>
      <w:r>
        <w:t>=V</w:t>
      </w:r>
      <w:r>
        <w:rPr>
          <w:vertAlign w:val="subscript"/>
        </w:rPr>
        <w:t>ref</w:t>
      </w:r>
      <w:r>
        <w:t>/2</w:t>
      </w:r>
      <w:r>
        <w:rPr>
          <w:vertAlign w:val="superscript"/>
        </w:rPr>
        <w:t>N</w:t>
      </w:r>
      <w:r>
        <w:t>. En este caso, V</w:t>
      </w:r>
      <w:r>
        <w:rPr>
          <w:vertAlign w:val="subscript"/>
        </w:rPr>
        <w:t>LSB</w:t>
      </w:r>
      <w:r>
        <w:t>=V</w:t>
      </w:r>
      <w:r>
        <w:rPr>
          <w:vertAlign w:val="subscript"/>
        </w:rPr>
        <w:t>ref</w:t>
      </w:r>
      <w:r>
        <w:t xml:space="preserve">/4 para N=2. Como se observa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 xml:space="preserve"> no puede exceder la tensión V</w:t>
      </w:r>
      <w:r>
        <w:rPr>
          <w:vertAlign w:val="subscript"/>
        </w:rPr>
        <w:t>LSB</w:t>
      </w:r>
      <w: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permanezca en el rango entre 0 y (V</w:t>
      </w:r>
      <w:r>
        <w:rPr>
          <w:vertAlign w:val="subscript"/>
        </w:rPr>
        <w:t>ref</w:t>
      </w:r>
      <w:r>
        <w:t xml:space="preserve"> - V</w:t>
      </w:r>
      <w:r>
        <w:rPr>
          <w:vertAlign w:val="subscript"/>
        </w:rPr>
        <w:t>LSB</w:t>
      </w:r>
      <w:r w:rsidR="0041360E">
        <w:t>/2). Esto</w:t>
      </w:r>
      <w:r>
        <w:t xml:space="preserve"> es llamado </w:t>
      </w:r>
      <w:r w:rsidR="00160254">
        <w:rPr>
          <w:i/>
        </w:rPr>
        <w:t xml:space="preserve">Rango de conversión lineal </w:t>
      </w:r>
      <w:r>
        <w:rPr>
          <w:i/>
        </w:rPr>
        <w:t>(</w:t>
      </w:r>
      <w:r w:rsidR="00160254">
        <w:rPr>
          <w:i/>
        </w:rPr>
        <w:t>Lineal-Conversion-Range</w:t>
      </w:r>
      <w:r>
        <w:rPr>
          <w:i/>
        </w:rPr>
        <w:t xml:space="preserve">) </w:t>
      </w:r>
      <w: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t>ya no es limitado por V</w:t>
      </w:r>
      <w:r>
        <w:rPr>
          <w:vertAlign w:val="subscript"/>
        </w:rPr>
        <w:t>LSB</w:t>
      </w:r>
      <w:r>
        <w:t>/2. La figura también muestra los voltajes de transición de estado (V</w:t>
      </w:r>
      <w:r>
        <w:rPr>
          <w:vertAlign w:val="subscript"/>
        </w:rPr>
        <w:t>ref</w:t>
      </w:r>
      <w:r>
        <w:t>/8,</w:t>
      </w:r>
      <w:r w:rsidRPr="00065385">
        <w:t xml:space="preserve"> </w:t>
      </w:r>
      <w:r>
        <w:t>3V</w:t>
      </w:r>
      <w:r>
        <w:rPr>
          <w:vertAlign w:val="subscript"/>
        </w:rPr>
        <w:t>ref</w:t>
      </w:r>
      <w:r>
        <w:t>/8 y 5V</w:t>
      </w:r>
      <w:r>
        <w:rPr>
          <w:vertAlign w:val="subscript"/>
        </w:rPr>
        <w:t>ref</w:t>
      </w:r>
      <w: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para los cuales </w:t>
      </w:r>
      <w:r w:rsidRPr="007E0DB6">
        <w:rPr>
          <w:i/>
        </w:rPr>
        <w:t>B</w:t>
      </w:r>
      <w:r w:rsidRPr="007E0DB6">
        <w:rPr>
          <w:i/>
          <w:vertAlign w:val="subscript"/>
        </w:rPr>
        <w:t>out</w:t>
      </w:r>
      <w:r>
        <w:rPr>
          <w:i/>
          <w:vertAlign w:val="subscript"/>
        </w:rPr>
        <w:t xml:space="preserve"> </w:t>
      </w:r>
      <w:r>
        <w:t>cambia su valor.</w:t>
      </w:r>
    </w:p>
    <w:p w:rsidR="0030599C" w:rsidRDefault="0030599C" w:rsidP="00D051DA">
      <w:pPr>
        <w:pStyle w:val="ParrafoTESIS"/>
        <w:rPr>
          <w:rFonts w:eastAsiaTheme="minorEastAsia"/>
        </w:rPr>
      </w:pPr>
      <w:r>
        <w:t xml:space="preserve">En la práctica, la conversión ideal que se ilustra en la </w:t>
      </w:r>
      <w:fldSimple w:instr=" REF _Ref256171773 \h  \* MERGEFORMAT ">
        <w:r w:rsidR="00024623" w:rsidRPr="00024623">
          <w:rPr>
            <w:color w:val="4F81BD" w:themeColor="accent1"/>
          </w:rPr>
          <w:t xml:space="preserve">Figura </w:t>
        </w:r>
        <w:r w:rsidR="00024623" w:rsidRPr="00024623">
          <w:rPr>
            <w:noProof/>
            <w:color w:val="4F81BD" w:themeColor="accent1"/>
          </w:rPr>
          <w:t>16</w:t>
        </w:r>
      </w:fldSimple>
      <w:r>
        <w:t xml:space="preserve"> no se puede llevar a cabo, los voltajes de umbral que son múltiplos pares de </w:t>
      </w:r>
      <w:r>
        <w:rPr>
          <w:rFonts w:eastAsiaTheme="minorEastAsia"/>
        </w:rPr>
        <w:t>V</w:t>
      </w:r>
      <w:r>
        <w:rPr>
          <w:rFonts w:eastAsiaTheme="minorEastAsia"/>
          <w:vertAlign w:val="subscript"/>
        </w:rPr>
        <w:t>LSB</w:t>
      </w:r>
      <w:r>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produciendo varios errores. Algunos de los errores más comunes se representan en las </w:t>
      </w:r>
      <w:r w:rsidRPr="00A059F0">
        <w:rPr>
          <w:rFonts w:eastAsiaTheme="minorEastAsia"/>
          <w:color w:val="4F81BD" w:themeColor="accent1"/>
        </w:rPr>
        <w:t>Figuras 4</w:t>
      </w:r>
      <w:r>
        <w:rPr>
          <w:rFonts w:eastAsiaTheme="minorEastAsia"/>
        </w:rPr>
        <w:t xml:space="preserve"> y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Pr>
          <w:rFonts w:eastAsiaTheme="minorEastAsia"/>
        </w:rPr>
        <w:t xml:space="preserve">. En la </w:t>
      </w:r>
      <w:fldSimple w:instr=" REF _Ref256172249 \h  \* MERGEFORMAT ">
        <w:r w:rsidR="00024623" w:rsidRPr="00024623">
          <w:rPr>
            <w:color w:val="4F81BD" w:themeColor="accent1"/>
          </w:rPr>
          <w:t xml:space="preserve">Figura </w:t>
        </w:r>
        <w:r w:rsidR="00024623" w:rsidRPr="00024623">
          <w:rPr>
            <w:noProof/>
            <w:color w:val="4F81BD" w:themeColor="accent1"/>
          </w:rPr>
          <w:t>17</w:t>
        </w:r>
      </w:fldSimple>
      <w:r>
        <w:rPr>
          <w:rFonts w:eastAsiaTheme="minorEastAsia"/>
        </w:rPr>
        <w:t xml:space="preserve"> se observa la función de transferencia característica con error de offset, el cual se manifiesta en un movimie</w:t>
      </w:r>
      <w:r w:rsidR="0041360E">
        <w:rPr>
          <w:rFonts w:eastAsiaTheme="minorEastAsia"/>
        </w:rPr>
        <w:t>nto lateral de la curva. El error</w:t>
      </w:r>
      <w:r>
        <w:rPr>
          <w:rFonts w:eastAsiaTheme="minorEastAsia"/>
        </w:rPr>
        <w:t xml:space="preserve"> de ganancia es ilustrado en la </w:t>
      </w:r>
      <w:fldSimple w:instr=" REF _Ref256172268 \h  \* MERGEFORMAT ">
        <w:r w:rsidR="00024623" w:rsidRPr="00024623">
          <w:rPr>
            <w:color w:val="4F81BD" w:themeColor="accent1"/>
          </w:rPr>
          <w:t xml:space="preserve">Figura </w:t>
        </w:r>
        <w:r w:rsidR="00024623" w:rsidRPr="00024623">
          <w:rPr>
            <w:noProof/>
            <w:color w:val="4F81BD" w:themeColor="accent1"/>
          </w:rPr>
          <w:t>18</w:t>
        </w:r>
      </w:fldSimple>
      <w:r w:rsidR="0041360E">
        <w:rPr>
          <w:rFonts w:eastAsiaTheme="minorEastAsia"/>
        </w:rPr>
        <w:t>, donde el umbral</w:t>
      </w:r>
      <w:r>
        <w:rPr>
          <w:rFonts w:eastAsiaTheme="minorEastAsia"/>
        </w:rPr>
        <w:t xml:space="preserve"> de voltaje permanece igualmente separado, pero esa separación ya no es más V</w:t>
      </w:r>
      <w:r w:rsidR="0041360E">
        <w:rPr>
          <w:rFonts w:eastAsiaTheme="minorEastAsia"/>
          <w:vertAlign w:val="subscript"/>
        </w:rPr>
        <w:t>LSB</w:t>
      </w:r>
      <w:r w:rsidR="0041360E">
        <w:rPr>
          <w:rFonts w:eastAsiaTheme="minorEastAsia"/>
        </w:rPr>
        <w:t xml:space="preserve">, </w:t>
      </w:r>
      <w:r>
        <w:rPr>
          <w:rFonts w:eastAsiaTheme="minorEastAsia"/>
        </w:rPr>
        <w:t>que sería la correcta.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1"/>
        <w:gridCol w:w="4813"/>
      </w:tblGrid>
      <w:tr w:rsidR="0030599C" w:rsidRPr="00FE41AA" w:rsidTr="00FA4D0D">
        <w:tc>
          <w:tcPr>
            <w:tcW w:w="4241" w:type="dxa"/>
          </w:tcPr>
          <w:p w:rsidR="0030599C" w:rsidRPr="00FE41AA" w:rsidRDefault="0030599C" w:rsidP="00FA4D0D">
            <w:pPr>
              <w:rPr>
                <w:rFonts w:eastAsiaTheme="minorEastAsia"/>
                <w:noProof/>
                <w:lang w:eastAsia="es-AR"/>
              </w:rPr>
            </w:pPr>
            <w:r w:rsidRPr="00FE41AA">
              <w:rPr>
                <w:rFonts w:eastAsiaTheme="minorEastAsia"/>
                <w:noProof/>
                <w:lang w:eastAsia="es-AR"/>
              </w:rPr>
              <w:drawing>
                <wp:inline distT="0" distB="0" distL="0" distR="0">
                  <wp:extent cx="2007643" cy="1631752"/>
                  <wp:effectExtent l="19050" t="0" r="0" b="0"/>
                  <wp:docPr id="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2007643" cy="1631752"/>
                          </a:xfrm>
                          <a:prstGeom prst="rect">
                            <a:avLst/>
                          </a:prstGeom>
                          <a:noFill/>
                          <a:ln w="9525">
                            <a:noFill/>
                            <a:miter lim="800000"/>
                            <a:headEnd/>
                            <a:tailEnd/>
                          </a:ln>
                        </pic:spPr>
                      </pic:pic>
                    </a:graphicData>
                  </a:graphic>
                </wp:inline>
              </w:drawing>
            </w:r>
          </w:p>
        </w:tc>
        <w:tc>
          <w:tcPr>
            <w:tcW w:w="4813" w:type="dxa"/>
          </w:tcPr>
          <w:p w:rsidR="0030599C" w:rsidRPr="00FE41AA" w:rsidRDefault="0030599C" w:rsidP="00FA4D0D">
            <w:r w:rsidRPr="00FE41AA">
              <w:rPr>
                <w:noProof/>
                <w:lang w:eastAsia="es-AR"/>
              </w:rPr>
              <w:drawing>
                <wp:inline distT="0" distB="0" distL="0" distR="0">
                  <wp:extent cx="1966699" cy="1739319"/>
                  <wp:effectExtent l="19050" t="0" r="0" b="0"/>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1965424" cy="1738191"/>
                          </a:xfrm>
                          <a:prstGeom prst="rect">
                            <a:avLst/>
                          </a:prstGeom>
                          <a:noFill/>
                          <a:ln w="9525">
                            <a:noFill/>
                            <a:miter lim="800000"/>
                            <a:headEnd/>
                            <a:tailEnd/>
                          </a:ln>
                        </pic:spPr>
                      </pic:pic>
                    </a:graphicData>
                  </a:graphic>
                </wp:inline>
              </w:drawing>
            </w:r>
          </w:p>
        </w:tc>
      </w:tr>
      <w:tr w:rsidR="0030599C" w:rsidRPr="00FE41AA" w:rsidTr="00FA4D0D">
        <w:tc>
          <w:tcPr>
            <w:tcW w:w="4241" w:type="dxa"/>
          </w:tcPr>
          <w:p w:rsidR="0030599C" w:rsidRPr="00FE41AA" w:rsidRDefault="0030599C" w:rsidP="00FA4D0D">
            <w:pPr>
              <w:pStyle w:val="Epgrafe"/>
            </w:pPr>
            <w:bookmarkStart w:id="15" w:name="_Ref256172249"/>
            <w:r w:rsidRPr="00FE41AA">
              <w:t xml:space="preserve">Figura </w:t>
            </w:r>
            <w:fldSimple w:instr=" SEQ Figura \* ARABIC ">
              <w:r w:rsidR="00024623">
                <w:rPr>
                  <w:noProof/>
                </w:rPr>
                <w:t>17</w:t>
              </w:r>
            </w:fldSimple>
            <w:bookmarkEnd w:id="15"/>
            <w:r w:rsidRPr="00FE41AA">
              <w:t>) Función de transferencia para un ADC de 2 bits con y sin error de offset.</w:t>
            </w:r>
          </w:p>
        </w:tc>
        <w:tc>
          <w:tcPr>
            <w:tcW w:w="4813" w:type="dxa"/>
          </w:tcPr>
          <w:p w:rsidR="0030599C" w:rsidRPr="00FE41AA" w:rsidRDefault="0030599C" w:rsidP="00FA4D0D">
            <w:pPr>
              <w:pStyle w:val="Epgrafe"/>
            </w:pPr>
            <w:bookmarkStart w:id="16" w:name="_Ref256172268"/>
            <w:r w:rsidRPr="00FE41AA">
              <w:t xml:space="preserve">Figura </w:t>
            </w:r>
            <w:fldSimple w:instr=" SEQ Figura \* ARABIC ">
              <w:r w:rsidR="00024623">
                <w:rPr>
                  <w:noProof/>
                </w:rPr>
                <w:t>18</w:t>
              </w:r>
            </w:fldSimple>
            <w:bookmarkEnd w:id="16"/>
            <w:r w:rsidRPr="00FE41AA">
              <w:t>) Función de transferencia para un ADC de 2 bits con y sin error de ganancia</w:t>
            </w:r>
            <w:r>
              <w:t>.</w:t>
            </w:r>
          </w:p>
        </w:tc>
      </w:tr>
    </w:tbl>
    <w:p w:rsidR="0030599C" w:rsidRDefault="0041360E" w:rsidP="00D051DA">
      <w:pPr>
        <w:pStyle w:val="ParrafoTESIS"/>
      </w:pPr>
      <w:r>
        <w:t>Ambos</w:t>
      </w:r>
      <w:r w:rsidR="0030599C">
        <w:t xml:space="preserve"> errores de ganancia y offset son errores lineales, no distorsionan la señal de entrada, solo generan un escalamiento y desplazamiento de la misma. Una distorsión mucho más preocupante resulta de la separación desigual e inevitable de las tensiones de umbral, el cual s</w:t>
      </w:r>
      <w:r>
        <w:t>í</w:t>
      </w:r>
      <w:r w:rsidR="0030599C">
        <w:t xml:space="preserve"> genera errores de no</w:t>
      </w:r>
      <w:r w:rsidR="00EB5C1E">
        <w:t>-</w:t>
      </w:r>
      <w:r w:rsidR="0030599C">
        <w:t>linealidad. Dos errores de no</w:t>
      </w:r>
      <w:r w:rsidR="00EB5C1E">
        <w:t>-linealidad</w:t>
      </w:r>
      <w:r w:rsidR="0030599C">
        <w:t xml:space="preserve"> son representados en las </w:t>
      </w:r>
      <w:fldSimple w:instr=" REF _Ref256172732 \h  \* MERGEFORMAT ">
        <w:r w:rsidR="00024623" w:rsidRPr="00024623">
          <w:rPr>
            <w:color w:val="4F81BD" w:themeColor="accent1"/>
          </w:rPr>
          <w:t xml:space="preserve">Figura </w:t>
        </w:r>
        <w:r w:rsidR="00024623" w:rsidRPr="00024623">
          <w:rPr>
            <w:noProof/>
            <w:color w:val="4F81BD" w:themeColor="accent1"/>
          </w:rPr>
          <w:t>19</w:t>
        </w:r>
      </w:fldSimple>
      <w:r w:rsidR="0030599C">
        <w:t xml:space="preserve"> y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rsidR="0030599C">
        <w:t>.</w:t>
      </w:r>
    </w:p>
    <w:p w:rsidR="0030599C" w:rsidRDefault="0030599C" w:rsidP="0030599C">
      <w:pPr>
        <w:jc w:val="center"/>
      </w:pPr>
      <w:r>
        <w:rPr>
          <w:noProof/>
          <w:lang w:eastAsia="es-AR"/>
        </w:rPr>
        <w:lastRenderedPageBreak/>
        <w:drawing>
          <wp:inline distT="0" distB="0" distL="0" distR="0">
            <wp:extent cx="2043666" cy="1624251"/>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052851" cy="1631551"/>
                    </a:xfrm>
                    <a:prstGeom prst="rect">
                      <a:avLst/>
                    </a:prstGeom>
                    <a:noFill/>
                    <a:ln w="9525">
                      <a:noFill/>
                      <a:miter lim="800000"/>
                      <a:headEnd/>
                      <a:tailEnd/>
                    </a:ln>
                  </pic:spPr>
                </pic:pic>
              </a:graphicData>
            </a:graphic>
          </wp:inline>
        </w:drawing>
      </w:r>
    </w:p>
    <w:p w:rsidR="0030599C" w:rsidRDefault="0030599C" w:rsidP="0030599C">
      <w:pPr>
        <w:pStyle w:val="Epgrafe"/>
        <w:jc w:val="center"/>
      </w:pPr>
      <w:bookmarkStart w:id="17" w:name="_Ref256172732"/>
      <w:r>
        <w:t xml:space="preserve">Figura </w:t>
      </w:r>
      <w:fldSimple w:instr=" SEQ Figura \* ARABIC ">
        <w:r w:rsidR="00024623">
          <w:rPr>
            <w:noProof/>
          </w:rPr>
          <w:t>19</w:t>
        </w:r>
      </w:fldSimple>
      <w:bookmarkEnd w:id="17"/>
      <w:r>
        <w:t>) Función de transferencia de un ADC de 2 bits con y sin errores de no</w:t>
      </w:r>
      <w:r w:rsidR="00A10F4B">
        <w:t>-linealidad</w:t>
      </w:r>
      <w:r>
        <w:t>.</w:t>
      </w:r>
    </w:p>
    <w:p w:rsidR="0030599C" w:rsidRPr="00773ABB" w:rsidRDefault="0030599C" w:rsidP="00D051DA">
      <w:pPr>
        <w:pStyle w:val="ParrafoTESIS"/>
      </w:pPr>
      <w:r>
        <w:t xml:space="preserve">Los errores de </w:t>
      </w:r>
      <w:r w:rsidR="00160254" w:rsidRPr="00160254">
        <w:rPr>
          <w:i/>
        </w:rPr>
        <w:t>Bit-Perdido</w:t>
      </w:r>
      <w:r w:rsidR="00160254">
        <w:t xml:space="preserve"> o </w:t>
      </w:r>
      <w:r>
        <w:rPr>
          <w:i/>
        </w:rPr>
        <w:t>Missing-Code</w:t>
      </w:r>
      <w:r>
        <w:t xml:space="preserve"> (</w:t>
      </w:r>
      <w:fldSimple w:instr=" REF _Ref256172736 \h  \* MERGEFORMAT ">
        <w:r w:rsidR="00024623" w:rsidRPr="00024623">
          <w:rPr>
            <w:color w:val="4F81BD" w:themeColor="accent1"/>
          </w:rPr>
          <w:t xml:space="preserve">Figura </w:t>
        </w:r>
        <w:r w:rsidR="00024623" w:rsidRPr="00024623">
          <w:rPr>
            <w:noProof/>
            <w:color w:val="4F81BD" w:themeColor="accent1"/>
          </w:rPr>
          <w:t>20</w:t>
        </w:r>
      </w:fldSimple>
      <w:r>
        <w:t>) se dan por las excesivas desviaciones acumulativas de las tensione</w:t>
      </w:r>
      <w:r w:rsidR="0041360E">
        <w:t>s de umbral, generando así la pé</w:t>
      </w:r>
      <w:r>
        <w:t xml:space="preserve">rdida de una conversión, lo cual es inaceptable en la práctica.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3978"/>
      </w:tblGrid>
      <w:tr w:rsidR="0030599C" w:rsidRPr="00FE41AA" w:rsidTr="0041360E">
        <w:tc>
          <w:tcPr>
            <w:tcW w:w="4644" w:type="dxa"/>
          </w:tcPr>
          <w:p w:rsidR="0030599C" w:rsidRPr="00FE41AA" w:rsidRDefault="0030599C" w:rsidP="00FA4D0D">
            <w:r w:rsidRPr="00FE41AA">
              <w:rPr>
                <w:noProof/>
                <w:lang w:eastAsia="es-AR"/>
              </w:rPr>
              <w:drawing>
                <wp:inline distT="0" distB="0" distL="0" distR="0">
                  <wp:extent cx="2203155" cy="1786422"/>
                  <wp:effectExtent l="19050" t="0" r="6645" b="0"/>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2200652" cy="1784393"/>
                          </a:xfrm>
                          <a:prstGeom prst="rect">
                            <a:avLst/>
                          </a:prstGeom>
                          <a:noFill/>
                          <a:ln w="9525">
                            <a:noFill/>
                            <a:miter lim="800000"/>
                            <a:headEnd/>
                            <a:tailEnd/>
                          </a:ln>
                        </pic:spPr>
                      </pic:pic>
                    </a:graphicData>
                  </a:graphic>
                </wp:inline>
              </w:drawing>
            </w:r>
          </w:p>
        </w:tc>
        <w:tc>
          <w:tcPr>
            <w:tcW w:w="3978" w:type="dxa"/>
          </w:tcPr>
          <w:p w:rsidR="0030599C" w:rsidRPr="00FE41AA" w:rsidRDefault="0030599C" w:rsidP="00FA4D0D">
            <w:pPr>
              <w:rPr>
                <w:noProof/>
                <w:lang w:eastAsia="es-AR"/>
              </w:rPr>
            </w:pPr>
            <w:r>
              <w:rPr>
                <w:noProof/>
                <w:lang w:eastAsia="es-AR"/>
              </w:rPr>
              <w:drawing>
                <wp:inline distT="0" distB="0" distL="0" distR="0">
                  <wp:extent cx="2245684" cy="1980344"/>
                  <wp:effectExtent l="19050" t="0" r="2216"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242795" cy="1977796"/>
                          </a:xfrm>
                          <a:prstGeom prst="rect">
                            <a:avLst/>
                          </a:prstGeom>
                          <a:noFill/>
                          <a:ln w="9525">
                            <a:noFill/>
                            <a:miter lim="800000"/>
                            <a:headEnd/>
                            <a:tailEnd/>
                          </a:ln>
                        </pic:spPr>
                      </pic:pic>
                    </a:graphicData>
                  </a:graphic>
                </wp:inline>
              </w:drawing>
            </w:r>
          </w:p>
        </w:tc>
      </w:tr>
      <w:tr w:rsidR="0030599C" w:rsidRPr="00FE41AA" w:rsidTr="0041360E">
        <w:tc>
          <w:tcPr>
            <w:tcW w:w="4644" w:type="dxa"/>
          </w:tcPr>
          <w:p w:rsidR="0030599C" w:rsidRPr="00FE41AA" w:rsidRDefault="0030599C" w:rsidP="00FA4D0D">
            <w:pPr>
              <w:pStyle w:val="Epgrafe"/>
            </w:pPr>
            <w:bookmarkStart w:id="18" w:name="_Ref256172736"/>
            <w:r w:rsidRPr="00FE41AA">
              <w:t xml:space="preserve">Figura </w:t>
            </w:r>
            <w:fldSimple w:instr=" SEQ Figura \* ARABIC ">
              <w:r w:rsidR="00024623">
                <w:rPr>
                  <w:noProof/>
                </w:rPr>
                <w:t>20</w:t>
              </w:r>
            </w:fldSimple>
            <w:bookmarkEnd w:id="18"/>
            <w:r w:rsidRPr="00FE41AA">
              <w:t>) Función de transferencia de un ADC de 2 bits con y sin errores de Missing-Code.</w:t>
            </w:r>
          </w:p>
        </w:tc>
        <w:tc>
          <w:tcPr>
            <w:tcW w:w="3978" w:type="dxa"/>
          </w:tcPr>
          <w:p w:rsidR="0030599C" w:rsidRPr="00FE41AA" w:rsidRDefault="0030599C" w:rsidP="00FA4D0D">
            <w:pPr>
              <w:pStyle w:val="Epgrafe"/>
            </w:pPr>
            <w:bookmarkStart w:id="19" w:name="_Ref256172774"/>
            <w:r>
              <w:t xml:space="preserve">Figura </w:t>
            </w:r>
            <w:fldSimple w:instr=" SEQ Figura \* ARABIC ">
              <w:r w:rsidR="00024623">
                <w:rPr>
                  <w:noProof/>
                </w:rPr>
                <w:t>21</w:t>
              </w:r>
            </w:fldSimple>
            <w:bookmarkEnd w:id="19"/>
            <w:r>
              <w:t>) Función de transferencia no lineal demostrando los errores de INL y el peor caso de diferencia de transición.</w:t>
            </w:r>
          </w:p>
        </w:tc>
      </w:tr>
      <w:tr w:rsidR="0041360E" w:rsidRPr="00FE41AA" w:rsidTr="0041360E">
        <w:tc>
          <w:tcPr>
            <w:tcW w:w="4644" w:type="dxa"/>
          </w:tcPr>
          <w:p w:rsidR="0041360E" w:rsidRPr="00FE41AA" w:rsidRDefault="0041360E" w:rsidP="00FA4D0D">
            <w:pPr>
              <w:pStyle w:val="Epgrafe"/>
            </w:pPr>
          </w:p>
        </w:tc>
        <w:tc>
          <w:tcPr>
            <w:tcW w:w="3978" w:type="dxa"/>
          </w:tcPr>
          <w:p w:rsidR="0041360E" w:rsidRDefault="0041360E" w:rsidP="00FA4D0D">
            <w:pPr>
              <w:pStyle w:val="Epgrafe"/>
            </w:pPr>
          </w:p>
        </w:tc>
      </w:tr>
    </w:tbl>
    <w:p w:rsidR="00174F28" w:rsidRPr="00174F28" w:rsidRDefault="0030599C" w:rsidP="00D051DA">
      <w:pPr>
        <w:pStyle w:val="ParrafoTESIS"/>
      </w:pPr>
      <w:r>
        <w:t>Los errores de no</w:t>
      </w:r>
      <w:r w:rsidR="008B17D8">
        <w:t>-</w:t>
      </w:r>
      <w:r>
        <w:t xml:space="preserve">linealidad son generalmente cuantificados por los valores de sus </w:t>
      </w:r>
      <w:r w:rsidR="00160254">
        <w:t xml:space="preserve">Error No-Linealidad Integral (Integral-Nonlinearity error o </w:t>
      </w:r>
      <w:r>
        <w:t xml:space="preserve">INL) y </w:t>
      </w:r>
      <w:r w:rsidR="00160254">
        <w:t>Error No-Linealidad Diferencial (</w:t>
      </w:r>
      <w:r>
        <w:t>Differential-Nonlinearity error</w:t>
      </w:r>
      <w:r w:rsidR="00160254">
        <w:t xml:space="preserve"> o </w:t>
      </w:r>
      <w:r>
        <w:t xml:space="preserve">DNL). Los INL son definidos por la mayor diferencia vertical (expresada en LSBs) entre los </w:t>
      </w:r>
      <w:r w:rsidR="00160254">
        <w:t>puntos del centro de codificación (</w:t>
      </w:r>
      <w:r>
        <w:t>code center points</w:t>
      </w:r>
      <w:r w:rsidR="00160254">
        <w:t>)</w:t>
      </w:r>
      <w:r>
        <w:t xml:space="preserve"> de la característica actual de la curva y la línea que se conecta en forma recta con el punto final (</w:t>
      </w:r>
      <w:r w:rsidRPr="00160254">
        <w:t>endpoint</w:t>
      </w:r>
      <w:r>
        <w:t xml:space="preserve">), ilustrado en la </w:t>
      </w:r>
      <w:fldSimple w:instr=" REF _Ref256172774 \h  \* MERGEFORMAT ">
        <w:r w:rsidR="00024623" w:rsidRPr="00024623">
          <w:rPr>
            <w:color w:val="4F81BD" w:themeColor="accent1"/>
          </w:rPr>
          <w:t xml:space="preserve">Figura </w:t>
        </w:r>
        <w:r w:rsidR="00024623" w:rsidRPr="00024623">
          <w:rPr>
            <w:noProof/>
            <w:color w:val="4F81BD" w:themeColor="accent1"/>
          </w:rPr>
          <w:t>21</w:t>
        </w:r>
      </w:fldSimple>
      <w:r>
        <w:t>. El DNL es definido como la mayor desviación entre la actual diferencia entre dos voltajes de umbral adyacentes y el valor de diferencia ideal (V</w:t>
      </w:r>
      <w:r>
        <w:rPr>
          <w:vertAlign w:val="subscript"/>
        </w:rPr>
        <w:t>lsb</w:t>
      </w:r>
      <w:r>
        <w:t xml:space="preserve">), como se muestra en la </w:t>
      </w:r>
      <w:r w:rsidRPr="00A059F0">
        <w:rPr>
          <w:color w:val="4F81BD" w:themeColor="accent1"/>
        </w:rPr>
        <w:t>Figura 8</w:t>
      </w:r>
      <w:r>
        <w:t>.</w:t>
      </w:r>
      <w:r w:rsidR="00486D60">
        <w:rPr>
          <w:rStyle w:val="Refdenotaalpie"/>
        </w:rPr>
        <w:footnoteReference w:id="1"/>
      </w:r>
    </w:p>
    <w:sectPr w:rsidR="00174F28" w:rsidRPr="00174F28" w:rsidSect="00FE774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37D7" w:rsidRDefault="00D437D7" w:rsidP="0030599C">
      <w:pPr>
        <w:spacing w:after="0" w:line="240" w:lineRule="auto"/>
      </w:pPr>
      <w:r>
        <w:separator/>
      </w:r>
    </w:p>
  </w:endnote>
  <w:endnote w:type="continuationSeparator" w:id="0">
    <w:p w:rsidR="00D437D7" w:rsidRDefault="00D437D7" w:rsidP="0030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37D7" w:rsidRDefault="00D437D7" w:rsidP="0030599C">
      <w:pPr>
        <w:spacing w:after="0" w:line="240" w:lineRule="auto"/>
      </w:pPr>
      <w:r>
        <w:separator/>
      </w:r>
    </w:p>
  </w:footnote>
  <w:footnote w:type="continuationSeparator" w:id="0">
    <w:p w:rsidR="00D437D7" w:rsidRDefault="00D437D7" w:rsidP="0030599C">
      <w:pPr>
        <w:spacing w:after="0" w:line="240" w:lineRule="auto"/>
      </w:pPr>
      <w:r>
        <w:continuationSeparator/>
      </w:r>
    </w:p>
  </w:footnote>
  <w:footnote w:id="1">
    <w:p w:rsidR="001A0863" w:rsidRPr="00486D60" w:rsidRDefault="001A0863">
      <w:pPr>
        <w:pStyle w:val="Textonotapie"/>
        <w:rPr>
          <w:lang w:val="en-US"/>
        </w:rPr>
      </w:pPr>
      <w:r>
        <w:rPr>
          <w:rStyle w:val="Refdenotaalpie"/>
        </w:rPr>
        <w:footnoteRef/>
      </w:r>
      <w:r w:rsidRPr="00486D60">
        <w:rPr>
          <w:lang w:val="en-US"/>
        </w:rPr>
        <w:t xml:space="preserve"> </w:t>
      </w:r>
      <w:r>
        <w:rPr>
          <w:lang w:val="en-US"/>
        </w:rPr>
        <w:t>Roubik Gregorian , “I</w:t>
      </w:r>
      <w:r>
        <w:rPr>
          <w:i/>
          <w:lang w:val="en-US"/>
        </w:rPr>
        <w:t>ntroduction to CMOS OP-AMPS and Comparators”,</w:t>
      </w:r>
      <w:r>
        <w:rPr>
          <w:lang w:val="en-US"/>
        </w:rPr>
        <w:t xml:space="preserve"> páginas 255-263.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3166827"/>
    <w:multiLevelType w:val="hybridMultilevel"/>
    <w:tmpl w:val="FD8C983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
    <w:nsid w:val="38E60458"/>
    <w:multiLevelType w:val="hybridMultilevel"/>
    <w:tmpl w:val="6FE044D8"/>
    <w:lvl w:ilvl="0" w:tplc="3DE849F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EC0FE0"/>
    <w:rsid w:val="00002B26"/>
    <w:rsid w:val="00024623"/>
    <w:rsid w:val="0011587E"/>
    <w:rsid w:val="00134E51"/>
    <w:rsid w:val="00140A85"/>
    <w:rsid w:val="00160254"/>
    <w:rsid w:val="00174F28"/>
    <w:rsid w:val="00182884"/>
    <w:rsid w:val="00187F53"/>
    <w:rsid w:val="001A0863"/>
    <w:rsid w:val="001D652E"/>
    <w:rsid w:val="00213C1C"/>
    <w:rsid w:val="0025503C"/>
    <w:rsid w:val="00284D3B"/>
    <w:rsid w:val="002C0EE8"/>
    <w:rsid w:val="002C6653"/>
    <w:rsid w:val="0030599C"/>
    <w:rsid w:val="00307460"/>
    <w:rsid w:val="00342365"/>
    <w:rsid w:val="003564F4"/>
    <w:rsid w:val="003A137F"/>
    <w:rsid w:val="003D15A3"/>
    <w:rsid w:val="003E0A2D"/>
    <w:rsid w:val="003E44A2"/>
    <w:rsid w:val="004057EE"/>
    <w:rsid w:val="0041360E"/>
    <w:rsid w:val="004167F5"/>
    <w:rsid w:val="00480DAF"/>
    <w:rsid w:val="00486D60"/>
    <w:rsid w:val="004A0880"/>
    <w:rsid w:val="00565026"/>
    <w:rsid w:val="00570F70"/>
    <w:rsid w:val="0061618D"/>
    <w:rsid w:val="00622AB1"/>
    <w:rsid w:val="0066162B"/>
    <w:rsid w:val="006B0AD3"/>
    <w:rsid w:val="006E2D56"/>
    <w:rsid w:val="006E591B"/>
    <w:rsid w:val="00724590"/>
    <w:rsid w:val="007B7E23"/>
    <w:rsid w:val="007C2732"/>
    <w:rsid w:val="007D00F5"/>
    <w:rsid w:val="007D2E65"/>
    <w:rsid w:val="008310DF"/>
    <w:rsid w:val="00861A6B"/>
    <w:rsid w:val="00866E73"/>
    <w:rsid w:val="008B17D8"/>
    <w:rsid w:val="008C3285"/>
    <w:rsid w:val="008F6124"/>
    <w:rsid w:val="0090014A"/>
    <w:rsid w:val="00961A00"/>
    <w:rsid w:val="00990137"/>
    <w:rsid w:val="00A10F4B"/>
    <w:rsid w:val="00A16888"/>
    <w:rsid w:val="00A53595"/>
    <w:rsid w:val="00AB42D1"/>
    <w:rsid w:val="00AC067E"/>
    <w:rsid w:val="00AD1C2E"/>
    <w:rsid w:val="00AD43B0"/>
    <w:rsid w:val="00AF480B"/>
    <w:rsid w:val="00BD681D"/>
    <w:rsid w:val="00BF1B1E"/>
    <w:rsid w:val="00BF3833"/>
    <w:rsid w:val="00C0275C"/>
    <w:rsid w:val="00C6176A"/>
    <w:rsid w:val="00C70862"/>
    <w:rsid w:val="00CB0ABF"/>
    <w:rsid w:val="00CB1A45"/>
    <w:rsid w:val="00D051DA"/>
    <w:rsid w:val="00D224B7"/>
    <w:rsid w:val="00D27F9B"/>
    <w:rsid w:val="00D437D7"/>
    <w:rsid w:val="00D52AE1"/>
    <w:rsid w:val="00D811AC"/>
    <w:rsid w:val="00DC1115"/>
    <w:rsid w:val="00DF6D48"/>
    <w:rsid w:val="00E35512"/>
    <w:rsid w:val="00EB0909"/>
    <w:rsid w:val="00EB5C1E"/>
    <w:rsid w:val="00EC0FE0"/>
    <w:rsid w:val="00EC2069"/>
    <w:rsid w:val="00EF4DC3"/>
    <w:rsid w:val="00F1013E"/>
    <w:rsid w:val="00F17AA6"/>
    <w:rsid w:val="00F70BDE"/>
    <w:rsid w:val="00FA4D0D"/>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74D"/>
  </w:style>
  <w:style w:type="paragraph" w:styleId="Ttulo1">
    <w:name w:val="heading 1"/>
    <w:basedOn w:val="Normal"/>
    <w:next w:val="Normal"/>
    <w:link w:val="Ttulo1Car"/>
    <w:uiPriority w:val="9"/>
    <w:qFormat/>
    <w:rsid w:val="00EC0F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161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1618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A086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0FE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1618D"/>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1618D"/>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30599C"/>
    <w:pPr>
      <w:spacing w:line="240" w:lineRule="auto"/>
    </w:pPr>
    <w:rPr>
      <w:b/>
      <w:bCs/>
      <w:color w:val="4F81BD" w:themeColor="accent1"/>
      <w:sz w:val="18"/>
      <w:szCs w:val="18"/>
    </w:rPr>
  </w:style>
  <w:style w:type="table" w:styleId="Tablaconcuadrcula">
    <w:name w:val="Table Grid"/>
    <w:basedOn w:val="Tablanormal"/>
    <w:uiPriority w:val="59"/>
    <w:rsid w:val="0030599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059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0599C"/>
    <w:rPr>
      <w:rFonts w:ascii="Tahoma" w:hAnsi="Tahoma" w:cs="Tahoma"/>
      <w:sz w:val="16"/>
      <w:szCs w:val="16"/>
    </w:rPr>
  </w:style>
  <w:style w:type="paragraph" w:styleId="Prrafodelista">
    <w:name w:val="List Paragraph"/>
    <w:basedOn w:val="Normal"/>
    <w:uiPriority w:val="34"/>
    <w:qFormat/>
    <w:rsid w:val="0030599C"/>
    <w:pPr>
      <w:ind w:left="720"/>
      <w:contextualSpacing/>
    </w:pPr>
  </w:style>
  <w:style w:type="paragraph" w:styleId="Textonotaalfinal">
    <w:name w:val="endnote text"/>
    <w:basedOn w:val="Normal"/>
    <w:link w:val="TextonotaalfinalCar"/>
    <w:uiPriority w:val="99"/>
    <w:semiHidden/>
    <w:unhideWhenUsed/>
    <w:rsid w:val="0030599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0599C"/>
    <w:rPr>
      <w:sz w:val="20"/>
      <w:szCs w:val="20"/>
    </w:rPr>
  </w:style>
  <w:style w:type="character" w:styleId="Refdenotaalfinal">
    <w:name w:val="endnote reference"/>
    <w:basedOn w:val="Fuentedeprrafopredeter"/>
    <w:uiPriority w:val="99"/>
    <w:semiHidden/>
    <w:unhideWhenUsed/>
    <w:rsid w:val="0030599C"/>
    <w:rPr>
      <w:vertAlign w:val="superscript"/>
    </w:rPr>
  </w:style>
  <w:style w:type="paragraph" w:styleId="Textonotapie">
    <w:name w:val="footnote text"/>
    <w:basedOn w:val="Normal"/>
    <w:link w:val="TextonotapieCar"/>
    <w:uiPriority w:val="99"/>
    <w:semiHidden/>
    <w:unhideWhenUsed/>
    <w:rsid w:val="00486D6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86D60"/>
    <w:rPr>
      <w:sz w:val="20"/>
      <w:szCs w:val="20"/>
    </w:rPr>
  </w:style>
  <w:style w:type="character" w:styleId="Refdenotaalpie">
    <w:name w:val="footnote reference"/>
    <w:basedOn w:val="Fuentedeprrafopredeter"/>
    <w:uiPriority w:val="99"/>
    <w:semiHidden/>
    <w:unhideWhenUsed/>
    <w:rsid w:val="00486D60"/>
    <w:rPr>
      <w:vertAlign w:val="superscript"/>
    </w:rPr>
  </w:style>
  <w:style w:type="table" w:customStyle="1" w:styleId="Sombreadomedio2-nfasis1">
    <w:name w:val="Medium Shading 2 Accent 1"/>
    <w:basedOn w:val="Tablanormal"/>
    <w:uiPriority w:val="64"/>
    <w:rsid w:val="00EB5C1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F70BDE"/>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semiHidden/>
    <w:unhideWhenUsed/>
    <w:rsid w:val="00BD68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D681D"/>
  </w:style>
  <w:style w:type="paragraph" w:styleId="Piedepgina">
    <w:name w:val="footer"/>
    <w:basedOn w:val="Normal"/>
    <w:link w:val="PiedepginaCar"/>
    <w:uiPriority w:val="99"/>
    <w:semiHidden/>
    <w:unhideWhenUsed/>
    <w:rsid w:val="00BD68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D681D"/>
  </w:style>
  <w:style w:type="paragraph" w:styleId="Sinespaciado">
    <w:name w:val="No Spacing"/>
    <w:uiPriority w:val="1"/>
    <w:qFormat/>
    <w:rsid w:val="001A0863"/>
    <w:pPr>
      <w:spacing w:after="0" w:line="240" w:lineRule="auto"/>
    </w:pPr>
  </w:style>
  <w:style w:type="character" w:styleId="nfasissutil">
    <w:name w:val="Subtle Emphasis"/>
    <w:basedOn w:val="Fuentedeprrafopredeter"/>
    <w:uiPriority w:val="19"/>
    <w:qFormat/>
    <w:rsid w:val="001A0863"/>
    <w:rPr>
      <w:i/>
      <w:iCs/>
      <w:color w:val="808080" w:themeColor="text1" w:themeTint="7F"/>
    </w:rPr>
  </w:style>
  <w:style w:type="paragraph" w:customStyle="1" w:styleId="IntroCAPTESIS">
    <w:name w:val="IntroCAP_TESIS"/>
    <w:basedOn w:val="Normal"/>
    <w:qFormat/>
    <w:rsid w:val="001A0863"/>
    <w:pPr>
      <w:spacing w:before="120" w:after="120" w:line="360" w:lineRule="auto"/>
      <w:ind w:firstLine="709"/>
      <w:jc w:val="both"/>
    </w:pPr>
    <w:rPr>
      <w:rFonts w:cstheme="minorHAnsi"/>
      <w:i/>
    </w:rPr>
  </w:style>
  <w:style w:type="paragraph" w:customStyle="1" w:styleId="ParrafoTESIS">
    <w:name w:val="Parrafo_TESIS"/>
    <w:basedOn w:val="Normal"/>
    <w:autoRedefine/>
    <w:qFormat/>
    <w:rsid w:val="00D051DA"/>
    <w:pPr>
      <w:spacing w:before="120" w:after="120" w:line="360" w:lineRule="auto"/>
      <w:ind w:firstLine="709"/>
      <w:jc w:val="both"/>
    </w:pPr>
    <w:rPr>
      <w:rFonts w:cstheme="minorHAnsi"/>
    </w:rPr>
  </w:style>
  <w:style w:type="character" w:customStyle="1" w:styleId="Ttulo4Car">
    <w:name w:val="Título 4 Car"/>
    <w:basedOn w:val="Fuentedeprrafopredeter"/>
    <w:link w:val="Ttulo4"/>
    <w:uiPriority w:val="9"/>
    <w:rsid w:val="001A0863"/>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81811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3173D6-FB03-49FD-986A-6F8E91405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11</Pages>
  <Words>2785</Words>
  <Characters>15323</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39</cp:revision>
  <dcterms:created xsi:type="dcterms:W3CDTF">2010-07-20T20:08:00Z</dcterms:created>
  <dcterms:modified xsi:type="dcterms:W3CDTF">2010-07-30T22:14:00Z</dcterms:modified>
</cp:coreProperties>
</file>