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EC0FE0" w:rsidRDefault="00A16888" w:rsidP="00EC0FE0">
      <w:pPr>
        <w:pStyle w:val="Ttulo1"/>
      </w:pPr>
      <w:r>
        <w:t>APÉ</w:t>
      </w:r>
      <w:r w:rsidR="001D652E">
        <w:t>NDICE</w:t>
      </w:r>
    </w:p>
    <w:p w:rsidR="00EC0FE0" w:rsidRDefault="00EC0FE0">
      <w:pPr>
        <w:rPr>
          <w:i/>
        </w:rPr>
      </w:pPr>
      <w:r w:rsidRPr="001D652E">
        <w:rPr>
          <w:i/>
        </w:rPr>
        <w:t>En</w:t>
      </w:r>
      <w:r w:rsidR="00A16888" w:rsidRPr="001D652E">
        <w:rPr>
          <w:i/>
        </w:rPr>
        <w:t xml:space="preserve"> este apéndice se dará a conocer las bases teóricas de los distintos componentes que conforman el conversor de una manera simple y resumida. Se describirán las consideraciones tenidas en el diseño y las maneras de evaluar y describir el funcionamiento de cada componente por separado.</w:t>
      </w:r>
    </w:p>
    <w:p w:rsidR="0061618D" w:rsidRDefault="001D652E">
      <w:pPr>
        <w:rPr>
          <w:i/>
        </w:rPr>
      </w:pPr>
      <w:r>
        <w:rPr>
          <w:i/>
        </w:rPr>
        <w:t>Se presentara información extra sobre el proceso de diseño, se ilustraran esquemáticos de las interconexiones internas del conversor, análisis de lógica combinacional, simulaciones de verificación realizadas</w:t>
      </w:r>
      <w:r w:rsidR="0061618D">
        <w:rPr>
          <w:i/>
        </w:rPr>
        <w:t xml:space="preserve"> e información extra utilizada durante el proceso de diseño y análisis.</w:t>
      </w:r>
    </w:p>
    <w:p w:rsidR="0061618D" w:rsidRDefault="0061618D" w:rsidP="0061618D">
      <w:pPr>
        <w:pStyle w:val="Ttulo2"/>
      </w:pPr>
      <w:r>
        <w:rPr>
          <w:i/>
        </w:rPr>
        <w:br w:type="page"/>
      </w:r>
      <w:r>
        <w:lastRenderedPageBreak/>
        <w:t>APENDICE A: Introducción teórica.</w:t>
      </w:r>
    </w:p>
    <w:p w:rsidR="0061618D" w:rsidRDefault="0061618D" w:rsidP="0030599C">
      <w:pPr>
        <w:pStyle w:val="Ttulo3"/>
        <w:pBdr>
          <w:top w:val="single" w:sz="4" w:space="1" w:color="auto"/>
          <w:bottom w:val="single" w:sz="4" w:space="1" w:color="auto"/>
        </w:pBdr>
      </w:pPr>
      <w:r>
        <w:t>COMPARADOR</w:t>
      </w:r>
    </w:p>
    <w:p w:rsidR="0030599C" w:rsidRDefault="0030599C" w:rsidP="0030599C">
      <w:pPr>
        <w:rPr>
          <w:szCs w:val="28"/>
        </w:rPr>
      </w:pPr>
      <w:r w:rsidRPr="00770EE7">
        <w:rPr>
          <w:szCs w:val="28"/>
        </w:rPr>
        <w:t xml:space="preserve">El comparador es un circuito que compara </w:t>
      </w:r>
      <w:r>
        <w:rPr>
          <w:szCs w:val="28"/>
        </w:rPr>
        <w:t>dos</w:t>
      </w:r>
      <w:r w:rsidRPr="00770EE7">
        <w:rPr>
          <w:szCs w:val="28"/>
        </w:rPr>
        <w:t xml:space="preserve"> señal</w:t>
      </w:r>
      <w:r>
        <w:rPr>
          <w:szCs w:val="28"/>
        </w:rPr>
        <w:t>es</w:t>
      </w:r>
      <w:r w:rsidRPr="00770EE7">
        <w:rPr>
          <w:szCs w:val="28"/>
        </w:rPr>
        <w:t xml:space="preserve"> y nos da como resultado una señal binaria </w:t>
      </w:r>
      <w:r>
        <w:rPr>
          <w:szCs w:val="28"/>
        </w:rPr>
        <w:t>indicando la mayor de ellas</w:t>
      </w:r>
      <w:r w:rsidRPr="00770EE7">
        <w:rPr>
          <w:szCs w:val="28"/>
        </w:rPr>
        <w:t>.</w:t>
      </w:r>
      <w:r>
        <w:rPr>
          <w:szCs w:val="28"/>
        </w:rPr>
        <w:t xml:space="preserve"> En el sentido intrínseco, una señal binaria puede tener tan solo dos valores determinados en cualquier instante de tiempo, pero esta consideración es ideal, y en realidad, donde se realiza la transición de un estado a otro, existe una región donde la señal binaria tendría varios valores, por lo cual, el comparador debe de pasar esta región de transición rápidamente.</w:t>
      </w:r>
    </w:p>
    <w:p w:rsidR="0030599C" w:rsidRDefault="0030599C" w:rsidP="0030599C">
      <w:pPr>
        <w:rPr>
          <w:szCs w:val="28"/>
        </w:rPr>
      </w:pPr>
      <w:r>
        <w:rPr>
          <w:szCs w:val="28"/>
        </w:rPr>
        <w:t xml:space="preserve">Podemos caracterizan a los comparadores en 3 categorías, comparadores de </w:t>
      </w:r>
      <w:r>
        <w:rPr>
          <w:i/>
          <w:szCs w:val="28"/>
        </w:rPr>
        <w:t>Lazo Abierto</w:t>
      </w:r>
      <w:r>
        <w:rPr>
          <w:szCs w:val="28"/>
        </w:rPr>
        <w:t xml:space="preserve">, </w:t>
      </w:r>
      <w:r>
        <w:rPr>
          <w:i/>
          <w:szCs w:val="28"/>
        </w:rPr>
        <w:t>Regenerativos</w:t>
      </w:r>
      <w:r>
        <w:rPr>
          <w:szCs w:val="28"/>
        </w:rPr>
        <w:t xml:space="preserve"> y en una combinación de ambos que resultan ser extremadamente veloces. Los </w:t>
      </w:r>
      <w:r>
        <w:rPr>
          <w:i/>
          <w:szCs w:val="28"/>
        </w:rPr>
        <w:t>Comparadores de Lazo Abierto</w:t>
      </w:r>
      <w:r>
        <w:rPr>
          <w:szCs w:val="28"/>
        </w:rPr>
        <w:t xml:space="preserve"> son básicamente amplificadores operacionales sin compensación. Los </w:t>
      </w:r>
      <w:r>
        <w:rPr>
          <w:i/>
          <w:szCs w:val="28"/>
        </w:rPr>
        <w:t>Comparadores Regenerativos</w:t>
      </w:r>
      <w:r>
        <w:rPr>
          <w:szCs w:val="28"/>
        </w:rPr>
        <w:t xml:space="preserve"> utilizan realimentación positiva, similar a un amplificador de censado o a los Flip Flops.</w:t>
      </w:r>
    </w:p>
    <w:p w:rsidR="0030599C" w:rsidRPr="00BC12A1" w:rsidRDefault="0030599C" w:rsidP="0030599C">
      <w:pPr>
        <w:rPr>
          <w:b/>
          <w:szCs w:val="28"/>
        </w:rPr>
      </w:pPr>
      <w:r w:rsidRPr="00BC12A1">
        <w:rPr>
          <w:b/>
          <w:szCs w:val="28"/>
        </w:rPr>
        <w:t>CARACTERIZACION DE</w:t>
      </w:r>
      <w:r>
        <w:rPr>
          <w:b/>
          <w:szCs w:val="28"/>
        </w:rPr>
        <w:t>L</w:t>
      </w:r>
      <w:r w:rsidRPr="00BC12A1">
        <w:rPr>
          <w:b/>
          <w:szCs w:val="28"/>
        </w:rPr>
        <w:t xml:space="preserve"> COMPARADOR</w:t>
      </w:r>
    </w:p>
    <w:p w:rsidR="0030599C" w:rsidRDefault="0030599C" w:rsidP="0030599C">
      <w:pPr>
        <w:rPr>
          <w:szCs w:val="28"/>
        </w:rPr>
      </w:pPr>
      <w:r>
        <w:rPr>
          <w:szCs w:val="28"/>
        </w:rPr>
        <w:t xml:space="preserve">En la </w:t>
      </w:r>
      <w:fldSimple w:instr=" REF _Ref256172921 \h  \* MERGEFORMAT ">
        <w:r w:rsidR="00EF4DC3" w:rsidRPr="00EF4DC3">
          <w:rPr>
            <w:color w:val="4F81BD" w:themeColor="accent1"/>
          </w:rPr>
          <w:t xml:space="preserve">Figura </w:t>
        </w:r>
        <w:r w:rsidR="00EF4DC3" w:rsidRPr="00EF4DC3">
          <w:rPr>
            <w:noProof/>
            <w:color w:val="4F81BD" w:themeColor="accent1"/>
          </w:rPr>
          <w:t>1</w:t>
        </w:r>
      </w:fldSimple>
      <w:r>
        <w:rPr>
          <w:b/>
          <w:color w:val="0070C0"/>
          <w:szCs w:val="28"/>
        </w:rPr>
        <w:t xml:space="preserve"> </w:t>
      </w:r>
      <w:r>
        <w:rPr>
          <w:szCs w:val="28"/>
        </w:rPr>
        <w:t xml:space="preserve">se muestra el símbolo del comparador. </w:t>
      </w:r>
      <w:r w:rsidRPr="007A621A">
        <w:rPr>
          <w:szCs w:val="28"/>
          <w:highlight w:val="cyan"/>
        </w:rPr>
        <w:t xml:space="preserve">Si un valor positivo es aplicado en la entrada </w:t>
      </w:r>
      <w:r w:rsidRPr="007A621A">
        <w:rPr>
          <w:i/>
          <w:szCs w:val="28"/>
          <w:highlight w:val="cyan"/>
        </w:rPr>
        <w:t>v</w:t>
      </w:r>
      <w:r w:rsidRPr="007A621A">
        <w:rPr>
          <w:i/>
          <w:szCs w:val="28"/>
          <w:highlight w:val="cyan"/>
          <w:vertAlign w:val="subscript"/>
        </w:rPr>
        <w:t>p</w:t>
      </w:r>
      <w:r w:rsidRPr="007A621A">
        <w:rPr>
          <w:szCs w:val="28"/>
          <w:highlight w:val="cyan"/>
        </w:rPr>
        <w:t xml:space="preserve"> hará que la salida del comparado llegue a un valor positivo, y si es aplicado a la entrada </w:t>
      </w:r>
      <w:r w:rsidRPr="007A621A">
        <w:rPr>
          <w:i/>
          <w:szCs w:val="28"/>
          <w:highlight w:val="cyan"/>
        </w:rPr>
        <w:t>v</w:t>
      </w:r>
      <w:r w:rsidRPr="007A621A">
        <w:rPr>
          <w:i/>
          <w:szCs w:val="28"/>
          <w:highlight w:val="cyan"/>
          <w:vertAlign w:val="subscript"/>
        </w:rPr>
        <w:t>n</w:t>
      </w:r>
      <w:r w:rsidRPr="007A621A">
        <w:rPr>
          <w:szCs w:val="28"/>
          <w:highlight w:val="cyan"/>
        </w:rPr>
        <w:t xml:space="preserve"> causara que la salida llegue a un valor negativo.</w:t>
      </w:r>
      <w:r>
        <w:rPr>
          <w:szCs w:val="28"/>
        </w:rPr>
        <w:t xml:space="preserve"> Los niveles de excursión más altos y más bajos de la salida del comparador son definidos como </w:t>
      </w:r>
      <w:r w:rsidRPr="0010527E">
        <w:rPr>
          <w:i/>
          <w:szCs w:val="28"/>
        </w:rPr>
        <w:t>V</w:t>
      </w:r>
      <w:r w:rsidRPr="0010527E">
        <w:rPr>
          <w:i/>
          <w:szCs w:val="28"/>
          <w:vertAlign w:val="subscript"/>
        </w:rPr>
        <w:t>OH</w:t>
      </w:r>
      <w:r>
        <w:rPr>
          <w:szCs w:val="28"/>
        </w:rPr>
        <w:t xml:space="preserve"> y </w:t>
      </w:r>
      <w:r w:rsidRPr="0010527E">
        <w:rPr>
          <w:i/>
          <w:szCs w:val="28"/>
        </w:rPr>
        <w:t>V</w:t>
      </w:r>
      <w:r w:rsidRPr="0010527E">
        <w:rPr>
          <w:i/>
          <w:szCs w:val="28"/>
          <w:vertAlign w:val="subscript"/>
        </w:rPr>
        <w:t>OL</w:t>
      </w:r>
      <w:r w:rsidRPr="0010527E">
        <w:rPr>
          <w:szCs w:val="28"/>
          <w:vertAlign w:val="subscript"/>
        </w:rPr>
        <w:t xml:space="preserve"> </w:t>
      </w:r>
      <w:r>
        <w:rPr>
          <w:szCs w:val="28"/>
        </w:rPr>
        <w:t>respectivamente.</w:t>
      </w:r>
    </w:p>
    <w:p w:rsidR="0030599C" w:rsidRDefault="0030599C" w:rsidP="0030599C">
      <w:pPr>
        <w:pStyle w:val="Epgrafe"/>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0" w:name="_Ref256172921"/>
      <w:r>
        <w:t xml:space="preserve">Figura </w:t>
      </w:r>
      <w:fldSimple w:instr=" SEQ Figura \* ARABIC ">
        <w:r w:rsidR="00EF4DC3">
          <w:rPr>
            <w:noProof/>
          </w:rPr>
          <w:t>1</w:t>
        </w:r>
      </w:fldSimple>
      <w:bookmarkEnd w:id="0"/>
      <w:r>
        <w:t>) Circuito simbólico del comparador.</w:t>
      </w:r>
    </w:p>
    <w:p w:rsidR="0030599C" w:rsidRPr="00BC12A1" w:rsidRDefault="0030599C" w:rsidP="0030599C">
      <w:pPr>
        <w:rPr>
          <w:b/>
          <w:i/>
          <w:szCs w:val="28"/>
        </w:rPr>
      </w:pPr>
      <w:r w:rsidRPr="00BC12A1">
        <w:rPr>
          <w:b/>
          <w:i/>
          <w:szCs w:val="28"/>
        </w:rPr>
        <w:t>Características Estáticas</w:t>
      </w:r>
    </w:p>
    <w:p w:rsidR="0030599C" w:rsidRDefault="0030599C" w:rsidP="0030599C">
      <w:pPr>
        <w:rPr>
          <w:rFonts w:eastAsiaTheme="minorEastAsia"/>
          <w:szCs w:val="28"/>
        </w:rPr>
      </w:pPr>
      <w:r w:rsidRPr="00B40B10">
        <w:rPr>
          <w:rFonts w:eastAsiaTheme="minorEastAsia"/>
          <w:szCs w:val="28"/>
          <w:highlight w:val="cyan"/>
        </w:rPr>
        <w:t xml:space="preserve">La </w:t>
      </w:r>
      <w:fldSimple w:instr=" REF _Ref256173117 \h  \* MERGEFORMAT ">
        <w:r w:rsidR="00EF4DC3" w:rsidRPr="00EF4DC3">
          <w:rPr>
            <w:color w:val="4F81BD" w:themeColor="accent1"/>
            <w:highlight w:val="cyan"/>
          </w:rPr>
          <w:t xml:space="preserve">Figura </w:t>
        </w:r>
        <w:r w:rsidR="00EF4DC3" w:rsidRPr="00EF4DC3">
          <w:rPr>
            <w:noProof/>
            <w:color w:val="4F81BD" w:themeColor="accent1"/>
            <w:highlight w:val="cyan"/>
          </w:rPr>
          <w:t>2</w:t>
        </w:r>
      </w:fldSimple>
      <w:r w:rsidRPr="00B40B10">
        <w:rPr>
          <w:rFonts w:eastAsiaTheme="minorEastAsia"/>
          <w:szCs w:val="28"/>
          <w:highlight w:val="cyan"/>
        </w:rPr>
        <w:t xml:space="preserve"> muestra la curva de transferencia de DC de los modelos de primer orden de un comparador realizable (no ideal). La diferencia entre este modelo y el anterior es la ganancia, la</w:t>
      </w:r>
      <w:r>
        <w:rPr>
          <w:rFonts w:eastAsiaTheme="minorEastAsia"/>
          <w:szCs w:val="28"/>
        </w:rPr>
        <w:t xml:space="preserve"> cual puede ser expresada como:</w:t>
      </w:r>
    </w:p>
    <w:p w:rsidR="0030599C" w:rsidRDefault="00AF480B"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representa la diferencia de los voltajes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Pr>
          <w:rFonts w:eastAsiaTheme="minorEastAsia"/>
          <w:szCs w:val="28"/>
        </w:rPr>
        <w:t>necesaria para saturar la salida en sus niveles limites superior e inferior, respectivamente. Esta carga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es llamada </w:t>
      </w:r>
      <w:r>
        <w:rPr>
          <w:rFonts w:eastAsiaTheme="minorEastAsia"/>
          <w:i/>
          <w:szCs w:val="28"/>
        </w:rPr>
        <w:t>resolución</w:t>
      </w:r>
      <w:r>
        <w:rPr>
          <w:rFonts w:eastAsiaTheme="minorEastAsia"/>
          <w:szCs w:val="28"/>
        </w:rPr>
        <w:t xml:space="preserve"> del comparador. En la ganancia se define la mínima cantidad de carga necesaria (</w:t>
      </w:r>
      <w:r>
        <w:rPr>
          <w:rFonts w:eastAsiaTheme="minorEastAsia"/>
          <w:i/>
          <w:szCs w:val="28"/>
        </w:rPr>
        <w:t>resolución</w:t>
      </w:r>
      <w:r>
        <w:rPr>
          <w:rFonts w:eastAsiaTheme="minorEastAsia"/>
          <w:szCs w:val="28"/>
        </w:rP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gridCol w:w="4789"/>
      </w:tblGrid>
      <w:tr w:rsidR="0030599C" w:rsidRPr="001D2E64" w:rsidTr="00FA4D0D">
        <w:tc>
          <w:tcPr>
            <w:tcW w:w="5438" w:type="dxa"/>
            <w:vAlign w:val="center"/>
          </w:tcPr>
          <w:p w:rsidR="0030599C" w:rsidRPr="001D2E64" w:rsidRDefault="0030599C" w:rsidP="00FA4D0D">
            <w:pPr>
              <w:pStyle w:val="Epgrafe"/>
              <w:jc w:val="center"/>
            </w:pPr>
            <w:r w:rsidRPr="001D2E64">
              <w:rPr>
                <w:rFonts w:eastAsiaTheme="minorEastAsia"/>
                <w:noProof/>
                <w:szCs w:val="28"/>
                <w:lang w:eastAsia="es-AR"/>
              </w:rPr>
              <w:lastRenderedPageBreak/>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3616" w:type="dxa"/>
            <w:vAlign w:val="center"/>
          </w:tcPr>
          <w:p w:rsidR="0030599C" w:rsidRPr="001D2E64" w:rsidRDefault="0030599C" w:rsidP="00FA4D0D">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30599C" w:rsidRPr="001D2E64" w:rsidTr="00FA4D0D">
        <w:tc>
          <w:tcPr>
            <w:tcW w:w="5438"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EF4DC3">
                <w:rPr>
                  <w:noProof/>
                </w:rPr>
                <w:t>2</w:t>
              </w:r>
            </w:fldSimple>
            <w:bookmarkEnd w:id="1"/>
            <w:r w:rsidRPr="001D2E64">
              <w:t>) Curva de transferencia con ganancia finita.</w:t>
            </w:r>
          </w:p>
        </w:tc>
        <w:tc>
          <w:tcPr>
            <w:tcW w:w="3616"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EF4DC3">
                <w:rPr>
                  <w:noProof/>
                </w:rPr>
                <w:t>3</w:t>
              </w:r>
            </w:fldSimple>
            <w:bookmarkEnd w:id="2"/>
            <w:r>
              <w:t>) Modelo del comparador con ganancia finita.</w:t>
            </w:r>
          </w:p>
        </w:tc>
      </w:tr>
    </w:tbl>
    <w:p w:rsidR="0030599C" w:rsidRDefault="0030599C" w:rsidP="0030599C">
      <w:pPr>
        <w:rPr>
          <w:rFonts w:eastAsiaTheme="minorEastAsia"/>
          <w:szCs w:val="28"/>
        </w:rPr>
      </w:pPr>
    </w:p>
    <w:p w:rsidR="0030599C" w:rsidRDefault="0030599C" w:rsidP="0030599C">
      <w:pPr>
        <w:rPr>
          <w:rFonts w:eastAsiaTheme="minorEastAsia"/>
          <w:szCs w:val="28"/>
        </w:rPr>
      </w:pPr>
      <w:r>
        <w:rPr>
          <w:rFonts w:eastAsiaTheme="minorEastAsia"/>
          <w:szCs w:val="28"/>
        </w:rPr>
        <w:t xml:space="preserve">La función de transferencia de la </w:t>
      </w:r>
      <w:fldSimple w:instr=" REF _Ref256173117 \h  \* MERGEFORMAT ">
        <w:r w:rsidR="00EF4DC3" w:rsidRPr="00EF4DC3">
          <w:rPr>
            <w:color w:val="4F81BD" w:themeColor="accent1"/>
          </w:rPr>
          <w:t xml:space="preserve">Figura </w:t>
        </w:r>
        <w:r w:rsidR="00EF4DC3" w:rsidRPr="00EF4DC3">
          <w:rPr>
            <w:noProof/>
            <w:color w:val="4F81BD" w:themeColor="accent1"/>
          </w:rPr>
          <w:t>2</w:t>
        </w:r>
      </w:fldSimple>
      <w:r>
        <w:rPr>
          <w:rFonts w:eastAsiaTheme="minorEastAsia"/>
          <w:szCs w:val="28"/>
        </w:rPr>
        <w:t xml:space="preserve"> es modelada por el circuito en la </w:t>
      </w:r>
      <w:fldSimple w:instr=" REF _Ref256173145 \h  \* MERGEFORMAT ">
        <w:r w:rsidR="00EF4DC3" w:rsidRPr="00EF4DC3">
          <w:rPr>
            <w:color w:val="4F81BD" w:themeColor="accent1"/>
          </w:rPr>
          <w:t xml:space="preserve">Figura </w:t>
        </w:r>
        <w:r w:rsidR="00EF4DC3" w:rsidRPr="00EF4DC3">
          <w:rPr>
            <w:noProof/>
            <w:color w:val="4F81BD" w:themeColor="accent1"/>
          </w:rPr>
          <w:t>3</w:t>
        </w:r>
      </w:fldSimple>
      <w:r>
        <w:rPr>
          <w:rFonts w:eastAsiaTheme="minorEastAsia"/>
          <w:szCs w:val="28"/>
        </w:rPr>
        <w:t xml:space="preserve">, el cual es similar al circuito de la </w:t>
      </w:r>
      <w:r w:rsidR="00AF480B">
        <w:fldChar w:fldCharType="begin"/>
      </w:r>
      <w:r>
        <w:instrText xml:space="preserve"> REF _Ref256173100 \h  \* MERGEFORMAT </w:instrText>
      </w:r>
      <w:r w:rsidR="00AF480B">
        <w:fldChar w:fldCharType="separate"/>
      </w:r>
      <w:r w:rsidR="00EF4DC3">
        <w:rPr>
          <w:b/>
          <w:bCs/>
          <w:lang w:val="es-ES"/>
        </w:rPr>
        <w:t>¡Error! No se encuentra el origen de la referencia.</w:t>
      </w:r>
      <w:r w:rsidR="00AF480B">
        <w:fldChar w:fldCharType="end"/>
      </w:r>
      <w:r>
        <w:rPr>
          <w:rFonts w:eastAsiaTheme="minorEastAsia"/>
          <w:szCs w:val="28"/>
        </w:rPr>
        <w:t>, con la diferencia en sus funciones.</w:t>
      </w:r>
    </w:p>
    <w:p w:rsidR="0030599C" w:rsidRDefault="0030599C" w:rsidP="0030599C">
      <w:pPr>
        <w:rPr>
          <w:rFonts w:eastAsiaTheme="minorEastAsia"/>
          <w:szCs w:val="28"/>
        </w:rPr>
      </w:pPr>
      <w:r w:rsidRPr="00B40B10">
        <w:rPr>
          <w:rFonts w:eastAsiaTheme="minorEastAsia"/>
          <w:szCs w:val="28"/>
          <w:highlight w:val="cyan"/>
        </w:rPr>
        <w:t>El segundo efecto no-lineal en un comparador es la tensión de offset de la entrada, V</w:t>
      </w:r>
      <w:r w:rsidRPr="00B40B10">
        <w:rPr>
          <w:rFonts w:eastAsiaTheme="minorEastAsia"/>
          <w:szCs w:val="28"/>
          <w:highlight w:val="cyan"/>
          <w:vertAlign w:val="subscript"/>
        </w:rPr>
        <w:t>OS</w:t>
      </w:r>
      <w:r w:rsidRPr="00B40B10">
        <w:rPr>
          <w:rFonts w:eastAsiaTheme="minorEastAsia"/>
          <w:szCs w:val="28"/>
          <w:highlight w:val="cyan"/>
        </w:rPr>
        <w:t xml:space="preserve">. En la </w:t>
      </w:r>
      <w:r w:rsidR="00AF480B">
        <w:fldChar w:fldCharType="begin"/>
      </w:r>
      <w:r>
        <w:instrText xml:space="preserve"> REF _Ref256172935 \h  \* MERGEFORMAT </w:instrText>
      </w:r>
      <w:r w:rsidR="00AF480B">
        <w:fldChar w:fldCharType="separate"/>
      </w:r>
      <w:r w:rsidR="00EF4DC3">
        <w:rPr>
          <w:b/>
          <w:bCs/>
          <w:lang w:val="es-ES"/>
        </w:rPr>
        <w:t>¡Error! No se encuentra el origen de la referencia.</w:t>
      </w:r>
      <w:r w:rsidR="00AF480B">
        <w:fldChar w:fldCharType="end"/>
      </w:r>
      <w:r w:rsidRPr="00B40B10">
        <w:rPr>
          <w:rFonts w:eastAsiaTheme="minorEastAsia"/>
          <w:szCs w:val="28"/>
          <w:highlight w:val="cyan"/>
        </w:rPr>
        <w:t xml:space="preserve"> la salida del comparador cambia cuando la diferencia de los voltajes de entrada es cero.</w:t>
      </w:r>
      <w:r>
        <w:rPr>
          <w:rFonts w:eastAsiaTheme="minorEastAsia"/>
          <w:szCs w:val="28"/>
        </w:rPr>
        <w:t xml:space="preserve"> Si la salida no cambia hasta que la diferencia de los voltajes de entrada supere el valor +VOS, entonces a esta diferencia la definimos como </w:t>
      </w:r>
      <w:r>
        <w:rPr>
          <w:rFonts w:eastAsiaTheme="minorEastAsia"/>
          <w:i/>
          <w:szCs w:val="28"/>
        </w:rPr>
        <w:t xml:space="preserve">voltaje de offset </w:t>
      </w:r>
      <w:r>
        <w:rPr>
          <w:rFonts w:eastAsiaTheme="minorEastAsia"/>
          <w:szCs w:val="28"/>
        </w:rPr>
        <w:t>(</w:t>
      </w:r>
      <w:fldSimple w:instr=" REF _Ref256173252 \h  \* MERGEFORMAT ">
        <w:r w:rsidR="00EF4DC3" w:rsidRPr="00EF4DC3">
          <w:rPr>
            <w:color w:val="4F81BD" w:themeColor="accent1"/>
          </w:rPr>
          <w:t xml:space="preserve">Figura </w:t>
        </w:r>
        <w:r w:rsidR="00EF4DC3" w:rsidRPr="00EF4DC3">
          <w:rPr>
            <w:noProof/>
            <w:color w:val="4F81BD" w:themeColor="accent1"/>
          </w:rPr>
          <w:t>4</w:t>
        </w:r>
      </w:fldSimple>
      <w:r>
        <w:rPr>
          <w:rFonts w:eastAsiaTheme="minorEastAsia"/>
          <w:szCs w:val="28"/>
        </w:rPr>
        <w:t>).</w:t>
      </w:r>
    </w:p>
    <w:p w:rsidR="0030599C" w:rsidRDefault="0030599C" w:rsidP="0030599C">
      <w:pPr>
        <w:pStyle w:val="Epgrafe"/>
      </w:pPr>
      <w:r>
        <w:rPr>
          <w:rFonts w:eastAsiaTheme="minorEastAsia"/>
          <w:noProof/>
          <w:szCs w:val="28"/>
          <w:lang w:eastAsia="es-AR"/>
        </w:rPr>
        <w:drawing>
          <wp:inline distT="0" distB="0" distL="0" distR="0">
            <wp:extent cx="2206261" cy="1080000"/>
            <wp:effectExtent l="19050" t="0" r="3539"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206261" cy="1080000"/>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szCs w:val="28"/>
        </w:rPr>
      </w:pPr>
      <w:bookmarkStart w:id="3" w:name="_Ref256173252"/>
      <w:r>
        <w:t xml:space="preserve">Figura </w:t>
      </w:r>
      <w:fldSimple w:instr=" SEQ Figura \* ARABIC ">
        <w:r w:rsidR="00EF4DC3">
          <w:rPr>
            <w:noProof/>
          </w:rPr>
          <w:t>4</w:t>
        </w:r>
      </w:fldSimple>
      <w:bookmarkEnd w:id="3"/>
      <w:r>
        <w:t>) Curva de transferencia del comparador con offset de entrada.</w:t>
      </w:r>
    </w:p>
    <w:p w:rsidR="0030599C" w:rsidRDefault="0030599C" w:rsidP="0030599C">
      <w:pPr>
        <w:rPr>
          <w:b/>
          <w:i/>
          <w:szCs w:val="28"/>
        </w:rPr>
      </w:pPr>
      <w:r w:rsidRPr="00BC12A1">
        <w:rPr>
          <w:b/>
          <w:i/>
          <w:szCs w:val="28"/>
        </w:rPr>
        <w:t xml:space="preserve">Características </w:t>
      </w:r>
      <w:r>
        <w:rPr>
          <w:b/>
          <w:i/>
          <w:szCs w:val="28"/>
        </w:rPr>
        <w:t>Dinámicas</w:t>
      </w:r>
    </w:p>
    <w:p w:rsidR="0030599C" w:rsidRDefault="0030599C" w:rsidP="0030599C">
      <w:pPr>
        <w:rPr>
          <w:szCs w:val="28"/>
        </w:rPr>
      </w:pPr>
      <w:r>
        <w:rPr>
          <w:szCs w:val="28"/>
        </w:rPr>
        <w:t xml:space="preserve">Las características dinámicas de un comparador abarcan comportamientos para pequeña-señal y gran-señal. La característica que marca el tiempo de retardo (delay) entre la señal de entrada y la transición de la señal de salida del comparado es conocida como </w:t>
      </w:r>
      <w:r>
        <w:rPr>
          <w:i/>
          <w:szCs w:val="28"/>
        </w:rPr>
        <w:t>tiempo de respuesta</w:t>
      </w:r>
      <w:r>
        <w:rPr>
          <w:szCs w:val="28"/>
        </w:rPr>
        <w:t xml:space="preserve">. La </w:t>
      </w:r>
      <w:fldSimple w:instr=" REF _Ref256173280 \h  \* MERGEFORMAT ">
        <w:r w:rsidR="00EF4DC3" w:rsidRPr="00EF4DC3">
          <w:rPr>
            <w:color w:val="4F81BD" w:themeColor="accent1"/>
          </w:rPr>
          <w:t xml:space="preserve">Figura </w:t>
        </w:r>
        <w:r w:rsidR="00EF4DC3" w:rsidRPr="00EF4DC3">
          <w:rPr>
            <w:noProof/>
            <w:color w:val="4F81BD" w:themeColor="accent1"/>
          </w:rPr>
          <w:t>5</w:t>
        </w:r>
      </w:fldSimple>
      <w:r>
        <w:rPr>
          <w:szCs w:val="28"/>
        </w:rPr>
        <w:t xml:space="preserve">, ilustra la respuesta del comparador a una entrada en función del tiempo. Esta diferencia de tiempos es llamada </w:t>
      </w:r>
      <w:r>
        <w:rPr>
          <w:i/>
          <w:szCs w:val="28"/>
        </w:rPr>
        <w:t>tiempo de retardo de propagación “t</w:t>
      </w:r>
      <w:r w:rsidRPr="001E7C19">
        <w:rPr>
          <w:i/>
          <w:szCs w:val="28"/>
          <w:vertAlign w:val="subscript"/>
        </w:rPr>
        <w:t>p</w:t>
      </w:r>
      <w:r>
        <w:rPr>
          <w:i/>
          <w:szCs w:val="28"/>
        </w:rPr>
        <w:t>”</w:t>
      </w:r>
      <w:r w:rsidRPr="00BB47C7">
        <w:rPr>
          <w:szCs w:val="28"/>
        </w:rPr>
        <w:t>(propagation delay time)</w:t>
      </w:r>
      <w:r>
        <w:rPr>
          <w:szCs w:val="28"/>
        </w:rP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Pr>
          <w:i/>
          <w:szCs w:val="28"/>
        </w:rPr>
        <w:t xml:space="preserve">slewing </w:t>
      </w:r>
      <w:r>
        <w:rPr>
          <w:szCs w:val="28"/>
        </w:rPr>
        <w:t xml:space="preserve">o </w:t>
      </w:r>
      <w:r>
        <w:rPr>
          <w:i/>
          <w:szCs w:val="28"/>
        </w:rPr>
        <w:t>slew rate</w:t>
      </w:r>
      <w:r>
        <w:rPr>
          <w:szCs w:val="28"/>
        </w:rPr>
        <w:t>.</w:t>
      </w:r>
    </w:p>
    <w:p w:rsidR="0030599C" w:rsidRDefault="0030599C" w:rsidP="0030599C">
      <w:pPr>
        <w:pStyle w:val="Epgrafe"/>
      </w:pPr>
      <w:r>
        <w:rPr>
          <w:noProof/>
          <w:szCs w:val="28"/>
          <w:lang w:eastAsia="es-AR"/>
        </w:rPr>
        <w:lastRenderedPageBreak/>
        <w:drawing>
          <wp:inline distT="0" distB="0" distL="0" distR="0">
            <wp:extent cx="2210612" cy="1868777"/>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211817" cy="1869795"/>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4" w:name="_Ref256173280"/>
      <w:r>
        <w:t xml:space="preserve">Figura </w:t>
      </w:r>
      <w:fldSimple w:instr=" SEQ Figura \* ARABIC ">
        <w:r w:rsidR="00EF4DC3">
          <w:rPr>
            <w:noProof/>
          </w:rPr>
          <w:t>5</w:t>
        </w:r>
      </w:fldSimple>
      <w:bookmarkEnd w:id="4"/>
      <w:r>
        <w:t>) Tiempo de propagación de un comparador no-inversor.</w:t>
      </w:r>
    </w:p>
    <w:p w:rsidR="0030599C" w:rsidRDefault="0030599C" w:rsidP="0030599C">
      <w:pPr>
        <w:rPr>
          <w:szCs w:val="28"/>
        </w:rPr>
      </w:pPr>
      <w:r>
        <w:rPr>
          <w:szCs w:val="28"/>
        </w:rPr>
        <w:t xml:space="preserve">Las características dinámicas de pequeña señal del comparador </w:t>
      </w:r>
      <w:r w:rsidR="00EB5C1E">
        <w:rPr>
          <w:szCs w:val="28"/>
        </w:rPr>
        <w:t>están</w:t>
      </w:r>
      <w:r>
        <w:rPr>
          <w:szCs w:val="28"/>
        </w:rPr>
        <w:t xml:space="preserve"> definidas por su respuesta en frecuencia. Un modelo simple del comportamiento asume que la ganancia diferencial de voltaje, </w:t>
      </w:r>
      <w:r w:rsidRPr="00775FD8">
        <w:rPr>
          <w:i/>
          <w:szCs w:val="28"/>
        </w:rPr>
        <w:t>A</w:t>
      </w:r>
      <w:r w:rsidRPr="00775FD8">
        <w:rPr>
          <w:i/>
          <w:szCs w:val="28"/>
          <w:vertAlign w:val="subscript"/>
        </w:rPr>
        <w:t>v</w:t>
      </w:r>
      <w:r>
        <w:rPr>
          <w:szCs w:val="28"/>
        </w:rPr>
        <w:t>, está dada por:</w:t>
      </w:r>
    </w:p>
    <w:p w:rsidR="0030599C" w:rsidRDefault="00AF480B"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oMath>
      <w:r>
        <w:rPr>
          <w:rFonts w:eastAsiaTheme="minorEastAsia"/>
          <w:szCs w:val="28"/>
        </w:rPr>
        <w:t xml:space="preserve"> es la ganancia en DC del comparador y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r>
          <w:rPr>
            <w:rFonts w:ascii="Cambria Math" w:eastAsiaTheme="minorEastAsia" w:hAnsi="Cambria Math"/>
            <w:szCs w:val="28"/>
          </w:rPr>
          <m:t>=1/</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oMath>
      <w:r>
        <w:rPr>
          <w:rFonts w:eastAsiaTheme="minorEastAsia"/>
          <w:szCs w:val="28"/>
        </w:rPr>
        <w:t xml:space="preserve"> es la frecuencia de </w:t>
      </w:r>
      <w:r w:rsidRPr="0026762B">
        <w:rPr>
          <w:rFonts w:eastAsiaTheme="minorEastAsia"/>
          <w:i/>
          <w:szCs w:val="28"/>
        </w:rPr>
        <w:t>-3dB</w:t>
      </w:r>
      <w:r>
        <w:rPr>
          <w:rFonts w:eastAsiaTheme="minorEastAsia"/>
          <w:szCs w:val="28"/>
        </w:rPr>
        <w:t xml:space="preserve"> del polo dominante.</w:t>
      </w:r>
    </w:p>
    <w:p w:rsidR="0030599C" w:rsidRDefault="0030599C" w:rsidP="0030599C">
      <w:pPr>
        <w:rPr>
          <w:rFonts w:eastAsiaTheme="minorEastAsia"/>
          <w:szCs w:val="28"/>
        </w:rPr>
      </w:pPr>
      <w:r>
        <w:rPr>
          <w:rFonts w:eastAsiaTheme="minorEastAsia"/>
          <w:szCs w:val="28"/>
        </w:rPr>
        <w:t xml:space="preserve">Para una entrada de tipo escalón, la salida del comparador subirá (o caerá) con una respuesta exponencial de primer orden de </w:t>
      </w:r>
      <w:r w:rsidRPr="0026762B">
        <w:rPr>
          <w:rFonts w:eastAsiaTheme="minorEastAsia"/>
          <w:i/>
          <w:szCs w:val="28"/>
        </w:rPr>
        <w:t>V</w:t>
      </w:r>
      <w:r w:rsidRPr="0026762B">
        <w:rPr>
          <w:rFonts w:eastAsiaTheme="minorEastAsia"/>
          <w:i/>
          <w:szCs w:val="28"/>
          <w:vertAlign w:val="subscript"/>
        </w:rPr>
        <w:t>OL</w:t>
      </w:r>
      <w:r w:rsidRPr="0026762B">
        <w:rPr>
          <w:rFonts w:eastAsiaTheme="minorEastAsia"/>
          <w:szCs w:val="28"/>
          <w:vertAlign w:val="subscript"/>
        </w:rPr>
        <w:t xml:space="preserve"> </w:t>
      </w:r>
      <w:r>
        <w:rPr>
          <w:rFonts w:eastAsiaTheme="minorEastAsia"/>
          <w:szCs w:val="28"/>
        </w:rPr>
        <w:t xml:space="preserve">a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a </w:t>
      </w:r>
      <w:r w:rsidRPr="0026762B">
        <w:rPr>
          <w:rFonts w:eastAsiaTheme="minorEastAsia"/>
          <w:i/>
          <w:szCs w:val="28"/>
        </w:rPr>
        <w:t>V</w:t>
      </w:r>
      <w:r w:rsidRPr="0026762B">
        <w:rPr>
          <w:rFonts w:eastAsiaTheme="minorEastAsia"/>
          <w:i/>
          <w:szCs w:val="28"/>
          <w:vertAlign w:val="subscript"/>
        </w:rPr>
        <w:t>OL</w:t>
      </w:r>
      <w:r>
        <w:rPr>
          <w:rFonts w:eastAsiaTheme="minorEastAsia"/>
          <w:szCs w:val="28"/>
        </w:rPr>
        <w:t xml:space="preserve">) como se muestra en la </w:t>
      </w:r>
      <w:fldSimple w:instr=" REF _Ref256173343 \h  \* MERGEFORMAT ">
        <w:r w:rsidR="00EF4DC3" w:rsidRPr="00EF4DC3">
          <w:rPr>
            <w:color w:val="4F81BD" w:themeColor="accent1"/>
          </w:rPr>
          <w:t xml:space="preserve">Figura </w:t>
        </w:r>
        <w:r w:rsidR="00EF4DC3" w:rsidRPr="00EF4DC3">
          <w:rPr>
            <w:noProof/>
            <w:color w:val="4F81BD" w:themeColor="accent1"/>
          </w:rPr>
          <w:t>6</w:t>
        </w:r>
      </w:fldSimple>
      <w:r>
        <w:rPr>
          <w:rFonts w:eastAsiaTheme="minorEastAsia"/>
          <w:szCs w:val="28"/>
        </w:rPr>
        <w:t xml:space="preserve">. Si </w:t>
      </w:r>
      <w:r w:rsidRPr="0026762B">
        <w:rPr>
          <w:rFonts w:eastAsiaTheme="minorEastAsia"/>
          <w:i/>
          <w:szCs w:val="28"/>
        </w:rPr>
        <w:t>V</w:t>
      </w:r>
      <w:r w:rsidRPr="0026762B">
        <w:rPr>
          <w:rFonts w:eastAsiaTheme="minorEastAsia"/>
          <w:i/>
          <w:szCs w:val="28"/>
          <w:vertAlign w:val="subscript"/>
        </w:rPr>
        <w:t>in</w:t>
      </w:r>
      <w:r>
        <w:rPr>
          <w:rFonts w:eastAsiaTheme="minorEastAsia"/>
          <w:szCs w:val="28"/>
        </w:rPr>
        <w:t xml:space="preserve"> es más 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la salida subirá o caerá veces más rápido. Cuando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es aplicada al comparador, podemos escribir la ecuación:</w:t>
      </w:r>
    </w:p>
    <w:p w:rsidR="0030599C" w:rsidRDefault="00AF480B"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AF480B"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30599C">
      <w:pPr>
        <w:rPr>
          <w:rFonts w:eastAsiaTheme="minorEastAsia"/>
          <w:szCs w:val="28"/>
        </w:rPr>
      </w:pPr>
      <w:r>
        <w:rPr>
          <w:rFonts w:eastAsiaTheme="minorEastAsia"/>
          <w:szCs w:val="28"/>
        </w:rPr>
        <w:t>Cuando se incrementa la tensión de entrada, entra en el modo de operación para gran-senal (</w:t>
      </w:r>
      <w:fldSimple w:instr=" REF _Ref256173343 \h  \* MERGEFORMAT ">
        <w:r w:rsidR="00EF4DC3" w:rsidRPr="00EF4DC3">
          <w:rPr>
            <w:color w:val="4F81BD" w:themeColor="accent1"/>
          </w:rPr>
          <w:t xml:space="preserve">Figura </w:t>
        </w:r>
        <w:r w:rsidR="00EF4DC3" w:rsidRPr="00EF4DC3">
          <w:rPr>
            <w:noProof/>
            <w:color w:val="4F81BD" w:themeColor="accent1"/>
          </w:rPr>
          <w:t>6</w:t>
        </w:r>
      </w:fldSimple>
      <w:r>
        <w:rPr>
          <w:rFonts w:eastAsiaTheme="minorEastAsia"/>
          <w:szCs w:val="28"/>
        </w:rPr>
        <w:t xml:space="preserve">) y los límites del </w:t>
      </w:r>
      <w:r>
        <w:rPr>
          <w:rFonts w:eastAsiaTheme="minorEastAsia"/>
          <w:i/>
          <w:szCs w:val="28"/>
        </w:rPr>
        <w:t>slew-rate</w:t>
      </w:r>
      <w:r>
        <w:rPr>
          <w:rFonts w:eastAsiaTheme="minorEastAsia"/>
          <w:szCs w:val="28"/>
        </w:rPr>
        <w:t xml:space="preserve"> van a estar limitados por la capacidad de carga y descarga de capacitores por parte de los comparadores.</w:t>
      </w:r>
    </w:p>
    <w:p w:rsidR="0030599C" w:rsidRDefault="0030599C" w:rsidP="0030599C">
      <w:pPr>
        <w:pStyle w:val="Epgrafe"/>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61618D" w:rsidRDefault="0030599C" w:rsidP="0030599C">
      <w:pPr>
        <w:pStyle w:val="Epgrafe"/>
      </w:pPr>
      <w:bookmarkStart w:id="5" w:name="_Ref256173343"/>
      <w:r>
        <w:t xml:space="preserve">Figura </w:t>
      </w:r>
      <w:fldSimple w:instr=" SEQ Figura \* ARABIC ">
        <w:r w:rsidR="00EF4DC3">
          <w:rPr>
            <w:noProof/>
          </w:rPr>
          <w:t>6</w:t>
        </w:r>
      </w:fldSimple>
      <w:bookmarkEnd w:id="5"/>
      <w:r>
        <w:t>) Respuesta transitoria de pequeña señal del comparador.</w:t>
      </w:r>
    </w:p>
    <w:p w:rsidR="0030599C" w:rsidRPr="0030599C" w:rsidRDefault="0030599C" w:rsidP="0030599C">
      <w:pPr>
        <w:pStyle w:val="Ttulo3"/>
        <w:pBdr>
          <w:top w:val="single" w:sz="4" w:space="1" w:color="auto"/>
          <w:bottom w:val="single" w:sz="4" w:space="1" w:color="auto"/>
        </w:pBdr>
      </w:pPr>
      <w:r w:rsidRPr="0030599C">
        <w:lastRenderedPageBreak/>
        <w:t>INVERSOR</w:t>
      </w:r>
    </w:p>
    <w:p w:rsidR="0030599C" w:rsidRDefault="0030599C" w:rsidP="0030599C">
      <w:r>
        <w:t xml:space="preserve">El inversor CMOS es el bloque básico de diseño de circuitos digitales. En la </w:t>
      </w:r>
      <w:fldSimple w:instr=" REF _Ref256413447 \h  \* MERGEFORMAT ">
        <w:r w:rsidR="00EF4DC3" w:rsidRPr="00EF4DC3">
          <w:rPr>
            <w:color w:val="4F81BD" w:themeColor="accent1"/>
          </w:rPr>
          <w:t xml:space="preserve">Figura </w:t>
        </w:r>
        <w:r w:rsidR="00EF4DC3" w:rsidRPr="00EF4DC3">
          <w:rPr>
            <w:noProof/>
            <w:color w:val="4F81BD" w:themeColor="accent1"/>
          </w:rPr>
          <w:t>7</w:t>
        </w:r>
      </w:fldSimple>
      <w:r>
        <w:t xml:space="preserve"> se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30599C">
      <w:pPr>
        <w:pStyle w:val="Epgrafe"/>
      </w:pPr>
      <w:r>
        <w:rPr>
          <w:noProof/>
          <w:lang w:eastAsia="es-AR"/>
        </w:rPr>
        <w:drawing>
          <wp:inline distT="0" distB="0" distL="0" distR="0">
            <wp:extent cx="2387720" cy="840587"/>
            <wp:effectExtent l="19050" t="0" r="0" b="0"/>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4" cstate="print"/>
                    <a:srcRect/>
                    <a:stretch>
                      <a:fillRect/>
                    </a:stretch>
                  </pic:blipFill>
                  <pic:spPr bwMode="auto">
                    <a:xfrm>
                      <a:off x="0" y="0"/>
                      <a:ext cx="2384724" cy="839532"/>
                    </a:xfrm>
                    <a:prstGeom prst="rect">
                      <a:avLst/>
                    </a:prstGeom>
                    <a:noFill/>
                    <a:ln w="9525">
                      <a:noFill/>
                      <a:miter lim="800000"/>
                      <a:headEnd/>
                      <a:tailEnd/>
                    </a:ln>
                  </pic:spPr>
                </pic:pic>
              </a:graphicData>
            </a:graphic>
          </wp:inline>
        </w:drawing>
      </w:r>
    </w:p>
    <w:p w:rsidR="0030599C" w:rsidRDefault="0030599C" w:rsidP="0030599C">
      <w:pPr>
        <w:pStyle w:val="Epgrafe"/>
      </w:pPr>
      <w:bookmarkStart w:id="6" w:name="_Ref256413447"/>
      <w:r>
        <w:t xml:space="preserve">Figura </w:t>
      </w:r>
      <w:fldSimple w:instr=" SEQ Figura \* ARABIC ">
        <w:r w:rsidR="00EF4DC3">
          <w:rPr>
            <w:noProof/>
          </w:rPr>
          <w:t>7</w:t>
        </w:r>
      </w:fldSimple>
      <w:bookmarkEnd w:id="6"/>
      <w:r>
        <w:t>) Esquemático y Símbolo del Inversor</w:t>
      </w:r>
    </w:p>
    <w:p w:rsidR="0030599C" w:rsidRDefault="0030599C" w:rsidP="0030599C">
      <w:pPr>
        <w:rPr>
          <w:b/>
          <w:i/>
        </w:rPr>
      </w:pPr>
      <w:r>
        <w:rPr>
          <w:b/>
          <w:i/>
        </w:rPr>
        <w:t>Características DC de la compuerta inversora</w:t>
      </w:r>
    </w:p>
    <w:p w:rsidR="0030599C" w:rsidRDefault="0030599C" w:rsidP="0030599C">
      <w:r>
        <w:t xml:space="preserve">Considerando la curva de transferencia de la </w:t>
      </w:r>
      <w:fldSimple w:instr=" REF _Ref256413469 \h  \* MERGEFORMAT ">
        <w:r w:rsidR="00EF4DC3" w:rsidRPr="00EF4DC3">
          <w:rPr>
            <w:color w:val="4F81BD" w:themeColor="accent1"/>
          </w:rPr>
          <w:t xml:space="preserve">Figura </w:t>
        </w:r>
        <w:r w:rsidR="00EF4DC3" w:rsidRPr="00EF4DC3">
          <w:rPr>
            <w:noProof/>
            <w:color w:val="4F81BD" w:themeColor="accent1"/>
          </w:rPr>
          <w:t>8</w:t>
        </w:r>
      </w:fldSimple>
      <w:r>
        <w:rPr>
          <w:color w:val="FF0000"/>
        </w:rPr>
        <w:t xml:space="preserve"> </w:t>
      </w:r>
      <w:r>
        <w:t>de la compuerta inversora, podemos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30599C">
      <w:pPr>
        <w:pStyle w:val="Epgrafe"/>
      </w:pPr>
      <w:r>
        <w:rPr>
          <w:noProof/>
          <w:lang w:eastAsia="es-AR"/>
        </w:rPr>
        <w:drawing>
          <wp:inline distT="0" distB="0" distL="0" distR="0">
            <wp:extent cx="3500527" cy="1560573"/>
            <wp:effectExtent l="19050" t="0" r="4673" b="1527"/>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5" cstate="print"/>
                    <a:srcRect/>
                    <a:stretch>
                      <a:fillRect/>
                    </a:stretch>
                  </pic:blipFill>
                  <pic:spPr bwMode="auto">
                    <a:xfrm>
                      <a:off x="0" y="0"/>
                      <a:ext cx="3500376" cy="1560506"/>
                    </a:xfrm>
                    <a:prstGeom prst="rect">
                      <a:avLst/>
                    </a:prstGeom>
                    <a:noFill/>
                    <a:ln w="9525">
                      <a:noFill/>
                      <a:miter lim="800000"/>
                      <a:headEnd/>
                      <a:tailEnd/>
                    </a:ln>
                  </pic:spPr>
                </pic:pic>
              </a:graphicData>
            </a:graphic>
          </wp:inline>
        </w:drawing>
      </w:r>
    </w:p>
    <w:p w:rsidR="0030599C" w:rsidRDefault="0030599C" w:rsidP="0030599C">
      <w:pPr>
        <w:pStyle w:val="Epgrafe"/>
      </w:pPr>
      <w:bookmarkStart w:id="7" w:name="_Ref256413469"/>
      <w:r>
        <w:t xml:space="preserve">Figura </w:t>
      </w:r>
      <w:fldSimple w:instr=" SEQ Figura \* ARABIC ">
        <w:r w:rsidR="00EF4DC3">
          <w:rPr>
            <w:noProof/>
          </w:rPr>
          <w:t>8</w:t>
        </w:r>
      </w:fldSimple>
      <w:bookmarkEnd w:id="7"/>
      <w:r>
        <w:t>) Esquemático y CTV del inversor.</w:t>
      </w:r>
    </w:p>
    <w:p w:rsidR="0030599C" w:rsidRDefault="0030599C" w:rsidP="0030599C">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30599C">
      <w:pPr>
        <w:rPr>
          <w:i/>
          <w:u w:val="single"/>
        </w:rPr>
      </w:pPr>
      <w:r w:rsidRPr="00EB3749">
        <w:rPr>
          <w:i/>
          <w:u w:val="single"/>
        </w:rPr>
        <w:t>Márgenes de ruido:</w:t>
      </w:r>
    </w:p>
    <w:p w:rsidR="0030599C" w:rsidRDefault="0030599C" w:rsidP="0030599C">
      <w:r>
        <w:t xml:space="preserve">El margen de ruido de un circuito o compuerta digital indica que tan bien se va a desempeñar la entrada de los transistores (GATE) bajo condiciones de ruido. </w:t>
      </w:r>
    </w:p>
    <w:p w:rsidR="0030599C" w:rsidRDefault="00AF480B"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AF480B"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30599C">
      <w:pPr>
        <w:rPr>
          <w:i/>
          <w:u w:val="single"/>
        </w:rPr>
      </w:pPr>
      <w:r w:rsidRPr="00EB3749">
        <w:rPr>
          <w:i/>
          <w:u w:val="single"/>
        </w:rPr>
        <w:t>Punto de transición:</w:t>
      </w:r>
    </w:p>
    <w:p w:rsidR="0030599C" w:rsidRDefault="0030599C" w:rsidP="0030599C">
      <w:r>
        <w:t xml:space="preserve">Considerando la función de transferencia de voltaje representada en la </w:t>
      </w:r>
      <w:fldSimple w:instr=" REF _Ref256413750 \h  \* MERGEFORMAT ">
        <w:r w:rsidR="00EF4DC3" w:rsidRPr="00EF4DC3">
          <w:rPr>
            <w:color w:val="4F81BD" w:themeColor="accent1"/>
          </w:rPr>
          <w:t xml:space="preserve">Figura </w:t>
        </w:r>
        <w:r w:rsidR="00EF4DC3" w:rsidRPr="00EF4DC3">
          <w:rPr>
            <w:noProof/>
            <w:color w:val="4F81BD" w:themeColor="accent1"/>
          </w:rPr>
          <w:t>9</w:t>
        </w:r>
      </w:fldSimple>
      <w:r>
        <w:t xml:space="preserve">, el punto C corresponde al punto de la curva en el que los voltajes de entrada y salida son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30599C" w:rsidRDefault="00AF480B" w:rsidP="0030599C">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30599C" w:rsidRDefault="0030599C" w:rsidP="0030599C">
      <w:pPr>
        <w:pStyle w:val="Epgrafe"/>
      </w:pPr>
      <w:r>
        <w:rPr>
          <w:rFonts w:eastAsiaTheme="minorEastAsia"/>
          <w:noProof/>
          <w:lang w:eastAsia="es-AR"/>
        </w:rPr>
        <w:drawing>
          <wp:inline distT="0" distB="0" distL="0" distR="0">
            <wp:extent cx="2762250" cy="1500234"/>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6" cstate="print"/>
                    <a:srcRect/>
                    <a:stretch>
                      <a:fillRect/>
                    </a:stretch>
                  </pic:blipFill>
                  <pic:spPr bwMode="auto">
                    <a:xfrm>
                      <a:off x="0" y="0"/>
                      <a:ext cx="2762226" cy="1500221"/>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rPr>
      </w:pPr>
      <w:bookmarkStart w:id="8" w:name="_Ref256413750"/>
      <w:r>
        <w:t xml:space="preserve">Figura </w:t>
      </w:r>
      <w:fldSimple w:instr=" SEQ Figura \* ARABIC ">
        <w:r w:rsidR="00EF4DC3">
          <w:rPr>
            <w:noProof/>
          </w:rPr>
          <w:t>9</w:t>
        </w:r>
      </w:fldSimple>
      <w:bookmarkEnd w:id="8"/>
      <w:r>
        <w:t>) Curva de transferencia de tensión VTC del inversor (V</w:t>
      </w:r>
      <w:r w:rsidRPr="00D359CF">
        <w:rPr>
          <w:vertAlign w:val="subscript"/>
        </w:rPr>
        <w:t>SP</w:t>
      </w:r>
      <w:r>
        <w:t>)</w:t>
      </w:r>
      <w:r>
        <w:rPr>
          <w:rFonts w:eastAsiaTheme="minorEastAsia"/>
        </w:rPr>
        <w:t xml:space="preserve"> </w:t>
      </w:r>
    </w:p>
    <w:p w:rsidR="0030599C" w:rsidRDefault="0030599C" w:rsidP="0030599C">
      <w:pPr>
        <w:rPr>
          <w:b/>
          <w:i/>
        </w:rPr>
      </w:pPr>
      <w:r>
        <w:rPr>
          <w:b/>
          <w:i/>
        </w:rPr>
        <w:t>Características de Transición de la compuerta inversora</w:t>
      </w:r>
    </w:p>
    <w:p w:rsidR="0030599C" w:rsidRDefault="0030599C" w:rsidP="0030599C">
      <w:r>
        <w:t>El comportamiento transitorio del inversor puede ser generalizado examinando las capacidades parasitas y las resistencias asociadas con el mismo (</w:t>
      </w:r>
      <w:fldSimple w:instr=" REF _Ref256413767 \h  \* MERGEFORMAT ">
        <w:r w:rsidR="00EF4DC3" w:rsidRPr="00EF4DC3">
          <w:rPr>
            <w:color w:val="4F81BD" w:themeColor="accent1"/>
          </w:rPr>
          <w:t xml:space="preserve">Figura </w:t>
        </w:r>
        <w:r w:rsidR="00EF4DC3" w:rsidRPr="00EF4DC3">
          <w:rPr>
            <w:noProof/>
            <w:color w:val="4F81BD" w:themeColor="accent1"/>
          </w:rPr>
          <w:t>10</w:t>
        </w:r>
      </w:fldSimple>
      <w:r>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AF480B"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30599C">
      <w:pPr>
        <w:rPr>
          <w:rFonts w:eastAsiaTheme="minorEastAsia"/>
        </w:rPr>
      </w:pPr>
      <w:r>
        <w:rPr>
          <w:rFonts w:eastAsiaTheme="minorEastAsia"/>
        </w:rPr>
        <w:t>Y el tiempo de propagación intrínseco de la compuerta:</w:t>
      </w:r>
    </w:p>
    <w:p w:rsidR="0030599C" w:rsidRDefault="00AF480B"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AF480B"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30599C">
      <w:pPr>
        <w:pStyle w:val="Epgrafe"/>
      </w:pPr>
      <w:r>
        <w:rPr>
          <w:rFonts w:eastAsiaTheme="minorEastAsia"/>
          <w:noProof/>
          <w:lang w:eastAsia="es-AR"/>
        </w:rPr>
        <w:lastRenderedPageBreak/>
        <w:drawing>
          <wp:inline distT="0" distB="0" distL="0" distR="0">
            <wp:extent cx="3215856" cy="1375154"/>
            <wp:effectExtent l="19050" t="0" r="3594"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7" cstate="print"/>
                    <a:srcRect/>
                    <a:stretch>
                      <a:fillRect/>
                    </a:stretch>
                  </pic:blipFill>
                  <pic:spPr bwMode="auto">
                    <a:xfrm>
                      <a:off x="0" y="0"/>
                      <a:ext cx="3220594" cy="1377180"/>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rPr>
      </w:pPr>
      <w:bookmarkStart w:id="9" w:name="_Ref256413767"/>
      <w:r>
        <w:t xml:space="preserve">Figura </w:t>
      </w:r>
      <w:fldSimple w:instr=" SEQ Figura \* ARABIC ">
        <w:r w:rsidR="00EF4DC3">
          <w:rPr>
            <w:noProof/>
          </w:rPr>
          <w:t>10</w:t>
        </w:r>
      </w:fldSimple>
      <w:bookmarkEnd w:id="9"/>
      <w:r>
        <w:t>) Esquemático y modelo transitorio del inversor.</w:t>
      </w:r>
      <w:r w:rsidRPr="00A415BF">
        <w:rPr>
          <w:rFonts w:eastAsiaTheme="minorEastAsia"/>
        </w:rPr>
        <w:t xml:space="preserve"> </w:t>
      </w:r>
    </w:p>
    <w:p w:rsidR="0030599C" w:rsidRPr="00AE6FD2" w:rsidRDefault="0030599C" w:rsidP="0030599C">
      <w:pPr>
        <w:pStyle w:val="Ttulo3"/>
        <w:pBdr>
          <w:top w:val="single" w:sz="4" w:space="1" w:color="auto"/>
          <w:bottom w:val="single" w:sz="4" w:space="1" w:color="auto"/>
        </w:pBdr>
      </w:pPr>
      <w:r>
        <w:t>COMPUERTAS</w:t>
      </w:r>
    </w:p>
    <w:p w:rsidR="0030599C" w:rsidRDefault="0030599C" w:rsidP="0030599C">
      <w:r>
        <w:t xml:space="preserve">El esquemático de las compuertas NAND de 2 entradas se muestra en la </w:t>
      </w:r>
      <w:fldSimple w:instr=" REF _Ref256413842 \h  \* MERGEFORMAT ">
        <w:r w:rsidR="00EF4DC3" w:rsidRPr="00EF4DC3">
          <w:rPr>
            <w:color w:val="4F81BD" w:themeColor="accent1"/>
          </w:rPr>
          <w:t xml:space="preserve">Figura </w:t>
        </w:r>
        <w:r w:rsidR="00EF4DC3" w:rsidRPr="00EF4DC3">
          <w:rPr>
            <w:noProof/>
            <w:color w:val="4F81BD" w:themeColor="accent1"/>
          </w:rPr>
          <w:t>11</w:t>
        </w:r>
      </w:fldSimple>
      <w:r>
        <w:t xml:space="preserve">. Cada entrada está conectada al </w:t>
      </w:r>
      <w:r>
        <w:rPr>
          <w:i/>
        </w:rPr>
        <w:t>Gate</w:t>
      </w:r>
      <w:r>
        <w:t xml:space="preserve"> de un PMOS y de un NMOS.</w:t>
      </w:r>
    </w:p>
    <w:p w:rsidR="0030599C" w:rsidRDefault="0030599C" w:rsidP="0030599C">
      <w:pPr>
        <w:jc w:val="center"/>
      </w:pPr>
      <w:r>
        <w:rPr>
          <w:noProof/>
          <w:lang w:eastAsia="es-AR"/>
        </w:rPr>
        <w:drawing>
          <wp:inline distT="0" distB="0" distL="0" distR="0">
            <wp:extent cx="2422226" cy="1286752"/>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13" b="50110"/>
                    <a:stretch>
                      <a:fillRect/>
                    </a:stretch>
                  </pic:blipFill>
                  <pic:spPr bwMode="auto">
                    <a:xfrm>
                      <a:off x="0" y="0"/>
                      <a:ext cx="2428298" cy="1289978"/>
                    </a:xfrm>
                    <a:prstGeom prst="rect">
                      <a:avLst/>
                    </a:prstGeom>
                    <a:noFill/>
                    <a:ln w="9525">
                      <a:noFill/>
                      <a:miter lim="800000"/>
                      <a:headEnd/>
                      <a:tailEnd/>
                    </a:ln>
                  </pic:spPr>
                </pic:pic>
              </a:graphicData>
            </a:graphic>
          </wp:inline>
        </w:drawing>
      </w:r>
    </w:p>
    <w:p w:rsidR="0030599C" w:rsidRDefault="0030599C" w:rsidP="0030599C">
      <w:pPr>
        <w:pStyle w:val="Epgrafe"/>
      </w:pPr>
      <w:bookmarkStart w:id="10" w:name="_Ref256413842"/>
      <w:r>
        <w:t xml:space="preserve">Figura </w:t>
      </w:r>
      <w:fldSimple w:instr=" SEQ Figura \* ARABIC ">
        <w:r w:rsidR="00EF4DC3">
          <w:rPr>
            <w:noProof/>
          </w:rPr>
          <w:t>11</w:t>
        </w:r>
      </w:fldSimple>
      <w:bookmarkEnd w:id="10"/>
      <w:r>
        <w:t>) Esquemático y símbolos lógicos de compuertas NAND.</w:t>
      </w:r>
    </w:p>
    <w:p w:rsidR="0030599C" w:rsidRPr="00BD54FA" w:rsidRDefault="0030599C" w:rsidP="0030599C">
      <w:pPr>
        <w:rPr>
          <w:b/>
          <w:i/>
        </w:rPr>
      </w:pPr>
      <w:r w:rsidRPr="00BD54FA">
        <w:rPr>
          <w:b/>
          <w:i/>
        </w:rPr>
        <w:t>Características DC de la compuerta NAND</w:t>
      </w:r>
    </w:p>
    <w:p w:rsidR="0030599C" w:rsidRDefault="0030599C" w:rsidP="0030599C">
      <w:r>
        <w:t xml:space="preserve">Para que la salida de la compuerta NAND de la </w:t>
      </w:r>
      <w:fldSimple w:instr=" REF _Ref256413842 \h  \* MERGEFORMAT ">
        <w:r w:rsidR="00EF4DC3" w:rsidRPr="00EF4DC3">
          <w:rPr>
            <w:color w:val="4F81BD" w:themeColor="accent1"/>
          </w:rPr>
          <w:t xml:space="preserve">Figura </w:t>
        </w:r>
        <w:r w:rsidR="00EF4DC3" w:rsidRPr="00EF4DC3">
          <w:rPr>
            <w:noProof/>
            <w:color w:val="4F81BD" w:themeColor="accent1"/>
          </w:rPr>
          <w:t>11</w:t>
        </w:r>
      </w:fldSimple>
      <w:r>
        <w:t xml:space="preserve"> cambie el estado a nivel bajo (CERO lógico), es necesario que ambas entradas se encuentren en el estado lógico alto (UNO lógico).</w:t>
      </w:r>
    </w:p>
    <w:p w:rsidR="0030599C" w:rsidRDefault="0030599C" w:rsidP="0030599C">
      <w:r>
        <w:t xml:space="preserve">La curva de transferencia de voltaje (VTC o </w:t>
      </w:r>
      <w:r>
        <w:rPr>
          <w:i/>
        </w:rPr>
        <w:t>Voltaje-Transfer-Curve</w:t>
      </w:r>
      <w:r>
        <w:t>)</w:t>
      </w:r>
      <w:r>
        <w:rPr>
          <w:i/>
        </w:rPr>
        <w:t xml:space="preserve"> </w:t>
      </w:r>
      <w:r>
        <w:t>de la compuerta NAND (</w:t>
      </w:r>
      <w:fldSimple w:instr=" REF _Ref256414063 \h  \* MERGEFORMAT ">
        <w:r w:rsidR="00EF4DC3" w:rsidRPr="00EF4DC3">
          <w:rPr>
            <w:color w:val="4F81BD" w:themeColor="accent1"/>
          </w:rPr>
          <w:t xml:space="preserve">Figura </w:t>
        </w:r>
        <w:r w:rsidR="00EF4DC3" w:rsidRPr="00EF4DC3">
          <w:rPr>
            <w:noProof/>
            <w:color w:val="4F81BD" w:themeColor="accent1"/>
          </w:rPr>
          <w:t>12</w:t>
        </w:r>
      </w:fldSimple>
      <w:r>
        <w:t xml:space="preserve">)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30599C" w:rsidRDefault="0030599C" w:rsidP="0030599C">
      <w:r>
        <w:t xml:space="preserve">Para el paralelo de los dos PMOS de la </w:t>
      </w:r>
      <w:fldSimple w:instr=" REF _Ref256413842 \h  \* MERGEFORMAT ">
        <w:r w:rsidR="00EF4DC3" w:rsidRPr="00EF4DC3">
          <w:rPr>
            <w:color w:val="4F81BD" w:themeColor="accent1"/>
          </w:rPr>
          <w:t xml:space="preserve">Figura </w:t>
        </w:r>
        <w:r w:rsidR="00EF4DC3" w:rsidRPr="00EF4DC3">
          <w:rPr>
            <w:noProof/>
            <w:color w:val="4F81BD" w:themeColor="accent1"/>
          </w:rPr>
          <w:t>11</w:t>
        </w:r>
      </w:fldSimple>
      <w:r>
        <w:t>, podemos escribir:</w:t>
      </w:r>
    </w:p>
    <w:p w:rsidR="0030599C" w:rsidRDefault="00AF480B" w:rsidP="0030599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p w:rsidR="0030599C" w:rsidRDefault="0030599C" w:rsidP="0030599C">
      <w:pPr>
        <w:rPr>
          <w:rFonts w:eastAsiaTheme="minorEastAsia"/>
        </w:rPr>
      </w:pPr>
      <w:r>
        <w:rPr>
          <w:rFonts w:eastAsiaTheme="minorEastAsia"/>
        </w:rPr>
        <w:t>Asumiendo que todos los PMOS están igualmente dimensionados. La transconductancia de estos MOSFETs también puede ser combinada y escribirla como:</w:t>
      </w:r>
    </w:p>
    <w:p w:rsidR="0030599C" w:rsidRDefault="00AF480B" w:rsidP="0030599C">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m:oMathPara>
    </w:p>
    <w:p w:rsidR="0030599C" w:rsidRDefault="0030599C" w:rsidP="0030599C">
      <w:r>
        <w:t xml:space="preserve">Los dos NMOS conectados en serie (con sus </w:t>
      </w:r>
      <w:r>
        <w:rPr>
          <w:i/>
        </w:rPr>
        <w:t>Gates</w:t>
      </w:r>
      <w:r>
        <w:t xml:space="preserve"> conectadas entre si) lo podemos escribir como:</w:t>
      </w:r>
    </w:p>
    <w:p w:rsidR="0030599C" w:rsidRDefault="00AF480B" w:rsidP="0030599C">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rsidR="0030599C" w:rsidRDefault="0030599C" w:rsidP="0030599C">
      <w:r>
        <w:lastRenderedPageBreak/>
        <w:t>Y su transconductancia quedaría como:</w:t>
      </w:r>
    </w:p>
    <w:p w:rsidR="0030599C" w:rsidRDefault="00AF480B" w:rsidP="0030599C">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m:oMathPara>
    </w:p>
    <w:p w:rsidR="0030599C" w:rsidRDefault="0030599C" w:rsidP="0030599C">
      <w:r>
        <w:t>Debido a la configuración del modelo, podemos escribir la transconductancia total de la compuerta NAND como:</w:t>
      </w:r>
    </w:p>
    <w:p w:rsidR="0030599C" w:rsidRDefault="0030599C" w:rsidP="0030599C">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30599C" w:rsidRDefault="0030599C" w:rsidP="0030599C">
      <w:pPr>
        <w:rPr>
          <w:rFonts w:eastAsiaTheme="minorEastAsia"/>
        </w:rPr>
      </w:pPr>
      <w:r>
        <w:rPr>
          <w:rFonts w:eastAsiaTheme="minorEastAsia"/>
        </w:rPr>
        <w:t>Ahora podemos determinar el valor de cambio de estado para compuertas NAND de “n” entradas como:</w:t>
      </w:r>
    </w:p>
    <w:p w:rsidR="0030599C" w:rsidRDefault="00AF480B"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30599C">
      <w:r>
        <w:t>Esta ecuación es derivada bajo la consideración que todas las entradas estén conectadas entre sí.</w:t>
      </w:r>
    </w:p>
    <w:p w:rsidR="0030599C" w:rsidRDefault="0030599C" w:rsidP="0030599C">
      <w:pPr>
        <w:jc w:val="center"/>
      </w:pPr>
      <w:r>
        <w:rPr>
          <w:noProof/>
          <w:lang w:eastAsia="es-AR"/>
        </w:rPr>
        <w:drawing>
          <wp:inline distT="0" distB="0" distL="0" distR="0">
            <wp:extent cx="3002562" cy="1312600"/>
            <wp:effectExtent l="38100" t="38100" r="7338" b="2090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60000">
                      <a:off x="0" y="0"/>
                      <a:ext cx="3006935" cy="1314512"/>
                    </a:xfrm>
                    <a:prstGeom prst="rect">
                      <a:avLst/>
                    </a:prstGeom>
                    <a:noFill/>
                    <a:ln w="9525">
                      <a:noFill/>
                      <a:miter lim="800000"/>
                      <a:headEnd/>
                      <a:tailEnd/>
                    </a:ln>
                  </pic:spPr>
                </pic:pic>
              </a:graphicData>
            </a:graphic>
          </wp:inline>
        </w:drawing>
      </w:r>
    </w:p>
    <w:p w:rsidR="0030599C" w:rsidRDefault="0030599C" w:rsidP="0030599C">
      <w:pPr>
        <w:pStyle w:val="Epgrafe"/>
      </w:pPr>
      <w:bookmarkStart w:id="11" w:name="_Ref256414063"/>
      <w:r>
        <w:t xml:space="preserve">Figura </w:t>
      </w:r>
      <w:fldSimple w:instr=" SEQ Figura \* ARABIC ">
        <w:r w:rsidR="00EF4DC3">
          <w:rPr>
            <w:noProof/>
          </w:rPr>
          <w:t>12</w:t>
        </w:r>
      </w:fldSimple>
      <w:bookmarkEnd w:id="11"/>
      <w:r>
        <w:t>) VTC de una compuerta NAND de 3 entradas.</w:t>
      </w:r>
    </w:p>
    <w:p w:rsidR="0030599C" w:rsidRDefault="0030599C" w:rsidP="0030599C">
      <w:pPr>
        <w:rPr>
          <w:b/>
          <w:i/>
        </w:rPr>
      </w:pPr>
      <w:r w:rsidRPr="00BD54FA">
        <w:rPr>
          <w:b/>
          <w:i/>
        </w:rPr>
        <w:t xml:space="preserve">Características </w:t>
      </w:r>
      <w:r>
        <w:rPr>
          <w:b/>
          <w:i/>
        </w:rPr>
        <w:t>de Switching de la compuerta NAND</w:t>
      </w:r>
    </w:p>
    <w:p w:rsidR="0030599C" w:rsidRDefault="0030599C" w:rsidP="0030599C">
      <w:r>
        <w:rPr>
          <w:noProof/>
          <w:lang w:eastAsia="es-AR"/>
        </w:rPr>
        <w:drawing>
          <wp:inline distT="0" distB="0" distL="0" distR="0">
            <wp:extent cx="1403736" cy="595223"/>
            <wp:effectExtent l="19050" t="0" r="5964"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408650" cy="597307"/>
                    </a:xfrm>
                    <a:prstGeom prst="rect">
                      <a:avLst/>
                    </a:prstGeom>
                    <a:noFill/>
                    <a:ln w="9525">
                      <a:noFill/>
                      <a:miter lim="800000"/>
                      <a:headEnd/>
                      <a:tailEnd/>
                    </a:ln>
                  </pic:spPr>
                </pic:pic>
              </a:graphicData>
            </a:graphic>
          </wp:inline>
        </w:drawing>
      </w:r>
    </w:p>
    <w:p w:rsidR="0030599C" w:rsidRDefault="0030599C" w:rsidP="0030599C">
      <w:pPr>
        <w:pStyle w:val="Epgrafe"/>
      </w:pPr>
      <w:bookmarkStart w:id="12" w:name="_Ref256414259"/>
      <w:r>
        <w:t xml:space="preserve">Figura </w:t>
      </w:r>
      <w:fldSimple w:instr=" SEQ Figura \* ARABIC ">
        <w:r w:rsidR="00EF4DC3">
          <w:rPr>
            <w:noProof/>
          </w:rPr>
          <w:t>13</w:t>
        </w:r>
      </w:fldSimple>
      <w:bookmarkEnd w:id="12"/>
      <w:r>
        <w:t>) Compuerta NAND de N entradas con una Capacitancia C</w:t>
      </w:r>
      <w:r w:rsidRPr="000150FA">
        <w:rPr>
          <w:vertAlign w:val="subscript"/>
        </w:rPr>
        <w:t>load</w:t>
      </w:r>
      <w:r>
        <w:t xml:space="preserve"> como carga.</w:t>
      </w:r>
    </w:p>
    <w:p w:rsidR="0030599C" w:rsidRDefault="0030599C" w:rsidP="0030599C">
      <w:pPr>
        <w:rPr>
          <w:rFonts w:eastAsiaTheme="minorEastAsia"/>
        </w:rPr>
      </w:pPr>
      <w:r>
        <w:t xml:space="preserve">Considerando la compuerta NAND de N entradas de la </w:t>
      </w:r>
      <w:fldSimple w:instr=" REF _Ref256414259 \h  \* MERGEFORMAT ">
        <w:r w:rsidR="00EF4DC3" w:rsidRPr="00EF4DC3">
          <w:rPr>
            <w:color w:val="4F81BD" w:themeColor="accent1"/>
          </w:rPr>
          <w:t xml:space="preserve">Figura </w:t>
        </w:r>
        <w:r w:rsidR="00EF4DC3" w:rsidRPr="00EF4DC3">
          <w:rPr>
            <w:noProof/>
            <w:color w:val="4F81BD" w:themeColor="accent1"/>
          </w:rPr>
          <w:t>13</w:t>
        </w:r>
      </w:fldSimple>
      <w:r>
        <w:t xml:space="preserve">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AF480B"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30599C">
      <w:pPr>
        <w:rPr>
          <w:rFonts w:eastAsiaTheme="minorEastAsia"/>
        </w:rPr>
      </w:pPr>
      <w:r>
        <w:rPr>
          <w:rFonts w:eastAsiaTheme="minorEastAsia"/>
        </w:rPr>
        <w:t>Y el tiempo de propagación de nivel alto a bajo quedaría:</w:t>
      </w:r>
    </w:p>
    <w:p w:rsidR="0030599C" w:rsidRPr="00043B40" w:rsidRDefault="00AF480B"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30599C">
      <w:r>
        <w:rPr>
          <w:noProof/>
          <w:lang w:eastAsia="es-AR"/>
        </w:rPr>
        <w:drawing>
          <wp:inline distT="0" distB="0" distL="0" distR="0">
            <wp:extent cx="3212681" cy="1349758"/>
            <wp:effectExtent l="19050" t="0" r="6769"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30599C" w:rsidRDefault="0030599C" w:rsidP="0030599C">
      <w:pPr>
        <w:pStyle w:val="Epgrafe"/>
      </w:pPr>
      <w:r>
        <w:t xml:space="preserve">Figura </w:t>
      </w:r>
      <w:fldSimple w:instr=" SEQ Figura \* ARABIC ">
        <w:r w:rsidR="00EF4DC3">
          <w:rPr>
            <w:noProof/>
          </w:rPr>
          <w:t>14</w:t>
        </w:r>
      </w:fldSimple>
      <w:r>
        <w:t>) Simulación de una compuerta NAND de 3 entradas con una capacitancia de carga de 50fF.</w:t>
      </w:r>
    </w:p>
    <w:p w:rsidR="0030599C" w:rsidRDefault="0030599C" w:rsidP="00213C1C">
      <w:pPr>
        <w:pStyle w:val="Ttulo3"/>
        <w:pBdr>
          <w:top w:val="single" w:sz="4" w:space="1" w:color="auto"/>
          <w:bottom w:val="single" w:sz="4" w:space="1" w:color="auto"/>
        </w:pBdr>
      </w:pPr>
      <w:r>
        <w:t>CONVERSOR</w:t>
      </w:r>
    </w:p>
    <w:p w:rsidR="0030599C" w:rsidRDefault="0030599C" w:rsidP="00FA4D0D">
      <w:pPr>
        <w:keepNext/>
      </w:pPr>
      <w:r>
        <w:t>Hay diversos algoritmos y formas de realizar un conversor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30599C">
      <w:r>
        <w:t>Clasificando a los ADCs según su velocidad de conversión, tenemos 3 categorías:</w:t>
      </w:r>
    </w:p>
    <w:p w:rsidR="0030599C" w:rsidRDefault="0030599C" w:rsidP="0030599C">
      <w:pPr>
        <w:pStyle w:val="Prrafodelista"/>
        <w:numPr>
          <w:ilvl w:val="0"/>
          <w:numId w:val="1"/>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30599C" w:rsidRDefault="0030599C" w:rsidP="0030599C">
      <w:pPr>
        <w:pStyle w:val="Prrafodelista"/>
        <w:numPr>
          <w:ilvl w:val="0"/>
          <w:numId w:val="1"/>
        </w:numPr>
      </w:pPr>
      <w:r>
        <w:rPr>
          <w:i/>
        </w:rPr>
        <w:t>ADCs de Media Velocidad</w:t>
      </w:r>
      <w:r w:rsidRPr="00644BCB">
        <w:t>:</w:t>
      </w:r>
      <w:r>
        <w:t xml:space="preserve"> para N-bits de ADCs se requieren N periodos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unas resoluciones de 10 a 14 bits.</w:t>
      </w:r>
    </w:p>
    <w:p w:rsidR="0030599C" w:rsidRDefault="0030599C" w:rsidP="0030599C">
      <w:pPr>
        <w:pStyle w:val="Prrafodelista"/>
        <w:numPr>
          <w:ilvl w:val="0"/>
          <w:numId w:val="1"/>
        </w:numPr>
      </w:pPr>
      <w:r w:rsidRPr="0030599C">
        <w:rPr>
          <w:i/>
        </w:rPr>
        <w:t>ADCs de Baja Velocidad</w:t>
      </w:r>
      <w:r w:rsidRPr="001321DF">
        <w:t>:</w:t>
      </w:r>
      <w:r>
        <w:t xml:space="preserve"> para resoluciones de N-bits se requieren aproximadamente 2</w:t>
      </w:r>
      <w:r w:rsidRPr="0030599C">
        <w:rPr>
          <w:vertAlign w:val="superscript"/>
        </w:rPr>
        <w:t>N</w:t>
      </w:r>
      <w:r>
        <w:t xml:space="preserve"> periodos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Default="0030599C" w:rsidP="0030599C">
      <w:pPr>
        <w:rPr>
          <w:b/>
          <w:sz w:val="28"/>
        </w:rPr>
      </w:pPr>
      <w:r w:rsidRPr="007E0DB6">
        <w:rPr>
          <w:b/>
          <w:sz w:val="28"/>
        </w:rPr>
        <w:t>PARAMETROS C</w:t>
      </w:r>
      <w:r>
        <w:rPr>
          <w:b/>
          <w:sz w:val="28"/>
        </w:rPr>
        <w:t>ARACTERISTICOS DEL CONVERSOR A/D</w:t>
      </w:r>
    </w:p>
    <w:p w:rsidR="0030599C" w:rsidRDefault="0030599C" w:rsidP="0030599C">
      <w:r>
        <w:t xml:space="preserve">El diagrama en bloque de un ADC se muestra en la </w:t>
      </w:r>
      <w:fldSimple w:instr=" REF _Ref256171752 \h  \* MERGEFORMAT ">
        <w:r w:rsidR="00EF4DC3" w:rsidRPr="00EF4DC3">
          <w:rPr>
            <w:color w:val="4F81BD" w:themeColor="accent1"/>
          </w:rPr>
          <w:t xml:space="preserve">Figura </w:t>
        </w:r>
        <w:r w:rsidR="00EF4DC3" w:rsidRPr="00EF4DC3">
          <w:rPr>
            <w:noProof/>
            <w:color w:val="4F81BD" w:themeColor="accent1"/>
          </w:rPr>
          <w:t>15</w:t>
        </w:r>
      </w:fldSimple>
      <w:r>
        <w:t xml:space="preserve">.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w:t>
      </w:r>
      <w:r>
        <w:lastRenderedPageBreak/>
        <w:t xml:space="preserve">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30599C" w:rsidRDefault="00AF480B" w:rsidP="0030599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30599C" w:rsidRDefault="0030599C" w:rsidP="0030599C">
      <w:pPr>
        <w:rPr>
          <w:rFonts w:eastAsiaTheme="minorEastAsia"/>
          <w:noProof/>
          <w:lang w:eastAsia="es-AR"/>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de cuantificacion generado por el número finito de bits </w:t>
      </w:r>
      <w:r>
        <w:rPr>
          <w:rFonts w:eastAsiaTheme="minorEastAsia"/>
          <w:i/>
        </w:rPr>
        <w:t>N</w:t>
      </w:r>
      <w:r>
        <w:rPr>
          <w:rFonts w:eastAsiaTheme="minorEastAsia"/>
        </w:rPr>
        <w:t xml:space="preserve"> usados en la conversión. Este error es inherente al proceso y puede ser reducido solamente aumentando el número de bits utilizados o reduciendo la tensión de referencia </w:t>
      </w:r>
      <w:r>
        <w:rPr>
          <w:rFonts w:eastAsiaTheme="minorEastAsia"/>
          <w:i/>
        </w:rPr>
        <w:t>V</w:t>
      </w:r>
      <w:r>
        <w:rPr>
          <w:rFonts w:eastAsiaTheme="minorEastAsia"/>
          <w:i/>
          <w:vertAlign w:val="subscript"/>
        </w:rPr>
        <w:t>ref</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29"/>
        <w:gridCol w:w="5225"/>
      </w:tblGrid>
      <w:tr w:rsidR="0030599C" w:rsidRPr="001215C0" w:rsidTr="00FA4D0D">
        <w:tc>
          <w:tcPr>
            <w:tcW w:w="3794" w:type="dxa"/>
            <w:vAlign w:val="bottom"/>
          </w:tcPr>
          <w:p w:rsidR="0030599C" w:rsidRPr="001215C0" w:rsidRDefault="0030599C" w:rsidP="00FA4D0D">
            <w:pPr>
              <w:jc w:val="center"/>
              <w:rPr>
                <w:rFonts w:eastAsiaTheme="minorEastAsia"/>
              </w:rPr>
            </w:pPr>
            <w:r w:rsidRPr="001215C0">
              <w:rPr>
                <w:rFonts w:eastAsiaTheme="minorEastAsia"/>
                <w:noProof/>
                <w:lang w:eastAsia="es-AR"/>
              </w:rPr>
              <w:drawing>
                <wp:inline distT="0" distB="0" distL="0" distR="0">
                  <wp:extent cx="2274796" cy="1078302"/>
                  <wp:effectExtent l="1905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295910" cy="1088311"/>
                          </a:xfrm>
                          <a:prstGeom prst="rect">
                            <a:avLst/>
                          </a:prstGeom>
                          <a:noFill/>
                          <a:ln w="9525">
                            <a:noFill/>
                            <a:miter lim="800000"/>
                            <a:headEnd/>
                            <a:tailEnd/>
                          </a:ln>
                        </pic:spPr>
                      </pic:pic>
                    </a:graphicData>
                  </a:graphic>
                </wp:inline>
              </w:drawing>
            </w:r>
          </w:p>
        </w:tc>
        <w:tc>
          <w:tcPr>
            <w:tcW w:w="5260"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497556" cy="2130725"/>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496496" cy="2129821"/>
                          </a:xfrm>
                          <a:prstGeom prst="rect">
                            <a:avLst/>
                          </a:prstGeom>
                          <a:noFill/>
                          <a:ln w="9525">
                            <a:noFill/>
                            <a:miter lim="800000"/>
                            <a:headEnd/>
                            <a:tailEnd/>
                          </a:ln>
                        </pic:spPr>
                      </pic:pic>
                    </a:graphicData>
                  </a:graphic>
                </wp:inline>
              </w:drawing>
            </w:r>
          </w:p>
        </w:tc>
      </w:tr>
      <w:tr w:rsidR="0030599C" w:rsidRPr="001215C0" w:rsidTr="00FA4D0D">
        <w:tc>
          <w:tcPr>
            <w:tcW w:w="3794" w:type="dxa"/>
          </w:tcPr>
          <w:p w:rsidR="0030599C" w:rsidRPr="001215C0" w:rsidRDefault="0030599C" w:rsidP="00FA4D0D">
            <w:pPr>
              <w:pStyle w:val="Epgrafe"/>
            </w:pPr>
            <w:bookmarkStart w:id="13" w:name="_Ref256171752"/>
            <w:r w:rsidRPr="001215C0">
              <w:t xml:space="preserve">Figura </w:t>
            </w:r>
            <w:fldSimple w:instr=" SEQ Figura \* ARABIC ">
              <w:r w:rsidR="00EF4DC3">
                <w:rPr>
                  <w:noProof/>
                </w:rPr>
                <w:t>15</w:t>
              </w:r>
            </w:fldSimple>
            <w:bookmarkEnd w:id="13"/>
            <w:r w:rsidRPr="001215C0">
              <w:t>) Diagrama en bloques del conversor analógico-digital.</w:t>
            </w:r>
          </w:p>
        </w:tc>
        <w:tc>
          <w:tcPr>
            <w:tcW w:w="5260" w:type="dxa"/>
          </w:tcPr>
          <w:p w:rsidR="0030599C" w:rsidRDefault="0030599C" w:rsidP="00FA4D0D">
            <w:pPr>
              <w:pStyle w:val="Epgrafe"/>
              <w:rPr>
                <w:rFonts w:eastAsiaTheme="minorEastAsia"/>
              </w:rPr>
            </w:pPr>
            <w:bookmarkStart w:id="14" w:name="_Ref256171773"/>
            <w:r>
              <w:t xml:space="preserve">Figura </w:t>
            </w:r>
            <w:fldSimple w:instr=" SEQ Figura \* ARABIC ">
              <w:r w:rsidR="00EF4DC3">
                <w:rPr>
                  <w:noProof/>
                </w:rPr>
                <w:t>16</w:t>
              </w:r>
            </w:fldSimple>
            <w:bookmarkEnd w:id="14"/>
            <w:r>
              <w:t>)</w:t>
            </w:r>
            <w:r w:rsidRPr="00065385">
              <w:rPr>
                <w:rFonts w:eastAsiaTheme="minorEastAsia"/>
              </w:rPr>
              <w:t xml:space="preserve"> </w:t>
            </w:r>
            <w:r>
              <w:rPr>
                <w:rFonts w:eastAsiaTheme="minorEastAsia"/>
              </w:rPr>
              <w:t>Función de transferencia de un ADC para 2 bits.</w:t>
            </w:r>
          </w:p>
          <w:p w:rsidR="0030599C" w:rsidRPr="001215C0" w:rsidRDefault="0030599C" w:rsidP="00FA4D0D">
            <w:pPr>
              <w:pStyle w:val="Epgrafe"/>
            </w:pPr>
          </w:p>
        </w:tc>
      </w:tr>
    </w:tbl>
    <w:p w:rsidR="0030599C" w:rsidRDefault="0030599C" w:rsidP="0030599C">
      <w:pPr>
        <w:rPr>
          <w:rFonts w:eastAsiaTheme="minorEastAsia"/>
        </w:rPr>
      </w:pPr>
    </w:p>
    <w:p w:rsidR="0030599C" w:rsidRPr="00065385" w:rsidRDefault="0030599C" w:rsidP="0030599C">
      <w:pPr>
        <w:rPr>
          <w:rFonts w:eastAsiaTheme="minorEastAsia"/>
        </w:rPr>
      </w:pPr>
      <w:r>
        <w:rPr>
          <w:rFonts w:eastAsiaTheme="minorEastAsia"/>
        </w:rPr>
        <w:t xml:space="preserve">La función de transferencia salida-entrada del conversor se ilustra en la </w:t>
      </w:r>
      <w:fldSimple w:instr=" REF _Ref256171773 \h  \* MERGEFORMAT ">
        <w:r w:rsidR="00EF4DC3" w:rsidRPr="00EF4DC3">
          <w:rPr>
            <w:color w:val="4F81BD" w:themeColor="accent1"/>
          </w:rPr>
          <w:t xml:space="preserve">Figura </w:t>
        </w:r>
        <w:r w:rsidR="00EF4DC3" w:rsidRPr="00EF4DC3">
          <w:rPr>
            <w:noProof/>
            <w:color w:val="4F81BD" w:themeColor="accent1"/>
          </w:rPr>
          <w:t>16</w:t>
        </w:r>
      </w:fldSimple>
      <w:r>
        <w:rPr>
          <w:rFonts w:eastAsiaTheme="minorEastAsia"/>
        </w:rPr>
        <w:t xml:space="preserve"> para N=2; el error de cuantizaci</w:t>
      </w:r>
      <w:r w:rsidR="00EB5C1E">
        <w:rPr>
          <w:rFonts w:eastAsiaTheme="minorEastAsia"/>
        </w:rPr>
        <w:t>ó</w:t>
      </w:r>
      <w:r>
        <w:rPr>
          <w:rFonts w:eastAsiaTheme="minorEastAsia"/>
        </w:rPr>
        <w:t xml:space="preserve">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la diferencia entre la curva solida en forma de escalera (la característica actual del dispositivo) y la línea punteada (que representa a la curva ideal para un número infinito de N). Definimos el Voltaje </w:t>
      </w:r>
      <w:r>
        <w:rPr>
          <w:rFonts w:eastAsiaTheme="minorEastAsia"/>
          <w:i/>
        </w:rPr>
        <w:t>Least-Significant-Bit (LSB o Bit Menos Significativo)</w:t>
      </w:r>
      <w:r>
        <w:rPr>
          <w:rFonts w:eastAsiaTheme="minorEastAsia"/>
        </w:rPr>
        <w:t xml:space="preserve">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/2</w:t>
      </w:r>
      <w:r>
        <w:rPr>
          <w:rFonts w:eastAsiaTheme="minorEastAsia"/>
          <w:vertAlign w:val="superscript"/>
        </w:rPr>
        <w:t>N</w:t>
      </w:r>
      <w:r>
        <w:rPr>
          <w:rFonts w:eastAsiaTheme="minorEastAsia"/>
        </w:rPr>
        <w:t>. En este caso,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 xml:space="preserve">/4 para N=2. Como se observa en la </w:t>
      </w:r>
      <w:fldSimple w:instr=" REF _Ref256171773 \h  \* MERGEFORMAT ">
        <w:r w:rsidR="00EF4DC3" w:rsidRPr="00EF4DC3">
          <w:rPr>
            <w:color w:val="4F81BD" w:themeColor="accent1"/>
          </w:rPr>
          <w:t xml:space="preserve">Figura </w:t>
        </w:r>
        <w:r w:rsidR="00EF4DC3" w:rsidRPr="00EF4DC3">
          <w:rPr>
            <w:noProof/>
            <w:color w:val="4F81BD" w:themeColor="accent1"/>
          </w:rPr>
          <w:t>16</w:t>
        </w:r>
      </w:fldSimple>
      <w:r>
        <w:rPr>
          <w:rFonts w:eastAsiaTheme="minorEastAsia"/>
        </w:rPr>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no puede exceder la tensión V</w:t>
      </w:r>
      <w:r>
        <w:rPr>
          <w:rFonts w:eastAsiaTheme="minorEastAsia"/>
          <w:vertAlign w:val="subscript"/>
        </w:rPr>
        <w:t>LSB</w:t>
      </w:r>
      <w:r>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permanezca en el rango entre 0 y (V</w:t>
      </w:r>
      <w:r>
        <w:rPr>
          <w:rFonts w:eastAsiaTheme="minorEastAsia"/>
          <w:vertAlign w:val="subscript"/>
        </w:rPr>
        <w:t>ref</w:t>
      </w:r>
      <w:r>
        <w:rPr>
          <w:rFonts w:eastAsiaTheme="minorEastAsia"/>
        </w:rPr>
        <w:t xml:space="preserve"> - V</w:t>
      </w:r>
      <w:r>
        <w:rPr>
          <w:rFonts w:eastAsiaTheme="minorEastAsia"/>
          <w:vertAlign w:val="subscript"/>
        </w:rPr>
        <w:t>LSB</w:t>
      </w:r>
      <w:r>
        <w:rPr>
          <w:rFonts w:eastAsiaTheme="minorEastAsia"/>
        </w:rPr>
        <w:t xml:space="preserve">/2). Esto es llamado </w:t>
      </w:r>
      <w:r>
        <w:rPr>
          <w:rFonts w:eastAsiaTheme="minorEastAsia"/>
          <w:i/>
        </w:rPr>
        <w:t xml:space="preserve">Lineal-Conversion-Range (Rango de conversión lineal) </w:t>
      </w:r>
      <w:r>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ya no es limitado por V</w:t>
      </w:r>
      <w:r>
        <w:rPr>
          <w:rFonts w:eastAsiaTheme="minorEastAsia"/>
          <w:vertAlign w:val="subscript"/>
        </w:rPr>
        <w:t>LSB</w:t>
      </w:r>
      <w:r>
        <w:rPr>
          <w:rFonts w:eastAsiaTheme="minorEastAsia"/>
        </w:rPr>
        <w:t>/2. La figura también muestra los voltajes de transición de estado (V</w:t>
      </w:r>
      <w:r>
        <w:rPr>
          <w:rFonts w:eastAsiaTheme="minorEastAsia"/>
          <w:vertAlign w:val="subscript"/>
        </w:rPr>
        <w:t>ref</w:t>
      </w:r>
      <w:r>
        <w:rPr>
          <w:rFonts w:eastAsiaTheme="minorEastAsia"/>
        </w:rPr>
        <w:t>/8,</w:t>
      </w:r>
      <w:r w:rsidRPr="00065385">
        <w:rPr>
          <w:rFonts w:eastAsiaTheme="minorEastAsia"/>
        </w:rPr>
        <w:t xml:space="preserve"> </w:t>
      </w:r>
      <w:r>
        <w:rPr>
          <w:rFonts w:eastAsiaTheme="minorEastAsia"/>
        </w:rPr>
        <w:t>3V</w:t>
      </w:r>
      <w:r>
        <w:rPr>
          <w:rFonts w:eastAsiaTheme="minorEastAsia"/>
          <w:vertAlign w:val="subscript"/>
        </w:rPr>
        <w:t>ref</w:t>
      </w:r>
      <w:r>
        <w:rPr>
          <w:rFonts w:eastAsiaTheme="minorEastAsia"/>
        </w:rPr>
        <w:t>/8 y 5V</w:t>
      </w:r>
      <w:r>
        <w:rPr>
          <w:rFonts w:eastAsiaTheme="minorEastAsia"/>
          <w:vertAlign w:val="subscript"/>
        </w:rPr>
        <w:t>ref</w:t>
      </w:r>
      <w:r>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30599C">
      <w:pPr>
        <w:rPr>
          <w:rFonts w:eastAsiaTheme="minorEastAsia"/>
        </w:rPr>
      </w:pPr>
      <w:r>
        <w:t xml:space="preserve">En la práctica, la conversión ideal que se ilustra en la </w:t>
      </w:r>
      <w:fldSimple w:instr=" REF _Ref256171773 \h  \* MERGEFORMAT ">
        <w:r w:rsidR="00EF4DC3" w:rsidRPr="00EF4DC3">
          <w:rPr>
            <w:color w:val="4F81BD" w:themeColor="accent1"/>
          </w:rPr>
          <w:t xml:space="preserve">Figura </w:t>
        </w:r>
        <w:r w:rsidR="00EF4DC3" w:rsidRPr="00EF4DC3">
          <w:rPr>
            <w:noProof/>
            <w:color w:val="4F81BD" w:themeColor="accent1"/>
          </w:rPr>
          <w:t>16</w:t>
        </w:r>
      </w:fldSimple>
      <w:r>
        <w:t xml:space="preserve"> no se puede llevar a cabo, los voltajes de umbral que son múltiplos pares de </w:t>
      </w:r>
      <w:r>
        <w:rPr>
          <w:rFonts w:eastAsiaTheme="minorEastAsia"/>
        </w:rPr>
        <w:t>V</w:t>
      </w:r>
      <w:r>
        <w:rPr>
          <w:rFonts w:eastAsiaTheme="minorEastAsia"/>
          <w:vertAlign w:val="subscript"/>
        </w:rPr>
        <w:t>LSB</w:t>
      </w:r>
      <w:r>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produciendo varios errores. Algunos de los errores más comunes se representan en las </w:t>
      </w:r>
      <w:r w:rsidRPr="00A059F0">
        <w:rPr>
          <w:rFonts w:eastAsiaTheme="minorEastAsia"/>
          <w:color w:val="4F81BD" w:themeColor="accent1"/>
        </w:rPr>
        <w:t>Figuras 4</w:t>
      </w:r>
      <w:r>
        <w:rPr>
          <w:rFonts w:eastAsiaTheme="minorEastAsia"/>
        </w:rPr>
        <w:t xml:space="preserve"> y </w:t>
      </w:r>
      <w:fldSimple w:instr=" REF _Ref256172268 \h  \* MERGEFORMAT ">
        <w:r w:rsidR="00EF4DC3" w:rsidRPr="00EF4DC3">
          <w:rPr>
            <w:color w:val="4F81BD" w:themeColor="accent1"/>
          </w:rPr>
          <w:t xml:space="preserve">Figura </w:t>
        </w:r>
        <w:r w:rsidR="00EF4DC3" w:rsidRPr="00EF4DC3">
          <w:rPr>
            <w:noProof/>
            <w:color w:val="4F81BD" w:themeColor="accent1"/>
          </w:rPr>
          <w:t>18</w:t>
        </w:r>
      </w:fldSimple>
      <w:r>
        <w:rPr>
          <w:rFonts w:eastAsiaTheme="minorEastAsia"/>
        </w:rPr>
        <w:t xml:space="preserve">. En la </w:t>
      </w:r>
      <w:fldSimple w:instr=" REF _Ref256172249 \h  \* MERGEFORMAT ">
        <w:r w:rsidR="00EF4DC3" w:rsidRPr="00EF4DC3">
          <w:rPr>
            <w:color w:val="4F81BD" w:themeColor="accent1"/>
          </w:rPr>
          <w:t xml:space="preserve">Figura </w:t>
        </w:r>
        <w:r w:rsidR="00EF4DC3" w:rsidRPr="00EF4DC3">
          <w:rPr>
            <w:noProof/>
            <w:color w:val="4F81BD" w:themeColor="accent1"/>
          </w:rPr>
          <w:t>17</w:t>
        </w:r>
      </w:fldSimple>
      <w:r>
        <w:rPr>
          <w:rFonts w:eastAsiaTheme="minorEastAsia"/>
        </w:rPr>
        <w:t xml:space="preserve"> se observa la función de transferencia característica con error de offset, el cual se manifiesta en un movimiento lateral de la curva. El error de ganancia es ilustrado en la </w:t>
      </w:r>
      <w:fldSimple w:instr=" REF _Ref256172268 \h  \* MERGEFORMAT ">
        <w:r w:rsidR="00EF4DC3" w:rsidRPr="00EF4DC3">
          <w:rPr>
            <w:color w:val="4F81BD" w:themeColor="accent1"/>
          </w:rPr>
          <w:t xml:space="preserve">Figura </w:t>
        </w:r>
        <w:r w:rsidR="00EF4DC3" w:rsidRPr="00EF4DC3">
          <w:rPr>
            <w:noProof/>
            <w:color w:val="4F81BD" w:themeColor="accent1"/>
          </w:rPr>
          <w:t>18</w:t>
        </w:r>
      </w:fldSimple>
      <w:r>
        <w:rPr>
          <w:rFonts w:eastAsiaTheme="minorEastAsia"/>
        </w:rPr>
        <w:t>, donde el umbral de voltaje permanece igualmente separado, pero esa separación ya no es más V</w:t>
      </w:r>
      <w:r>
        <w:rPr>
          <w:rFonts w:eastAsiaTheme="minorEastAsia"/>
          <w:vertAlign w:val="subscript"/>
        </w:rPr>
        <w:t xml:space="preserve">LSB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1"/>
        <w:gridCol w:w="4813"/>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lastRenderedPageBreak/>
              <w:drawing>
                <wp:inline distT="0" distB="0" distL="0" distR="0">
                  <wp:extent cx="2536650" cy="2061713"/>
                  <wp:effectExtent l="1905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536491" cy="2061584"/>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2555587" cy="2260121"/>
                  <wp:effectExtent l="19050" t="0" r="0"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554502" cy="2259162"/>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EF4DC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EF4DC3">
                <w:rPr>
                  <w:noProof/>
                </w:rPr>
                <w:t>18</w:t>
              </w:r>
            </w:fldSimple>
            <w:bookmarkEnd w:id="16"/>
            <w:r w:rsidRPr="00FE41AA">
              <w:t>) Función de transferencia para un ADC de 2 bits con y sin error de ganancia</w:t>
            </w:r>
            <w:r>
              <w:t>.</w:t>
            </w:r>
          </w:p>
        </w:tc>
      </w:tr>
    </w:tbl>
    <w:p w:rsidR="0030599C" w:rsidRDefault="0030599C" w:rsidP="0030599C"/>
    <w:p w:rsidR="0030599C" w:rsidRDefault="0030599C" w:rsidP="0030599C">
      <w:r>
        <w:t>Ambos errores de ganancia y offset son errores lineales, no distorsionan la señal de entrada, solo generan un escalamiento y desplazamiento de la misma. Una distorsión mucho más preocupante resulta de la separación desigual e inevitable de las tensiones de umbral, el cual si genera errores de no</w:t>
      </w:r>
      <w:r w:rsidR="00EB5C1E">
        <w:t>-</w:t>
      </w:r>
      <w:r>
        <w:t>linealidad. Dos errores de no</w:t>
      </w:r>
      <w:r w:rsidR="00EB5C1E">
        <w:t>-linealidad</w:t>
      </w:r>
      <w:r>
        <w:t xml:space="preserve"> son representados en las </w:t>
      </w:r>
      <w:fldSimple w:instr=" REF _Ref256172732 \h  \* MERGEFORMAT ">
        <w:r w:rsidR="00EF4DC3" w:rsidRPr="00EF4DC3">
          <w:rPr>
            <w:color w:val="4F81BD" w:themeColor="accent1"/>
          </w:rPr>
          <w:t xml:space="preserve">Figura </w:t>
        </w:r>
        <w:r w:rsidR="00EF4DC3" w:rsidRPr="00EF4DC3">
          <w:rPr>
            <w:noProof/>
            <w:color w:val="4F81BD" w:themeColor="accent1"/>
          </w:rPr>
          <w:t>19</w:t>
        </w:r>
      </w:fldSimple>
      <w:r>
        <w:t xml:space="preserve"> y </w:t>
      </w:r>
      <w:fldSimple w:instr=" REF _Ref256172736 \h  \* MERGEFORMAT ">
        <w:r w:rsidR="00EF4DC3" w:rsidRPr="00EF4DC3">
          <w:rPr>
            <w:color w:val="4F81BD" w:themeColor="accent1"/>
          </w:rPr>
          <w:t xml:space="preserve">Figura </w:t>
        </w:r>
        <w:r w:rsidR="00EF4DC3" w:rsidRPr="00EF4DC3">
          <w:rPr>
            <w:noProof/>
            <w:color w:val="4F81BD" w:themeColor="accent1"/>
          </w:rPr>
          <w:t>20</w:t>
        </w:r>
      </w:fldSimple>
      <w:r>
        <w:t>.</w:t>
      </w:r>
    </w:p>
    <w:p w:rsidR="0030599C" w:rsidRDefault="0030599C" w:rsidP="0030599C">
      <w:pPr>
        <w:jc w:val="center"/>
      </w:pPr>
      <w:r>
        <w:rPr>
          <w:noProof/>
          <w:lang w:eastAsia="es-AR"/>
        </w:rPr>
        <w:drawing>
          <wp:inline distT="0" distB="0" distL="0" distR="0">
            <wp:extent cx="2572383" cy="2044461"/>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579230" cy="2049903"/>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EF4DC3">
          <w:rPr>
            <w:noProof/>
          </w:rPr>
          <w:t>19</w:t>
        </w:r>
      </w:fldSimple>
      <w:bookmarkEnd w:id="17"/>
      <w:r>
        <w:t>) Función de transferencia de un ADC de 2 bits con y sin errores de no</w:t>
      </w:r>
      <w:r w:rsidR="00A10F4B">
        <w:t>-linealidad</w:t>
      </w:r>
      <w:r>
        <w:t>.</w:t>
      </w:r>
    </w:p>
    <w:p w:rsidR="0030599C" w:rsidRPr="00773ABB" w:rsidRDefault="0030599C" w:rsidP="0030599C">
      <w:r>
        <w:t xml:space="preserve">Los errores de </w:t>
      </w:r>
      <w:r>
        <w:rPr>
          <w:i/>
        </w:rPr>
        <w:t>Missing-Code</w:t>
      </w:r>
      <w:r>
        <w:t xml:space="preserve"> (</w:t>
      </w:r>
      <w:fldSimple w:instr=" REF _Ref256172736 \h  \* MERGEFORMAT ">
        <w:r w:rsidR="00EF4DC3" w:rsidRPr="00EF4DC3">
          <w:rPr>
            <w:color w:val="4F81BD" w:themeColor="accent1"/>
          </w:rPr>
          <w:t xml:space="preserve">Figura </w:t>
        </w:r>
        <w:r w:rsidR="00EF4DC3" w:rsidRPr="00EF4DC3">
          <w:rPr>
            <w:noProof/>
            <w:color w:val="4F81BD" w:themeColor="accent1"/>
          </w:rPr>
          <w:t>20</w:t>
        </w:r>
      </w:fldSimple>
      <w:r>
        <w:t xml:space="preserve">) se dan por las excesivas desviaciones acumulativas de las tensiones de umbral, generando así la perdida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5"/>
        <w:gridCol w:w="4599"/>
      </w:tblGrid>
      <w:tr w:rsidR="0030599C" w:rsidRPr="00FE41AA" w:rsidTr="00FA4D0D">
        <w:tc>
          <w:tcPr>
            <w:tcW w:w="5958" w:type="dxa"/>
          </w:tcPr>
          <w:p w:rsidR="0030599C" w:rsidRPr="00FE41AA" w:rsidRDefault="0030599C" w:rsidP="00FA4D0D">
            <w:r w:rsidRPr="00FE41AA">
              <w:rPr>
                <w:noProof/>
                <w:lang w:eastAsia="es-AR"/>
              </w:rPr>
              <w:lastRenderedPageBreak/>
              <w:drawing>
                <wp:inline distT="0" distB="0" distL="0" distR="0">
                  <wp:extent cx="2689644" cy="2180890"/>
                  <wp:effectExtent l="19050" t="0" r="0"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688049" cy="2179597"/>
                          </a:xfrm>
                          <a:prstGeom prst="rect">
                            <a:avLst/>
                          </a:prstGeom>
                          <a:noFill/>
                          <a:ln w="9525">
                            <a:noFill/>
                            <a:miter lim="800000"/>
                            <a:headEnd/>
                            <a:tailEnd/>
                          </a:ln>
                        </pic:spPr>
                      </pic:pic>
                    </a:graphicData>
                  </a:graphic>
                </wp:inline>
              </w:drawing>
            </w:r>
          </w:p>
        </w:tc>
        <w:tc>
          <w:tcPr>
            <w:tcW w:w="3096" w:type="dxa"/>
          </w:tcPr>
          <w:p w:rsidR="0030599C" w:rsidRPr="00FE41AA" w:rsidRDefault="0030599C" w:rsidP="00FA4D0D">
            <w:pPr>
              <w:rPr>
                <w:noProof/>
                <w:lang w:eastAsia="es-AR"/>
              </w:rPr>
            </w:pPr>
            <w:r>
              <w:rPr>
                <w:noProof/>
                <w:lang w:eastAsia="es-AR"/>
              </w:rPr>
              <w:drawing>
                <wp:inline distT="0" distB="0" distL="0" distR="0">
                  <wp:extent cx="2775908" cy="2447920"/>
                  <wp:effectExtent l="19050" t="0" r="5392"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774731" cy="2446882"/>
                          </a:xfrm>
                          <a:prstGeom prst="rect">
                            <a:avLst/>
                          </a:prstGeom>
                          <a:noFill/>
                          <a:ln w="9525">
                            <a:noFill/>
                            <a:miter lim="800000"/>
                            <a:headEnd/>
                            <a:tailEnd/>
                          </a:ln>
                        </pic:spPr>
                      </pic:pic>
                    </a:graphicData>
                  </a:graphic>
                </wp:inline>
              </w:drawing>
            </w:r>
          </w:p>
        </w:tc>
      </w:tr>
      <w:tr w:rsidR="0030599C" w:rsidRPr="00FE41AA" w:rsidTr="00FA4D0D">
        <w:tc>
          <w:tcPr>
            <w:tcW w:w="5958" w:type="dxa"/>
          </w:tcPr>
          <w:p w:rsidR="0030599C" w:rsidRPr="00FE41AA" w:rsidRDefault="0030599C" w:rsidP="00FA4D0D">
            <w:pPr>
              <w:pStyle w:val="Epgrafe"/>
            </w:pPr>
            <w:bookmarkStart w:id="18" w:name="_Ref256172736"/>
            <w:r w:rsidRPr="00FE41AA">
              <w:t xml:space="preserve">Figura </w:t>
            </w:r>
            <w:fldSimple w:instr=" SEQ Figura \* ARABIC ">
              <w:r w:rsidR="00EF4DC3">
                <w:rPr>
                  <w:noProof/>
                </w:rPr>
                <w:t>20</w:t>
              </w:r>
            </w:fldSimple>
            <w:bookmarkEnd w:id="18"/>
            <w:r w:rsidRPr="00FE41AA">
              <w:t>) Función de transferencia de un ADC de 2 bits con y sin errores de Missing-Code.</w:t>
            </w:r>
          </w:p>
        </w:tc>
        <w:tc>
          <w:tcPr>
            <w:tcW w:w="3096" w:type="dxa"/>
          </w:tcPr>
          <w:p w:rsidR="0030599C" w:rsidRPr="00FE41AA" w:rsidRDefault="0030599C" w:rsidP="00FA4D0D">
            <w:pPr>
              <w:pStyle w:val="Epgrafe"/>
            </w:pPr>
            <w:bookmarkStart w:id="19" w:name="_Ref256172774"/>
            <w:r>
              <w:t xml:space="preserve">Figura </w:t>
            </w:r>
            <w:fldSimple w:instr=" SEQ Figura \* ARABIC ">
              <w:r w:rsidR="00EF4DC3">
                <w:rPr>
                  <w:noProof/>
                </w:rPr>
                <w:t>21</w:t>
              </w:r>
            </w:fldSimple>
            <w:bookmarkEnd w:id="19"/>
            <w:r>
              <w:t>) Función de transferencia no lineal demostrando los errores de INL y el peor caso de diferencia de transición.</w:t>
            </w:r>
          </w:p>
        </w:tc>
      </w:tr>
    </w:tbl>
    <w:p w:rsidR="0030599C" w:rsidRDefault="0030599C" w:rsidP="0030599C"/>
    <w:p w:rsidR="00486D60" w:rsidRDefault="0030599C" w:rsidP="0030599C">
      <w:r>
        <w:t>Los errores de no</w:t>
      </w:r>
      <w:r w:rsidR="008B17D8">
        <w:t>-</w:t>
      </w:r>
      <w:r>
        <w:t xml:space="preserve">linealidad son generalmente cuantificados por los valores de sus </w:t>
      </w:r>
      <w:r>
        <w:rPr>
          <w:i/>
        </w:rPr>
        <w:t>Integral-Nonlinearity error (INL)</w:t>
      </w:r>
      <w:r>
        <w:t xml:space="preserve"> y </w:t>
      </w:r>
      <w:r>
        <w:rPr>
          <w:i/>
        </w:rPr>
        <w:t>Differential-Nonlinearity error(DNL).</w:t>
      </w:r>
      <w:r>
        <w:t xml:space="preserve"> Los INL son definidos por la mayor diferencia vertical (expresada en LSBs) entre los </w:t>
      </w:r>
      <w:r>
        <w:rPr>
          <w:i/>
        </w:rPr>
        <w:t>code center points</w:t>
      </w:r>
      <w:r>
        <w:t xml:space="preserve"> de la característica actual de la curva y la línea que se conecta en forma recta con el punto final (endpoint), ilustrado en la </w:t>
      </w:r>
      <w:fldSimple w:instr=" REF _Ref256172774 \h  \* MERGEFORMAT ">
        <w:r w:rsidR="00EF4DC3" w:rsidRPr="00EF4DC3">
          <w:rPr>
            <w:color w:val="4F81BD" w:themeColor="accent1"/>
          </w:rPr>
          <w:t xml:space="preserve">Figura </w:t>
        </w:r>
        <w:r w:rsidR="00EF4DC3" w:rsidRPr="00EF4DC3">
          <w:rPr>
            <w:noProof/>
            <w:color w:val="4F81BD" w:themeColor="accent1"/>
          </w:rPr>
          <w:t>21</w:t>
        </w:r>
      </w:fldSimple>
      <w:r>
        <w:t>. El DNL es definido como la mayor desviación entre la actual diferencia entre dos voltajes de umbral adyacentes y el valor de diferencia ideal (V</w:t>
      </w:r>
      <w:r>
        <w:rPr>
          <w:vertAlign w:val="subscript"/>
        </w:rPr>
        <w:t>lsb</w:t>
      </w:r>
      <w:r>
        <w:t xml:space="preserve">), como se muestra en la </w:t>
      </w:r>
      <w:r w:rsidRPr="00A059F0">
        <w:rPr>
          <w:color w:val="4F81BD" w:themeColor="accent1"/>
        </w:rPr>
        <w:t>Figura 8</w:t>
      </w:r>
      <w:r>
        <w:t>.</w:t>
      </w:r>
      <w:r w:rsidR="00486D60">
        <w:rPr>
          <w:rStyle w:val="Refdenotaalpie"/>
        </w:rPr>
        <w:footnoteReference w:id="1"/>
      </w:r>
    </w:p>
    <w:p w:rsidR="00486D60" w:rsidRDefault="00486D60">
      <w:r>
        <w:br w:type="page"/>
      </w:r>
    </w:p>
    <w:p w:rsidR="00990137" w:rsidRDefault="00990137" w:rsidP="00990137">
      <w:pPr>
        <w:pStyle w:val="Ttulo2"/>
      </w:pPr>
      <w:r>
        <w:lastRenderedPageBreak/>
        <w:t>APENDICE B: Especificaciones de diseño.</w:t>
      </w:r>
    </w:p>
    <w:p w:rsidR="0030599C" w:rsidRDefault="00990137" w:rsidP="00EB5C1E">
      <w:pPr>
        <w:pStyle w:val="Ttulo3"/>
        <w:pBdr>
          <w:top w:val="single" w:sz="4" w:space="1" w:color="auto"/>
          <w:bottom w:val="single" w:sz="4" w:space="1" w:color="auto"/>
        </w:pBdr>
      </w:pPr>
      <w:r>
        <w:t>COMPARADOR</w:t>
      </w:r>
    </w:p>
    <w:p w:rsidR="00990137" w:rsidRDefault="00990137" w:rsidP="00990137">
      <w:r>
        <w:t>Para la caracterización se realizaron varios análisis extras. Las graficas</w:t>
      </w:r>
      <w:r w:rsidR="004057EE">
        <w:t xml:space="preserve"> e información</w:t>
      </w:r>
      <w:r>
        <w:t xml:space="preserve"> faltantes en la </w:t>
      </w:r>
      <w:r w:rsidR="004057EE">
        <w:t>documentación se encuentran a continuación.</w:t>
      </w:r>
    </w:p>
    <w:p w:rsidR="004057EE" w:rsidRDefault="004057EE" w:rsidP="00990137">
      <w:r>
        <w:t>Dimensionamiento de los transistores:</w:t>
      </w:r>
    </w:p>
    <w:p w:rsidR="004057EE" w:rsidRDefault="004057EE" w:rsidP="004A0880">
      <w:pPr>
        <w:jc w:val="center"/>
      </w:pPr>
      <w:r>
        <w:rPr>
          <w:noProof/>
          <w:lang w:eastAsia="es-AR"/>
        </w:rPr>
        <w:drawing>
          <wp:inline distT="0" distB="0" distL="0" distR="0">
            <wp:extent cx="3192322" cy="3276000"/>
            <wp:effectExtent l="19050" t="0" r="8078"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192322" cy="3276000"/>
                    </a:xfrm>
                    <a:prstGeom prst="rect">
                      <a:avLst/>
                    </a:prstGeom>
                    <a:noFill/>
                    <a:ln w="9525">
                      <a:noFill/>
                      <a:miter lim="800000"/>
                      <a:headEnd/>
                      <a:tailEnd/>
                    </a:ln>
                  </pic:spPr>
                </pic:pic>
              </a:graphicData>
            </a:graphic>
          </wp:inline>
        </w:drawing>
      </w:r>
    </w:p>
    <w:p w:rsidR="00990137" w:rsidRDefault="00990137" w:rsidP="00990137">
      <w:r>
        <w:t>Barrido de tensión continua y ganancia:</w:t>
      </w:r>
    </w:p>
    <w:p w:rsidR="008F6124" w:rsidRDefault="008F6124" w:rsidP="008F6124">
      <w:pPr>
        <w:keepNext/>
        <w:jc w:val="center"/>
      </w:pPr>
      <w:r>
        <w:rPr>
          <w:noProof/>
          <w:lang w:eastAsia="es-AR"/>
        </w:rPr>
        <w:drawing>
          <wp:inline distT="0" distB="0" distL="0" distR="0">
            <wp:extent cx="4005295" cy="2520000"/>
            <wp:effectExtent l="19050" t="0" r="0" b="0"/>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005295" cy="2520000"/>
                    </a:xfrm>
                    <a:prstGeom prst="rect">
                      <a:avLst/>
                    </a:prstGeom>
                    <a:noFill/>
                    <a:ln w="9525">
                      <a:noFill/>
                      <a:miter lim="800000"/>
                      <a:headEnd/>
                      <a:tailEnd/>
                    </a:ln>
                  </pic:spPr>
                </pic:pic>
              </a:graphicData>
            </a:graphic>
          </wp:inline>
        </w:drawing>
      </w:r>
    </w:p>
    <w:p w:rsidR="008F6124" w:rsidRDefault="008F6124" w:rsidP="008F6124">
      <w:pPr>
        <w:pStyle w:val="Epgrafe"/>
        <w:jc w:val="center"/>
      </w:pPr>
      <w:r>
        <w:t>Barrido de tensión continua</w:t>
      </w:r>
      <w:r w:rsidRPr="00EB575C">
        <w:t xml:space="preserve"> con </w:t>
      </w:r>
      <w:r>
        <w:t>V</w:t>
      </w:r>
      <w:r>
        <w:rPr>
          <w:vertAlign w:val="subscript"/>
        </w:rPr>
        <w:t>CM</w:t>
      </w:r>
      <w:r w:rsidRPr="00EB575C">
        <w:t>=1.</w:t>
      </w:r>
      <w:r>
        <w:t>31</w:t>
      </w:r>
      <w:r w:rsidRPr="00EB575C">
        <w:t>5</w:t>
      </w:r>
      <w:r>
        <w:t>V.</w:t>
      </w:r>
    </w:p>
    <w:p w:rsidR="00990137" w:rsidRDefault="00BF3833" w:rsidP="00990137">
      <w:r>
        <w:lastRenderedPageBreak/>
        <w:t>Análisis transitorio y retardos en respuesta:</w:t>
      </w:r>
    </w:p>
    <w:p w:rsidR="008F6124" w:rsidRDefault="008F6124" w:rsidP="008F6124">
      <w:pPr>
        <w:keepNext/>
        <w:jc w:val="center"/>
      </w:pPr>
      <w:r>
        <w:rPr>
          <w:noProof/>
          <w:lang w:eastAsia="es-AR"/>
        </w:rPr>
        <w:drawing>
          <wp:inline distT="0" distB="0" distL="0" distR="0">
            <wp:extent cx="4003511" cy="2520000"/>
            <wp:effectExtent l="19050" t="0" r="0" b="0"/>
            <wp:docPr id="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4003511" cy="2520000"/>
                    </a:xfrm>
                    <a:prstGeom prst="rect">
                      <a:avLst/>
                    </a:prstGeom>
                    <a:noFill/>
                    <a:ln w="9525">
                      <a:noFill/>
                      <a:miter lim="800000"/>
                      <a:headEnd/>
                      <a:tailEnd/>
                    </a:ln>
                  </pic:spPr>
                </pic:pic>
              </a:graphicData>
            </a:graphic>
          </wp:inline>
        </w:drawing>
      </w:r>
    </w:p>
    <w:p w:rsidR="008F6124" w:rsidRDefault="008F6124" w:rsidP="008F6124">
      <w:pPr>
        <w:pStyle w:val="Epgrafe"/>
        <w:jc w:val="center"/>
      </w:pPr>
      <w:r>
        <w:t>Transitorio con V</w:t>
      </w:r>
      <w:r>
        <w:rPr>
          <w:vertAlign w:val="subscript"/>
        </w:rPr>
        <w:t>CM</w:t>
      </w:r>
      <w:r>
        <w:t>=1.005V.</w:t>
      </w:r>
    </w:p>
    <w:p w:rsidR="008F6124" w:rsidRDefault="008F6124" w:rsidP="008F6124">
      <w:pPr>
        <w:keepNext/>
        <w:jc w:val="center"/>
      </w:pPr>
      <w:r>
        <w:rPr>
          <w:noProof/>
          <w:lang w:eastAsia="es-AR"/>
        </w:rPr>
        <w:drawing>
          <wp:inline distT="0" distB="0" distL="0" distR="0">
            <wp:extent cx="4007964" cy="2520000"/>
            <wp:effectExtent l="19050" t="0" r="0"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007964" cy="2520000"/>
                    </a:xfrm>
                    <a:prstGeom prst="rect">
                      <a:avLst/>
                    </a:prstGeom>
                    <a:noFill/>
                    <a:ln w="9525">
                      <a:noFill/>
                      <a:miter lim="800000"/>
                      <a:headEnd/>
                      <a:tailEnd/>
                    </a:ln>
                  </pic:spPr>
                </pic:pic>
              </a:graphicData>
            </a:graphic>
          </wp:inline>
        </w:drawing>
      </w:r>
    </w:p>
    <w:p w:rsidR="008F6124" w:rsidRDefault="008F6124" w:rsidP="008F6124">
      <w:pPr>
        <w:pStyle w:val="Epgrafe"/>
        <w:jc w:val="center"/>
      </w:pPr>
      <w:r>
        <w:t>Transitorio con V</w:t>
      </w:r>
      <w:r>
        <w:rPr>
          <w:vertAlign w:val="subscript"/>
        </w:rPr>
        <w:t>CM</w:t>
      </w:r>
      <w:r>
        <w:t>=1.625V.</w:t>
      </w:r>
    </w:p>
    <w:p w:rsidR="00EB5C1E" w:rsidRDefault="00EB5C1E" w:rsidP="00EB5C1E">
      <w:pPr>
        <w:pStyle w:val="Ttulo3"/>
        <w:pBdr>
          <w:top w:val="single" w:sz="4" w:space="1" w:color="auto"/>
          <w:bottom w:val="single" w:sz="4" w:space="1" w:color="auto"/>
        </w:pBdr>
      </w:pPr>
      <w:r>
        <w:t>COMPUERTAS</w:t>
      </w:r>
    </w:p>
    <w:p w:rsidR="00EB5C1E" w:rsidRDefault="00EB5C1E" w:rsidP="00EB5C1E">
      <w:r w:rsidRPr="00EB5C1E">
        <w:t>A continuación podemos ver la topología de diseño de compuertas MOS y las dimensiones individuales de cada transistor para las distintas compuertas realizas para el flash. Como ya se menciono en la parte teórica, las dimensiones W de los transistores conectados en paralelo se suman, y las dimensiones L de los transistores en serie también se suman.</w:t>
      </w:r>
    </w:p>
    <w:p w:rsidR="00EB5C1E" w:rsidRDefault="00EB5C1E" w:rsidP="00EB5C1E">
      <w:r>
        <w:rPr>
          <w:noProof/>
          <w:lang w:eastAsia="es-AR"/>
        </w:rPr>
        <w:lastRenderedPageBreak/>
        <w:drawing>
          <wp:inline distT="0" distB="0" distL="0" distR="0">
            <wp:extent cx="1050625" cy="1164823"/>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1052681" cy="1167102"/>
                    </a:xfrm>
                    <a:prstGeom prst="rect">
                      <a:avLst/>
                    </a:prstGeom>
                    <a:noFill/>
                    <a:ln w="9525">
                      <a:noFill/>
                      <a:miter lim="800000"/>
                      <a:headEnd/>
                      <a:tailEnd/>
                    </a:ln>
                  </pic:spPr>
                </pic:pic>
              </a:graphicData>
            </a:graphic>
          </wp:inline>
        </w:drawing>
      </w:r>
      <w:r>
        <w:rPr>
          <w:noProof/>
          <w:lang w:eastAsia="es-AR"/>
        </w:rPr>
        <w:drawing>
          <wp:inline distT="0" distB="0" distL="0" distR="0">
            <wp:extent cx="1783871" cy="1580329"/>
            <wp:effectExtent l="19050" t="0" r="682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1785486" cy="1581760"/>
                    </a:xfrm>
                    <a:prstGeom prst="rect">
                      <a:avLst/>
                    </a:prstGeom>
                    <a:noFill/>
                    <a:ln w="9525">
                      <a:noFill/>
                      <a:miter lim="800000"/>
                      <a:headEnd/>
                      <a:tailEnd/>
                    </a:ln>
                  </pic:spPr>
                </pic:pic>
              </a:graphicData>
            </a:graphic>
          </wp:inline>
        </w:drawing>
      </w:r>
      <w:r w:rsidRPr="006E0F10">
        <w:t xml:space="preserve">  </w:t>
      </w:r>
      <w:r>
        <w:rPr>
          <w:noProof/>
          <w:lang w:eastAsia="es-AR"/>
        </w:rPr>
        <w:drawing>
          <wp:inline distT="0" distB="0" distL="0" distR="0">
            <wp:extent cx="2456732" cy="2662551"/>
            <wp:effectExtent l="19050" t="0" r="718"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455535" cy="2661254"/>
                    </a:xfrm>
                    <a:prstGeom prst="rect">
                      <a:avLst/>
                    </a:prstGeom>
                    <a:noFill/>
                    <a:ln w="9525">
                      <a:noFill/>
                      <a:miter lim="800000"/>
                      <a:headEnd/>
                      <a:tailEnd/>
                    </a:ln>
                  </pic:spPr>
                </pic:pic>
              </a:graphicData>
            </a:graphic>
          </wp:inline>
        </w:drawing>
      </w:r>
    </w:p>
    <w:p w:rsidR="00EB5C1E" w:rsidRDefault="00EB5C1E" w:rsidP="00EB5C1E">
      <w:pPr>
        <w:pStyle w:val="Epgrafe"/>
      </w:pPr>
      <w:r>
        <w:t>Esquemático de compuertas (NEG, NAND2 y NAND8)</w:t>
      </w:r>
    </w:p>
    <w:tbl>
      <w:tblPr>
        <w:tblStyle w:val="Sombreadomedio2-nfasis1"/>
        <w:tblW w:w="9410" w:type="dxa"/>
        <w:tblLook w:val="04A0"/>
      </w:tblPr>
      <w:tblGrid>
        <w:gridCol w:w="1044"/>
        <w:gridCol w:w="1044"/>
        <w:gridCol w:w="1046"/>
        <w:gridCol w:w="1046"/>
        <w:gridCol w:w="1046"/>
        <w:gridCol w:w="1046"/>
        <w:gridCol w:w="1046"/>
        <w:gridCol w:w="1046"/>
        <w:gridCol w:w="1046"/>
      </w:tblGrid>
      <w:tr w:rsidR="00EB5C1E" w:rsidRPr="00B76123" w:rsidTr="00EB5C1E">
        <w:trPr>
          <w:cnfStyle w:val="100000000000"/>
          <w:trHeight w:val="236"/>
        </w:trPr>
        <w:tc>
          <w:tcPr>
            <w:cnfStyle w:val="001000000100"/>
            <w:tcW w:w="1044" w:type="dxa"/>
          </w:tcPr>
          <w:p w:rsidR="00EB5C1E" w:rsidRPr="00B76123" w:rsidRDefault="00EB5C1E" w:rsidP="00EB5C1E">
            <w:pPr>
              <w:rPr>
                <w:color w:val="auto"/>
                <w:sz w:val="18"/>
                <w:szCs w:val="18"/>
              </w:rPr>
            </w:pPr>
          </w:p>
        </w:tc>
        <w:tc>
          <w:tcPr>
            <w:tcW w:w="1044" w:type="dxa"/>
          </w:tcPr>
          <w:p w:rsidR="00EB5C1E" w:rsidRPr="00B76123" w:rsidRDefault="00EB5C1E" w:rsidP="00EB5C1E">
            <w:pPr>
              <w:cnfStyle w:val="100000000000"/>
              <w:rPr>
                <w:color w:val="auto"/>
                <w:sz w:val="18"/>
                <w:szCs w:val="18"/>
              </w:rPr>
            </w:pPr>
          </w:p>
        </w:tc>
        <w:tc>
          <w:tcPr>
            <w:tcW w:w="1046" w:type="dxa"/>
          </w:tcPr>
          <w:p w:rsidR="00EB5C1E" w:rsidRPr="00B76123" w:rsidRDefault="00EB5C1E" w:rsidP="00EB5C1E">
            <w:pPr>
              <w:cnfStyle w:val="100000000000"/>
              <w:rPr>
                <w:color w:val="auto"/>
                <w:sz w:val="18"/>
                <w:szCs w:val="18"/>
              </w:rPr>
            </w:pPr>
            <w:r>
              <w:rPr>
                <w:color w:val="auto"/>
                <w:sz w:val="18"/>
                <w:szCs w:val="18"/>
              </w:rPr>
              <w:t>NEG</w:t>
            </w:r>
          </w:p>
        </w:tc>
        <w:tc>
          <w:tcPr>
            <w:tcW w:w="1046" w:type="dxa"/>
          </w:tcPr>
          <w:p w:rsidR="00EB5C1E" w:rsidRPr="00B76123" w:rsidRDefault="00EB5C1E" w:rsidP="00EB5C1E">
            <w:pPr>
              <w:cnfStyle w:val="100000000000"/>
              <w:rPr>
                <w:color w:val="auto"/>
                <w:sz w:val="18"/>
                <w:szCs w:val="18"/>
              </w:rPr>
            </w:pPr>
            <w:r>
              <w:rPr>
                <w:color w:val="auto"/>
                <w:sz w:val="18"/>
                <w:szCs w:val="18"/>
              </w:rPr>
              <w:t>NAND2</w:t>
            </w:r>
          </w:p>
        </w:tc>
        <w:tc>
          <w:tcPr>
            <w:tcW w:w="1046" w:type="dxa"/>
          </w:tcPr>
          <w:p w:rsidR="00EB5C1E" w:rsidRPr="00B76123" w:rsidRDefault="00EB5C1E" w:rsidP="00EB5C1E">
            <w:pPr>
              <w:cnfStyle w:val="100000000000"/>
              <w:rPr>
                <w:color w:val="auto"/>
                <w:sz w:val="18"/>
                <w:szCs w:val="18"/>
              </w:rPr>
            </w:pPr>
            <w:r>
              <w:rPr>
                <w:color w:val="auto"/>
                <w:sz w:val="18"/>
                <w:szCs w:val="18"/>
              </w:rPr>
              <w:t>NAND3</w:t>
            </w:r>
          </w:p>
        </w:tc>
        <w:tc>
          <w:tcPr>
            <w:tcW w:w="1046" w:type="dxa"/>
          </w:tcPr>
          <w:p w:rsidR="00EB5C1E" w:rsidRPr="00B76123" w:rsidRDefault="00EB5C1E" w:rsidP="00EB5C1E">
            <w:pPr>
              <w:cnfStyle w:val="100000000000"/>
              <w:rPr>
                <w:color w:val="auto"/>
                <w:sz w:val="18"/>
                <w:szCs w:val="18"/>
              </w:rPr>
            </w:pPr>
            <w:r>
              <w:rPr>
                <w:color w:val="auto"/>
                <w:sz w:val="18"/>
                <w:szCs w:val="18"/>
              </w:rPr>
              <w:t>NAND4</w:t>
            </w:r>
          </w:p>
        </w:tc>
        <w:tc>
          <w:tcPr>
            <w:tcW w:w="1046" w:type="dxa"/>
          </w:tcPr>
          <w:p w:rsidR="00EB5C1E" w:rsidRPr="00B76123" w:rsidRDefault="00EB5C1E" w:rsidP="00EB5C1E">
            <w:pPr>
              <w:cnfStyle w:val="100000000000"/>
              <w:rPr>
                <w:color w:val="auto"/>
                <w:sz w:val="18"/>
                <w:szCs w:val="18"/>
              </w:rPr>
            </w:pPr>
            <w:r>
              <w:rPr>
                <w:color w:val="auto"/>
                <w:sz w:val="18"/>
                <w:szCs w:val="18"/>
              </w:rPr>
              <w:t>NAND5</w:t>
            </w:r>
          </w:p>
        </w:tc>
        <w:tc>
          <w:tcPr>
            <w:tcW w:w="1046" w:type="dxa"/>
          </w:tcPr>
          <w:p w:rsidR="00EB5C1E" w:rsidRPr="00B76123" w:rsidRDefault="00EB5C1E" w:rsidP="00EB5C1E">
            <w:pPr>
              <w:cnfStyle w:val="100000000000"/>
              <w:rPr>
                <w:color w:val="auto"/>
                <w:sz w:val="18"/>
                <w:szCs w:val="18"/>
              </w:rPr>
            </w:pPr>
            <w:r>
              <w:rPr>
                <w:color w:val="auto"/>
                <w:sz w:val="18"/>
                <w:szCs w:val="18"/>
              </w:rPr>
              <w:t>NAND7</w:t>
            </w:r>
          </w:p>
        </w:tc>
        <w:tc>
          <w:tcPr>
            <w:tcW w:w="1046" w:type="dxa"/>
          </w:tcPr>
          <w:p w:rsidR="00EB5C1E" w:rsidRPr="00B76123" w:rsidRDefault="00EB5C1E" w:rsidP="00EB5C1E">
            <w:pPr>
              <w:cnfStyle w:val="100000000000"/>
              <w:rPr>
                <w:color w:val="auto"/>
                <w:sz w:val="18"/>
                <w:szCs w:val="18"/>
              </w:rPr>
            </w:pPr>
            <w:r>
              <w:rPr>
                <w:color w:val="auto"/>
                <w:sz w:val="18"/>
                <w:szCs w:val="18"/>
              </w:rPr>
              <w:t>NAND8</w:t>
            </w:r>
          </w:p>
        </w:tc>
      </w:tr>
      <w:tr w:rsidR="00EB5C1E" w:rsidRPr="00B76123" w:rsidTr="00EB5C1E">
        <w:trPr>
          <w:cnfStyle w:val="000000100000"/>
          <w:trHeight w:val="236"/>
        </w:trPr>
        <w:tc>
          <w:tcPr>
            <w:cnfStyle w:val="001000000000"/>
            <w:tcW w:w="1044" w:type="dxa"/>
            <w:vMerge w:val="restart"/>
          </w:tcPr>
          <w:p w:rsidR="00EB5C1E" w:rsidRPr="00B76123" w:rsidRDefault="00EB5C1E" w:rsidP="00EB5C1E">
            <w:pPr>
              <w:jc w:val="center"/>
              <w:rPr>
                <w:sz w:val="18"/>
                <w:szCs w:val="18"/>
              </w:rPr>
            </w:pPr>
            <w:r w:rsidRPr="00B76123">
              <w:rPr>
                <w:color w:val="auto"/>
                <w:sz w:val="18"/>
                <w:szCs w:val="18"/>
              </w:rPr>
              <w:t>PMOS</w:t>
            </w:r>
          </w:p>
        </w:tc>
        <w:tc>
          <w:tcPr>
            <w:tcW w:w="1044" w:type="dxa"/>
          </w:tcPr>
          <w:p w:rsidR="00EB5C1E" w:rsidRPr="006E0F10" w:rsidRDefault="00EB5C1E" w:rsidP="00EB5C1E">
            <w:pPr>
              <w:jc w:val="center"/>
              <w:cnfStyle w:val="000000100000"/>
              <w:rPr>
                <w:b/>
                <w:sz w:val="18"/>
                <w:szCs w:val="18"/>
              </w:rPr>
            </w:pPr>
            <w:r w:rsidRPr="006E0F10">
              <w:rPr>
                <w:b/>
                <w:sz w:val="18"/>
                <w:szCs w:val="18"/>
              </w:rPr>
              <w:t>W</w:t>
            </w:r>
          </w:p>
        </w:tc>
        <w:tc>
          <w:tcPr>
            <w:tcW w:w="1046" w:type="dxa"/>
          </w:tcPr>
          <w:p w:rsidR="00EB5C1E" w:rsidRPr="00B76123" w:rsidRDefault="00EB5C1E" w:rsidP="00EB5C1E">
            <w:pPr>
              <w:cnfStyle w:val="000000100000"/>
              <w:rPr>
                <w:sz w:val="18"/>
                <w:szCs w:val="18"/>
              </w:rPr>
            </w:pPr>
            <w:r>
              <w:rPr>
                <w:sz w:val="18"/>
                <w:szCs w:val="18"/>
              </w:rPr>
              <w:t>.93u</w:t>
            </w:r>
          </w:p>
        </w:tc>
        <w:tc>
          <w:tcPr>
            <w:tcW w:w="1046" w:type="dxa"/>
          </w:tcPr>
          <w:p w:rsidR="00EB5C1E" w:rsidRPr="00B76123" w:rsidRDefault="00EB5C1E" w:rsidP="00EB5C1E">
            <w:pPr>
              <w:cnfStyle w:val="000000100000"/>
              <w:rPr>
                <w:sz w:val="18"/>
                <w:szCs w:val="18"/>
              </w:rPr>
            </w:pPr>
            <w:r>
              <w:rPr>
                <w:sz w:val="18"/>
                <w:szCs w:val="18"/>
              </w:rPr>
              <w:t>.25u</w:t>
            </w:r>
          </w:p>
        </w:tc>
        <w:tc>
          <w:tcPr>
            <w:tcW w:w="1046" w:type="dxa"/>
          </w:tcPr>
          <w:p w:rsidR="00EB5C1E" w:rsidRPr="00B76123" w:rsidRDefault="00EB5C1E" w:rsidP="00EB5C1E">
            <w:pPr>
              <w:cnfStyle w:val="000000100000"/>
              <w:rPr>
                <w:sz w:val="18"/>
                <w:szCs w:val="18"/>
              </w:rPr>
            </w:pPr>
            <w:r>
              <w:rPr>
                <w:sz w:val="18"/>
                <w:szCs w:val="18"/>
              </w:rPr>
              <w:t>.26u</w:t>
            </w:r>
          </w:p>
        </w:tc>
        <w:tc>
          <w:tcPr>
            <w:tcW w:w="1046" w:type="dxa"/>
          </w:tcPr>
          <w:p w:rsidR="00EB5C1E" w:rsidRPr="00B76123" w:rsidRDefault="00EB5C1E" w:rsidP="00EB5C1E">
            <w:pPr>
              <w:cnfStyle w:val="000000100000"/>
              <w:rPr>
                <w:sz w:val="18"/>
                <w:szCs w:val="18"/>
              </w:rPr>
            </w:pPr>
            <w:r>
              <w:rPr>
                <w:sz w:val="18"/>
                <w:szCs w:val="18"/>
              </w:rPr>
              <w:t>.25u</w:t>
            </w:r>
          </w:p>
        </w:tc>
        <w:tc>
          <w:tcPr>
            <w:tcW w:w="1046" w:type="dxa"/>
          </w:tcPr>
          <w:p w:rsidR="00EB5C1E" w:rsidRPr="00B76123" w:rsidRDefault="00EB5C1E" w:rsidP="00EB5C1E">
            <w:pPr>
              <w:cnfStyle w:val="000000100000"/>
              <w:rPr>
                <w:sz w:val="18"/>
                <w:szCs w:val="18"/>
              </w:rPr>
            </w:pPr>
            <w:r>
              <w:rPr>
                <w:sz w:val="18"/>
                <w:szCs w:val="18"/>
              </w:rPr>
              <w:t>.44u</w:t>
            </w:r>
          </w:p>
        </w:tc>
        <w:tc>
          <w:tcPr>
            <w:tcW w:w="1046" w:type="dxa"/>
          </w:tcPr>
          <w:p w:rsidR="00EB5C1E" w:rsidRPr="00B76123" w:rsidRDefault="00EB5C1E" w:rsidP="00EB5C1E">
            <w:pPr>
              <w:cnfStyle w:val="000000100000"/>
              <w:rPr>
                <w:sz w:val="18"/>
                <w:szCs w:val="18"/>
              </w:rPr>
            </w:pPr>
            <w:r>
              <w:rPr>
                <w:sz w:val="18"/>
                <w:szCs w:val="18"/>
              </w:rPr>
              <w:t>.58u</w:t>
            </w:r>
          </w:p>
        </w:tc>
        <w:tc>
          <w:tcPr>
            <w:tcW w:w="1046" w:type="dxa"/>
          </w:tcPr>
          <w:p w:rsidR="00EB5C1E" w:rsidRPr="00B76123" w:rsidRDefault="00EB5C1E" w:rsidP="00EB5C1E">
            <w:pPr>
              <w:cnfStyle w:val="000000100000"/>
              <w:rPr>
                <w:sz w:val="18"/>
                <w:szCs w:val="18"/>
              </w:rPr>
            </w:pPr>
            <w:r>
              <w:rPr>
                <w:sz w:val="18"/>
                <w:szCs w:val="18"/>
              </w:rPr>
              <w:t>.68u</w:t>
            </w:r>
          </w:p>
        </w:tc>
      </w:tr>
      <w:tr w:rsidR="00EB5C1E" w:rsidRPr="00B76123" w:rsidTr="00EB5C1E">
        <w:trPr>
          <w:trHeight w:val="155"/>
        </w:trPr>
        <w:tc>
          <w:tcPr>
            <w:cnfStyle w:val="001000000000"/>
            <w:tcW w:w="1044" w:type="dxa"/>
            <w:vMerge/>
          </w:tcPr>
          <w:p w:rsidR="00EB5C1E" w:rsidRPr="00B76123" w:rsidRDefault="00EB5C1E" w:rsidP="00EB5C1E">
            <w:pPr>
              <w:jc w:val="center"/>
              <w:rPr>
                <w:color w:val="auto"/>
                <w:sz w:val="18"/>
                <w:szCs w:val="18"/>
              </w:rPr>
            </w:pPr>
          </w:p>
        </w:tc>
        <w:tc>
          <w:tcPr>
            <w:tcW w:w="1044" w:type="dxa"/>
          </w:tcPr>
          <w:p w:rsidR="00EB5C1E" w:rsidRPr="006E0F10" w:rsidRDefault="00EB5C1E" w:rsidP="00EB5C1E">
            <w:pPr>
              <w:jc w:val="center"/>
              <w:cnfStyle w:val="000000000000"/>
              <w:rPr>
                <w:b/>
                <w:sz w:val="18"/>
                <w:szCs w:val="18"/>
              </w:rPr>
            </w:pPr>
            <w:r w:rsidRPr="006E0F10">
              <w:rPr>
                <w:b/>
                <w:sz w:val="18"/>
                <w:szCs w:val="18"/>
              </w:rPr>
              <w:t>L</w:t>
            </w:r>
          </w:p>
        </w:tc>
        <w:tc>
          <w:tcPr>
            <w:tcW w:w="1046" w:type="dxa"/>
          </w:tcPr>
          <w:p w:rsidR="00EB5C1E" w:rsidRPr="00B76123" w:rsidRDefault="00EB5C1E" w:rsidP="00EB5C1E">
            <w:pPr>
              <w:cnfStyle w:val="000000000000"/>
              <w:rPr>
                <w:sz w:val="18"/>
                <w:szCs w:val="18"/>
              </w:rPr>
            </w:pPr>
            <w:r>
              <w:rPr>
                <w:sz w:val="18"/>
                <w:szCs w:val="18"/>
              </w:rPr>
              <w:t>.25u</w:t>
            </w:r>
          </w:p>
        </w:tc>
        <w:tc>
          <w:tcPr>
            <w:tcW w:w="1046" w:type="dxa"/>
          </w:tcPr>
          <w:p w:rsidR="00EB5C1E" w:rsidRPr="00B76123" w:rsidRDefault="00EB5C1E" w:rsidP="00EB5C1E">
            <w:pPr>
              <w:cnfStyle w:val="000000000000"/>
              <w:rPr>
                <w:sz w:val="18"/>
                <w:szCs w:val="18"/>
              </w:rPr>
            </w:pPr>
            <w:r>
              <w:rPr>
                <w:sz w:val="18"/>
                <w:szCs w:val="18"/>
              </w:rPr>
              <w:t>.186u</w:t>
            </w:r>
          </w:p>
        </w:tc>
        <w:tc>
          <w:tcPr>
            <w:tcW w:w="1046" w:type="dxa"/>
          </w:tcPr>
          <w:p w:rsidR="00EB5C1E" w:rsidRPr="00B76123" w:rsidRDefault="00EB5C1E" w:rsidP="00EB5C1E">
            <w:pPr>
              <w:cnfStyle w:val="000000000000"/>
              <w:rPr>
                <w:sz w:val="18"/>
                <w:szCs w:val="18"/>
              </w:rPr>
            </w:pPr>
            <w:r>
              <w:rPr>
                <w:sz w:val="18"/>
                <w:szCs w:val="18"/>
              </w:rPr>
              <w:t>.25u</w:t>
            </w:r>
          </w:p>
        </w:tc>
        <w:tc>
          <w:tcPr>
            <w:tcW w:w="1046" w:type="dxa"/>
          </w:tcPr>
          <w:p w:rsidR="00EB5C1E" w:rsidRPr="00B76123" w:rsidRDefault="00EB5C1E" w:rsidP="00EB5C1E">
            <w:pPr>
              <w:cnfStyle w:val="000000000000"/>
              <w:rPr>
                <w:sz w:val="18"/>
                <w:szCs w:val="18"/>
              </w:rPr>
            </w:pPr>
            <w:r>
              <w:rPr>
                <w:sz w:val="18"/>
                <w:szCs w:val="18"/>
              </w:rPr>
              <w:t>.33u</w:t>
            </w:r>
          </w:p>
        </w:tc>
        <w:tc>
          <w:tcPr>
            <w:tcW w:w="1046" w:type="dxa"/>
          </w:tcPr>
          <w:p w:rsidR="00EB5C1E" w:rsidRPr="00B76123" w:rsidRDefault="00EB5C1E" w:rsidP="00EB5C1E">
            <w:pPr>
              <w:cnfStyle w:val="000000000000"/>
              <w:rPr>
                <w:sz w:val="18"/>
                <w:szCs w:val="18"/>
              </w:rPr>
            </w:pPr>
            <w:r>
              <w:rPr>
                <w:sz w:val="18"/>
                <w:szCs w:val="18"/>
              </w:rPr>
              <w:t>.41u</w:t>
            </w:r>
          </w:p>
        </w:tc>
        <w:tc>
          <w:tcPr>
            <w:tcW w:w="1046" w:type="dxa"/>
          </w:tcPr>
          <w:p w:rsidR="00EB5C1E" w:rsidRPr="00B76123" w:rsidRDefault="00EB5C1E" w:rsidP="00EB5C1E">
            <w:pPr>
              <w:cnfStyle w:val="000000000000"/>
              <w:rPr>
                <w:sz w:val="18"/>
                <w:szCs w:val="18"/>
              </w:rPr>
            </w:pPr>
            <w:r>
              <w:rPr>
                <w:sz w:val="18"/>
                <w:szCs w:val="18"/>
              </w:rPr>
              <w:t>.58u</w:t>
            </w:r>
          </w:p>
        </w:tc>
        <w:tc>
          <w:tcPr>
            <w:tcW w:w="1046" w:type="dxa"/>
          </w:tcPr>
          <w:p w:rsidR="00EB5C1E" w:rsidRPr="00B76123" w:rsidRDefault="00EB5C1E" w:rsidP="00EB5C1E">
            <w:pPr>
              <w:cnfStyle w:val="000000000000"/>
              <w:rPr>
                <w:sz w:val="18"/>
                <w:szCs w:val="18"/>
              </w:rPr>
            </w:pPr>
            <w:r>
              <w:rPr>
                <w:sz w:val="18"/>
                <w:szCs w:val="18"/>
              </w:rPr>
              <w:t>.67u</w:t>
            </w:r>
          </w:p>
        </w:tc>
      </w:tr>
      <w:tr w:rsidR="00EB5C1E" w:rsidRPr="00B76123" w:rsidTr="00EB5C1E">
        <w:trPr>
          <w:cnfStyle w:val="000000100000"/>
          <w:trHeight w:val="236"/>
        </w:trPr>
        <w:tc>
          <w:tcPr>
            <w:cnfStyle w:val="001000000000"/>
            <w:tcW w:w="1044" w:type="dxa"/>
            <w:vMerge w:val="restart"/>
          </w:tcPr>
          <w:p w:rsidR="00EB5C1E" w:rsidRPr="00B76123" w:rsidRDefault="00EB5C1E" w:rsidP="00EB5C1E">
            <w:pPr>
              <w:jc w:val="center"/>
              <w:rPr>
                <w:color w:val="auto"/>
                <w:sz w:val="18"/>
                <w:szCs w:val="18"/>
              </w:rPr>
            </w:pPr>
            <w:r w:rsidRPr="00B76123">
              <w:rPr>
                <w:color w:val="auto"/>
                <w:sz w:val="18"/>
                <w:szCs w:val="18"/>
              </w:rPr>
              <w:t>NMOS</w:t>
            </w:r>
          </w:p>
        </w:tc>
        <w:tc>
          <w:tcPr>
            <w:tcW w:w="1044" w:type="dxa"/>
          </w:tcPr>
          <w:p w:rsidR="00EB5C1E" w:rsidRPr="006E0F10" w:rsidRDefault="00EB5C1E" w:rsidP="00EB5C1E">
            <w:pPr>
              <w:jc w:val="center"/>
              <w:cnfStyle w:val="000000100000"/>
              <w:rPr>
                <w:b/>
                <w:sz w:val="18"/>
                <w:szCs w:val="18"/>
              </w:rPr>
            </w:pPr>
            <w:r w:rsidRPr="006E0F10">
              <w:rPr>
                <w:b/>
                <w:sz w:val="18"/>
                <w:szCs w:val="18"/>
              </w:rPr>
              <w:t>W</w:t>
            </w:r>
          </w:p>
        </w:tc>
        <w:tc>
          <w:tcPr>
            <w:tcW w:w="1046" w:type="dxa"/>
          </w:tcPr>
          <w:p w:rsidR="00EB5C1E" w:rsidRPr="00B76123" w:rsidRDefault="00EB5C1E" w:rsidP="00EB5C1E">
            <w:pPr>
              <w:cnfStyle w:val="000000100000"/>
              <w:rPr>
                <w:sz w:val="18"/>
                <w:szCs w:val="18"/>
              </w:rPr>
            </w:pPr>
            <w:r>
              <w:rPr>
                <w:sz w:val="18"/>
                <w:szCs w:val="18"/>
              </w:rPr>
              <w:t>.43u</w:t>
            </w:r>
          </w:p>
        </w:tc>
        <w:tc>
          <w:tcPr>
            <w:tcW w:w="1046" w:type="dxa"/>
          </w:tcPr>
          <w:p w:rsidR="00EB5C1E" w:rsidRPr="00B76123" w:rsidRDefault="00EB5C1E" w:rsidP="00EB5C1E">
            <w:pPr>
              <w:cnfStyle w:val="000000100000"/>
              <w:rPr>
                <w:sz w:val="18"/>
                <w:szCs w:val="18"/>
              </w:rPr>
            </w:pPr>
            <w:r>
              <w:rPr>
                <w:sz w:val="18"/>
                <w:szCs w:val="18"/>
              </w:rPr>
              <w:t>.232u</w:t>
            </w:r>
          </w:p>
        </w:tc>
        <w:tc>
          <w:tcPr>
            <w:tcW w:w="1046" w:type="dxa"/>
          </w:tcPr>
          <w:p w:rsidR="00EB5C1E" w:rsidRPr="00B76123" w:rsidRDefault="00EB5C1E" w:rsidP="00EB5C1E">
            <w:pPr>
              <w:cnfStyle w:val="000000100000"/>
              <w:rPr>
                <w:sz w:val="18"/>
                <w:szCs w:val="18"/>
              </w:rPr>
            </w:pPr>
            <w:r>
              <w:rPr>
                <w:sz w:val="18"/>
                <w:szCs w:val="18"/>
              </w:rPr>
              <w:t>.37u</w:t>
            </w:r>
          </w:p>
        </w:tc>
        <w:tc>
          <w:tcPr>
            <w:tcW w:w="1046" w:type="dxa"/>
          </w:tcPr>
          <w:p w:rsidR="00EB5C1E" w:rsidRPr="00B76123" w:rsidRDefault="00EB5C1E" w:rsidP="00EB5C1E">
            <w:pPr>
              <w:cnfStyle w:val="000000100000"/>
              <w:rPr>
                <w:sz w:val="18"/>
                <w:szCs w:val="18"/>
              </w:rPr>
            </w:pPr>
            <w:r>
              <w:rPr>
                <w:sz w:val="18"/>
                <w:szCs w:val="18"/>
              </w:rPr>
              <w:t>.47u</w:t>
            </w:r>
          </w:p>
        </w:tc>
        <w:tc>
          <w:tcPr>
            <w:tcW w:w="1046" w:type="dxa"/>
          </w:tcPr>
          <w:p w:rsidR="00EB5C1E" w:rsidRPr="00B76123" w:rsidRDefault="00EB5C1E" w:rsidP="00EB5C1E">
            <w:pPr>
              <w:cnfStyle w:val="000000100000"/>
              <w:rPr>
                <w:sz w:val="18"/>
                <w:szCs w:val="18"/>
              </w:rPr>
            </w:pPr>
            <w:r>
              <w:rPr>
                <w:sz w:val="18"/>
                <w:szCs w:val="18"/>
              </w:rPr>
              <w:t>1.042u</w:t>
            </w:r>
          </w:p>
        </w:tc>
        <w:tc>
          <w:tcPr>
            <w:tcW w:w="1046" w:type="dxa"/>
          </w:tcPr>
          <w:p w:rsidR="00EB5C1E" w:rsidRPr="00B76123" w:rsidRDefault="00EB5C1E" w:rsidP="00EB5C1E">
            <w:pPr>
              <w:cnfStyle w:val="000000100000"/>
              <w:rPr>
                <w:sz w:val="18"/>
                <w:szCs w:val="18"/>
              </w:rPr>
            </w:pPr>
            <w:r>
              <w:rPr>
                <w:sz w:val="18"/>
                <w:szCs w:val="18"/>
              </w:rPr>
              <w:t>1.92u</w:t>
            </w:r>
          </w:p>
        </w:tc>
        <w:tc>
          <w:tcPr>
            <w:tcW w:w="1046" w:type="dxa"/>
          </w:tcPr>
          <w:p w:rsidR="00EB5C1E" w:rsidRPr="00B76123" w:rsidRDefault="00EB5C1E" w:rsidP="00EB5C1E">
            <w:pPr>
              <w:cnfStyle w:val="000000100000"/>
              <w:rPr>
                <w:sz w:val="18"/>
                <w:szCs w:val="18"/>
              </w:rPr>
            </w:pPr>
            <w:r>
              <w:rPr>
                <w:sz w:val="18"/>
                <w:szCs w:val="18"/>
              </w:rPr>
              <w:t>2.55u</w:t>
            </w:r>
          </w:p>
        </w:tc>
      </w:tr>
      <w:tr w:rsidR="00EB5C1E" w:rsidRPr="00B76123" w:rsidTr="00EB5C1E">
        <w:trPr>
          <w:trHeight w:val="155"/>
        </w:trPr>
        <w:tc>
          <w:tcPr>
            <w:cnfStyle w:val="001000000000"/>
            <w:tcW w:w="1044" w:type="dxa"/>
            <w:vMerge/>
          </w:tcPr>
          <w:p w:rsidR="00EB5C1E" w:rsidRPr="00B76123" w:rsidRDefault="00EB5C1E" w:rsidP="00EB5C1E">
            <w:pPr>
              <w:rPr>
                <w:sz w:val="18"/>
                <w:szCs w:val="18"/>
              </w:rPr>
            </w:pPr>
          </w:p>
        </w:tc>
        <w:tc>
          <w:tcPr>
            <w:tcW w:w="1044" w:type="dxa"/>
          </w:tcPr>
          <w:p w:rsidR="00EB5C1E" w:rsidRPr="006E0F10" w:rsidRDefault="00EB5C1E" w:rsidP="00EB5C1E">
            <w:pPr>
              <w:jc w:val="center"/>
              <w:cnfStyle w:val="000000000000"/>
              <w:rPr>
                <w:b/>
                <w:sz w:val="18"/>
                <w:szCs w:val="18"/>
              </w:rPr>
            </w:pPr>
            <w:r w:rsidRPr="006E0F10">
              <w:rPr>
                <w:b/>
                <w:sz w:val="18"/>
                <w:szCs w:val="18"/>
              </w:rPr>
              <w:t>L</w:t>
            </w:r>
          </w:p>
        </w:tc>
        <w:tc>
          <w:tcPr>
            <w:tcW w:w="1046" w:type="dxa"/>
          </w:tcPr>
          <w:p w:rsidR="00EB5C1E" w:rsidRPr="00B76123" w:rsidRDefault="00EB5C1E" w:rsidP="00EB5C1E">
            <w:pPr>
              <w:cnfStyle w:val="000000000000"/>
              <w:rPr>
                <w:sz w:val="18"/>
                <w:szCs w:val="18"/>
              </w:rPr>
            </w:pPr>
            <w:r>
              <w:rPr>
                <w:sz w:val="18"/>
                <w:szCs w:val="18"/>
              </w:rPr>
              <w:t>.43u</w:t>
            </w:r>
          </w:p>
        </w:tc>
        <w:tc>
          <w:tcPr>
            <w:tcW w:w="1046" w:type="dxa"/>
          </w:tcPr>
          <w:p w:rsidR="00EB5C1E" w:rsidRPr="00B76123" w:rsidRDefault="00EB5C1E" w:rsidP="00EB5C1E">
            <w:pPr>
              <w:cnfStyle w:val="000000000000"/>
              <w:rPr>
                <w:sz w:val="18"/>
                <w:szCs w:val="18"/>
              </w:rPr>
            </w:pPr>
            <w:r>
              <w:rPr>
                <w:sz w:val="18"/>
                <w:szCs w:val="18"/>
              </w:rPr>
              <w:t>.2u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c>
          <w:tcPr>
            <w:tcW w:w="1046" w:type="dxa"/>
          </w:tcPr>
          <w:p w:rsidR="00EB5C1E" w:rsidRPr="00B76123" w:rsidRDefault="00EB5C1E" w:rsidP="00EB5C1E">
            <w:pPr>
              <w:cnfStyle w:val="000000000000"/>
              <w:rPr>
                <w:sz w:val="18"/>
                <w:szCs w:val="18"/>
              </w:rPr>
            </w:pPr>
            <w:r>
              <w:rPr>
                <w:sz w:val="18"/>
                <w:szCs w:val="18"/>
              </w:rPr>
              <w:t>.18u</w:t>
            </w:r>
          </w:p>
        </w:tc>
      </w:tr>
    </w:tbl>
    <w:p w:rsidR="00EB5C1E" w:rsidRDefault="00EB5C1E" w:rsidP="00EB5C1E">
      <w:pPr>
        <w:pStyle w:val="Epgrafe"/>
      </w:pPr>
      <w:r>
        <w:t>Dimensiones de los transistores en las Compuertas.</w:t>
      </w:r>
    </w:p>
    <w:p w:rsidR="00EB5C1E" w:rsidRPr="002C0EE8" w:rsidRDefault="00EB5C1E" w:rsidP="00EB5C1E">
      <w:pPr>
        <w:rPr>
          <w:szCs w:val="18"/>
        </w:rPr>
      </w:pPr>
      <w:r w:rsidRPr="002C0EE8">
        <w:rPr>
          <w:szCs w:val="18"/>
        </w:rPr>
        <w:t xml:space="preserve">Realizando un análisis en conjunto de </w:t>
      </w:r>
      <w:r w:rsidR="00D27F9B" w:rsidRPr="002C0EE8">
        <w:rPr>
          <w:szCs w:val="18"/>
        </w:rPr>
        <w:t>las compuertas</w:t>
      </w:r>
      <w:r w:rsidRPr="002C0EE8">
        <w:rPr>
          <w:szCs w:val="18"/>
        </w:rPr>
        <w:t xml:space="preserve">, obtuvimos las curvas características de transferencia de voltaje de las compuertas (VTC) y los tiempos de </w:t>
      </w:r>
      <w:r w:rsidR="00D27F9B" w:rsidRPr="002C0EE8">
        <w:rPr>
          <w:szCs w:val="18"/>
        </w:rPr>
        <w:t>retraso (ya mencionados en el cuerpo del trabajo)</w:t>
      </w:r>
      <w:r w:rsidRPr="002C0EE8">
        <w:rPr>
          <w:szCs w:val="18"/>
        </w:rPr>
        <w:t>. Los datos obtenidos a partir de ellas son:</w:t>
      </w:r>
    </w:p>
    <w:p w:rsidR="00EB5C1E" w:rsidRPr="002C0EE8" w:rsidRDefault="00EB5C1E" w:rsidP="00EB5C1E">
      <w:pPr>
        <w:pStyle w:val="Prrafodelista"/>
        <w:numPr>
          <w:ilvl w:val="0"/>
          <w:numId w:val="2"/>
        </w:numPr>
        <w:rPr>
          <w:b/>
          <w:i/>
          <w:color w:val="FF0000"/>
          <w:szCs w:val="18"/>
        </w:rPr>
      </w:pPr>
      <w:r w:rsidRPr="002C0EE8">
        <w:rPr>
          <w:b/>
          <w:color w:val="FF0000"/>
          <w:szCs w:val="18"/>
        </w:rPr>
        <w:t>1.2V &lt; V</w:t>
      </w:r>
      <w:r w:rsidRPr="002C0EE8">
        <w:rPr>
          <w:b/>
          <w:color w:val="FF0000"/>
          <w:szCs w:val="18"/>
          <w:vertAlign w:val="subscript"/>
        </w:rPr>
        <w:t>SP</w:t>
      </w:r>
      <w:r w:rsidRPr="002C0EE8">
        <w:rPr>
          <w:b/>
          <w:color w:val="FF0000"/>
          <w:szCs w:val="18"/>
        </w:rPr>
        <w:t xml:space="preserve"> &lt; 1.7V</w:t>
      </w:r>
      <w:r w:rsidRPr="002C0EE8">
        <w:rPr>
          <w:b/>
          <w:i/>
          <w:color w:val="FF0000"/>
          <w:szCs w:val="18"/>
        </w:rPr>
        <w:t xml:space="preserve"> (Tensión de cambio) </w:t>
      </w:r>
    </w:p>
    <w:p w:rsidR="00EB5C1E" w:rsidRDefault="00EB5C1E" w:rsidP="00EB5C1E">
      <w:pPr>
        <w:keepNext/>
      </w:pPr>
      <w:r>
        <w:rPr>
          <w:noProof/>
          <w:szCs w:val="18"/>
          <w:lang w:eastAsia="es-AR"/>
        </w:rPr>
        <w:drawing>
          <wp:inline distT="0" distB="0" distL="0" distR="0">
            <wp:extent cx="3992780" cy="2520000"/>
            <wp:effectExtent l="19050" t="0" r="772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3992780" cy="2520000"/>
                    </a:xfrm>
                    <a:prstGeom prst="rect">
                      <a:avLst/>
                    </a:prstGeom>
                    <a:noFill/>
                    <a:ln w="9525">
                      <a:noFill/>
                      <a:miter lim="800000"/>
                      <a:headEnd/>
                      <a:tailEnd/>
                    </a:ln>
                  </pic:spPr>
                </pic:pic>
              </a:graphicData>
            </a:graphic>
          </wp:inline>
        </w:drawing>
      </w:r>
    </w:p>
    <w:p w:rsidR="00EB5C1E" w:rsidRDefault="00EB5C1E" w:rsidP="00EB5C1E">
      <w:pPr>
        <w:pStyle w:val="Epgrafe"/>
      </w:pPr>
      <w:r>
        <w:t>Curva de VTC de las Compuertas.</w:t>
      </w:r>
    </w:p>
    <w:p w:rsidR="00EB5C1E" w:rsidRPr="002C0EE8" w:rsidRDefault="00D27F9B" w:rsidP="00EB5C1E">
      <w:r w:rsidRPr="002C0EE8">
        <w:lastRenderedPageBreak/>
        <w:t>L</w:t>
      </w:r>
      <w:r w:rsidR="00EB5C1E" w:rsidRPr="002C0EE8">
        <w:t>as compuertas tienen una tensión de cambio V</w:t>
      </w:r>
      <w:r w:rsidR="00EB5C1E" w:rsidRPr="002C0EE8">
        <w:rPr>
          <w:vertAlign w:val="subscript"/>
        </w:rPr>
        <w:t>SP</w:t>
      </w:r>
      <w:r w:rsidR="00EB5C1E" w:rsidRPr="002C0EE8">
        <w:t xml:space="preserve"> muy similar entre ellas (1.5V promedio) a pesar de la variación de transistores entre cada una. El dimensionamiento que permitió esta aproximación entre tensiones también generó una rápida respuesta individual de cada una de ellas (tiempos de transición menor a los 100pS) ante una perturbación de entrada de tipo escalón (con una característica de tiempos de subida-bajada de 10pS</w:t>
      </w:r>
      <w:r w:rsidRPr="002C0EE8">
        <w:t>).</w:t>
      </w:r>
    </w:p>
    <w:p w:rsidR="00EB5C1E" w:rsidRPr="00970CB0" w:rsidRDefault="00EB5C1E" w:rsidP="00EB5C1E">
      <w:r w:rsidRPr="002C0EE8">
        <w:t xml:space="preserve">Las tensiones de niveles altos y bajos resultaron </w:t>
      </w:r>
      <w:r w:rsidR="00D27F9B" w:rsidRPr="002C0EE8">
        <w:t>adecuados</w:t>
      </w:r>
      <w:r w:rsidRPr="002C0EE8">
        <w:t xml:space="preserve"> para el diseño.</w:t>
      </w:r>
      <w:r w:rsidR="00D27F9B" w:rsidRPr="002C0EE8">
        <w:t xml:space="preserve"> A</w:t>
      </w:r>
      <w:r w:rsidRPr="002C0EE8">
        <w:t xml:space="preserve"> medida que las compuertas aumentan la cantidad de transistores NMOS en serie (aumentando de NEG a NAND8) la tensión de nivel bajo va aumentando en igual secuencia, pero permaneciendo por debajo del nivel de tensión máximo reconocido como un nivel lógico bajo o CERO (tensiones por debajo de 1V).</w:t>
      </w:r>
    </w:p>
    <w:p w:rsidR="002C0EE8" w:rsidRDefault="007B7E23" w:rsidP="002C0EE8">
      <w:pPr>
        <w:pStyle w:val="Ttulo3"/>
        <w:pBdr>
          <w:top w:val="single" w:sz="4" w:space="1" w:color="auto"/>
          <w:bottom w:val="single" w:sz="4" w:space="1" w:color="auto"/>
        </w:pBdr>
      </w:pPr>
      <w:r>
        <w:t>DECODIFICADOR</w:t>
      </w:r>
    </w:p>
    <w:p w:rsidR="00E35512" w:rsidRPr="00E35512" w:rsidRDefault="007B7E23" w:rsidP="007B7E23">
      <w:r w:rsidRPr="00E35512">
        <w:t>Es el encargado de interpretar el código digital obtenido a partir de los comparadores a la entrada del conversor (código termómetro de 256 niveles) y transformarlo en una palabra digital de salida de un determinado código (en este caso, código binario de 6 dígitos).</w:t>
      </w:r>
    </w:p>
    <w:p w:rsidR="007B7E23" w:rsidRDefault="007B7E23" w:rsidP="007B7E23">
      <w:pPr>
        <w:pStyle w:val="Epgrafe"/>
      </w:pPr>
      <w:r w:rsidRPr="0021790A">
        <w:rPr>
          <w:highlight w:val="yellow"/>
        </w:rPr>
        <w:object w:dxaOrig="15863" w:dyaOrig="8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391.3pt" o:ole="">
            <v:imagedata r:id="rId37" o:title=""/>
          </v:shape>
          <o:OLEObject Type="Embed" ProgID="Excel.Sheet.12" ShapeID="_x0000_i1025" DrawAspect="Content" ObjectID="_1341227007" r:id="rId38"/>
        </w:object>
      </w:r>
      <w:r>
        <w:t>Tabla de relación del decodificador de código Termómetro de 256 valores a código Binario de 6 bits.</w:t>
      </w:r>
    </w:p>
    <w:p w:rsidR="007B7E23" w:rsidRPr="00E35512" w:rsidRDefault="007B7E23" w:rsidP="007B7E23">
      <w:r w:rsidRPr="00E35512">
        <w:t>De la tabla se obtuvieron las siguientes relaciones para cada combinación de código binario de salida</w:t>
      </w:r>
      <w:r w:rsidR="00E35512" w:rsidRPr="00E35512">
        <w:t xml:space="preserve"> (ya mencionadas en el cuerpo del trabajo)</w:t>
      </w:r>
      <w:r w:rsidRPr="00E35512">
        <w:t>:</w:t>
      </w:r>
    </w:p>
    <w:p w:rsidR="007B7E23" w:rsidRPr="00E35512" w:rsidRDefault="007B7E23" w:rsidP="007B7E23">
      <w:pPr>
        <w:rPr>
          <w:rFonts w:eastAsiaTheme="minorEastAsia"/>
        </w:rPr>
      </w:pPr>
      <m:oMathPara>
        <m:oMath>
          <m:r>
            <w:rPr>
              <w:rFonts w:ascii="Cambria Math" w:hAnsi="Cambria Math"/>
            </w:rPr>
            <m:t>MSB=C32</m:t>
          </m:r>
        </m:oMath>
      </m:oMathPara>
    </w:p>
    <w:p w:rsidR="007B7E23" w:rsidRPr="00E35512" w:rsidRDefault="007B7E23" w:rsidP="007B7E23">
      <w:pPr>
        <w:rPr>
          <w:rFonts w:eastAsiaTheme="minorEastAsia"/>
        </w:rPr>
      </w:pPr>
      <m:oMathPara>
        <m:oMath>
          <m:r>
            <w:rPr>
              <w:rFonts w:ascii="Cambria Math" w:hAnsi="Cambria Math"/>
            </w:rPr>
            <m:t>5SB=C16+</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C48</m:t>
          </m:r>
        </m:oMath>
      </m:oMathPara>
    </w:p>
    <w:p w:rsidR="007B7E23" w:rsidRPr="00E35512" w:rsidRDefault="007B7E23" w:rsidP="007B7E23">
      <w:pPr>
        <w:rPr>
          <w:rFonts w:eastAsiaTheme="minorEastAsia"/>
        </w:rPr>
      </w:pPr>
      <m:oMathPara>
        <m:oMath>
          <m:r>
            <w:rPr>
              <w:rFonts w:ascii="Cambria Math" w:hAnsi="Cambria Math"/>
            </w:rPr>
            <m:t>4SB=C8+</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C24+</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C40+</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C56</m:t>
          </m:r>
        </m:oMath>
      </m:oMathPara>
    </w:p>
    <w:p w:rsidR="007B7E23" w:rsidRPr="00E35512" w:rsidRDefault="007B7E23" w:rsidP="007B7E23">
      <w:pPr>
        <w:rPr>
          <w:rFonts w:eastAsiaTheme="minorEastAsia"/>
          <w:i/>
        </w:rPr>
      </w:pPr>
      <m:oMathPara>
        <m:oMath>
          <m:r>
            <w:rPr>
              <w:rFonts w:ascii="Cambria Math" w:hAnsi="Cambria Math"/>
            </w:rPr>
            <m:t>3SB=C4+</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C12+</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C20+</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C28+</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C36+</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C44+</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C52+</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C60</m:t>
          </m:r>
        </m:oMath>
      </m:oMathPara>
    </w:p>
    <w:p w:rsidR="007B7E23" w:rsidRPr="00E35512" w:rsidRDefault="007B7E23" w:rsidP="007B7E23">
      <w:pPr>
        <w:rPr>
          <w:rFonts w:eastAsiaTheme="minorEastAsia"/>
          <w:i/>
        </w:rPr>
      </w:pPr>
      <m:oMathPara>
        <m:oMath>
          <m:r>
            <w:rPr>
              <w:rFonts w:ascii="Cambria Math" w:hAnsi="Cambria Math"/>
            </w:rPr>
            <m:t>2SB=C2+</m:t>
          </m:r>
          <m:acc>
            <m:accPr>
              <m:chr m:val="̅"/>
              <m:ctrlPr>
                <w:rPr>
                  <w:rFonts w:ascii="Cambria Math" w:hAnsi="Cambria Math"/>
                  <w:i/>
                </w:rPr>
              </m:ctrlPr>
            </m:accPr>
            <m:e>
              <m:r>
                <w:rPr>
                  <w:rFonts w:ascii="Cambria Math" w:hAnsi="Cambria Math"/>
                </w:rPr>
                <m:t>C4</m:t>
              </m:r>
            </m:e>
          </m:acc>
          <m:r>
            <w:rPr>
              <w:rFonts w:ascii="Cambria Math" w:eastAsiaTheme="minorEastAsia" w:hAnsi="Cambria Math"/>
            </w:rPr>
            <m:t>C6+</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C10+</m:t>
          </m:r>
          <m:acc>
            <m:accPr>
              <m:chr m:val="̅"/>
              <m:ctrlPr>
                <w:rPr>
                  <w:rFonts w:ascii="Cambria Math" w:hAnsi="Cambria Math"/>
                  <w:i/>
                </w:rPr>
              </m:ctrlPr>
            </m:accPr>
            <m:e>
              <m:r>
                <w:rPr>
                  <w:rFonts w:ascii="Cambria Math" w:hAnsi="Cambria Math"/>
                </w:rPr>
                <m:t>C12</m:t>
              </m:r>
            </m:e>
          </m:acc>
          <m:r>
            <w:rPr>
              <w:rFonts w:ascii="Cambria Math" w:eastAsiaTheme="minorEastAsia" w:hAnsi="Cambria Math"/>
            </w:rPr>
            <m:t>C14+</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C18+</m:t>
          </m:r>
          <m:acc>
            <m:accPr>
              <m:chr m:val="̅"/>
              <m:ctrlPr>
                <w:rPr>
                  <w:rFonts w:ascii="Cambria Math" w:hAnsi="Cambria Math"/>
                  <w:i/>
                </w:rPr>
              </m:ctrlPr>
            </m:accPr>
            <m:e>
              <m:r>
                <w:rPr>
                  <w:rFonts w:ascii="Cambria Math" w:hAnsi="Cambria Math"/>
                </w:rPr>
                <m:t>C20</m:t>
              </m:r>
            </m:e>
          </m:acc>
          <m:r>
            <w:rPr>
              <w:rFonts w:ascii="Cambria Math" w:eastAsiaTheme="minorEastAsia" w:hAnsi="Cambria Math"/>
            </w:rPr>
            <m:t>C22+</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C26+</m:t>
          </m:r>
          <m:acc>
            <m:accPr>
              <m:chr m:val="̅"/>
              <m:ctrlPr>
                <w:rPr>
                  <w:rFonts w:ascii="Cambria Math" w:hAnsi="Cambria Math"/>
                  <w:i/>
                </w:rPr>
              </m:ctrlPr>
            </m:accPr>
            <m:e>
              <m:r>
                <w:rPr>
                  <w:rFonts w:ascii="Cambria Math" w:hAnsi="Cambria Math"/>
                </w:rPr>
                <m:t>C28</m:t>
              </m:r>
            </m:e>
          </m:acc>
          <m:r>
            <w:rPr>
              <w:rFonts w:ascii="Cambria Math" w:eastAsiaTheme="minorEastAsia" w:hAnsi="Cambria Math"/>
            </w:rPr>
            <m:t>C30</m:t>
          </m:r>
          <m:r>
            <w:rPr>
              <w:rFonts w:ascii="Cambria Math" w:hAnsi="Cambria Math"/>
            </w:rPr>
            <m:t>+</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C34</m:t>
          </m:r>
          <m:r>
            <w:rPr>
              <w:rFonts w:ascii="Cambria Math" w:hAnsi="Cambria Math"/>
            </w:rPr>
            <m:t>+</m:t>
          </m:r>
          <m:acc>
            <m:accPr>
              <m:chr m:val="̅"/>
              <m:ctrlPr>
                <w:rPr>
                  <w:rFonts w:ascii="Cambria Math" w:hAnsi="Cambria Math"/>
                  <w:i/>
                </w:rPr>
              </m:ctrlPr>
            </m:accPr>
            <m:e>
              <m:r>
                <w:rPr>
                  <w:rFonts w:ascii="Cambria Math" w:hAnsi="Cambria Math"/>
                </w:rPr>
                <m:t>C36</m:t>
              </m:r>
            </m:e>
          </m:acc>
          <m:r>
            <w:rPr>
              <w:rFonts w:ascii="Cambria Math" w:eastAsiaTheme="minorEastAsia" w:hAnsi="Cambria Math"/>
            </w:rPr>
            <m:t>C38</m:t>
          </m:r>
          <m:r>
            <w:rPr>
              <w:rFonts w:ascii="Cambria Math" w:hAnsi="Cambria Math"/>
            </w:rPr>
            <m:t>+</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C42</m:t>
          </m:r>
          <m:r>
            <w:rPr>
              <w:rFonts w:ascii="Cambria Math" w:hAnsi="Cambria Math"/>
            </w:rPr>
            <m:t>+</m:t>
          </m:r>
          <m:acc>
            <m:accPr>
              <m:chr m:val="̅"/>
              <m:ctrlPr>
                <w:rPr>
                  <w:rFonts w:ascii="Cambria Math" w:hAnsi="Cambria Math"/>
                  <w:i/>
                </w:rPr>
              </m:ctrlPr>
            </m:accPr>
            <m:e>
              <m:r>
                <w:rPr>
                  <w:rFonts w:ascii="Cambria Math" w:hAnsi="Cambria Math"/>
                </w:rPr>
                <m:t>C44</m:t>
              </m:r>
            </m:e>
          </m:acc>
          <m:r>
            <w:rPr>
              <w:rFonts w:ascii="Cambria Math" w:eastAsiaTheme="minorEastAsia" w:hAnsi="Cambria Math"/>
            </w:rPr>
            <m:t>C46</m:t>
          </m:r>
          <m:r>
            <w:rPr>
              <w:rFonts w:ascii="Cambria Math" w:hAnsi="Cambria Math"/>
            </w:rPr>
            <m:t>+</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C50</m:t>
          </m:r>
          <m:r>
            <w:rPr>
              <w:rFonts w:ascii="Cambria Math" w:hAnsi="Cambria Math"/>
            </w:rPr>
            <m:t>+</m:t>
          </m:r>
          <m:acc>
            <m:accPr>
              <m:chr m:val="̅"/>
              <m:ctrlPr>
                <w:rPr>
                  <w:rFonts w:ascii="Cambria Math" w:hAnsi="Cambria Math"/>
                  <w:i/>
                </w:rPr>
              </m:ctrlPr>
            </m:accPr>
            <m:e>
              <m:r>
                <w:rPr>
                  <w:rFonts w:ascii="Cambria Math" w:hAnsi="Cambria Math"/>
                </w:rPr>
                <m:t>C52</m:t>
              </m:r>
            </m:e>
          </m:acc>
          <m:r>
            <w:rPr>
              <w:rFonts w:ascii="Cambria Math" w:eastAsiaTheme="minorEastAsia" w:hAnsi="Cambria Math"/>
            </w:rPr>
            <m:t>C54</m:t>
          </m:r>
          <m:r>
            <w:rPr>
              <w:rFonts w:ascii="Cambria Math" w:hAnsi="Cambria Math"/>
            </w:rPr>
            <m:t>+</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C58</m:t>
          </m:r>
          <m:r>
            <w:rPr>
              <w:rFonts w:ascii="Cambria Math" w:hAnsi="Cambria Math"/>
            </w:rPr>
            <m:t>+</m:t>
          </m:r>
          <m:acc>
            <m:accPr>
              <m:chr m:val="̅"/>
              <m:ctrlPr>
                <w:rPr>
                  <w:rFonts w:ascii="Cambria Math" w:hAnsi="Cambria Math"/>
                  <w:i/>
                </w:rPr>
              </m:ctrlPr>
            </m:accPr>
            <m:e>
              <m:r>
                <w:rPr>
                  <w:rFonts w:ascii="Cambria Math" w:hAnsi="Cambria Math"/>
                </w:rPr>
                <m:t>C60</m:t>
              </m:r>
            </m:e>
          </m:acc>
          <m:r>
            <w:rPr>
              <w:rFonts w:ascii="Cambria Math" w:eastAsiaTheme="minorEastAsia" w:hAnsi="Cambria Math"/>
            </w:rPr>
            <m:t>C62</m:t>
          </m:r>
        </m:oMath>
      </m:oMathPara>
    </w:p>
    <w:p w:rsidR="007B7E23" w:rsidRPr="00E35512" w:rsidRDefault="007B7E23" w:rsidP="007B7E23">
      <w:pPr>
        <w:rPr>
          <w:rFonts w:eastAsiaTheme="minorEastAsia"/>
          <w:i/>
        </w:rPr>
      </w:pPr>
      <m:oMathPara>
        <m:oMath>
          <m:r>
            <w:rPr>
              <w:rFonts w:ascii="Cambria Math" w:hAnsi="Cambria Math"/>
            </w:rPr>
            <w:lastRenderedPageBreak/>
            <m:t>LSB=C1+</m:t>
          </m:r>
          <m:acc>
            <m:accPr>
              <m:chr m:val="̅"/>
              <m:ctrlPr>
                <w:rPr>
                  <w:rFonts w:ascii="Cambria Math" w:hAnsi="Cambria Math"/>
                  <w:i/>
                </w:rPr>
              </m:ctrlPr>
            </m:accPr>
            <m:e>
              <m:r>
                <w:rPr>
                  <w:rFonts w:ascii="Cambria Math" w:hAnsi="Cambria Math"/>
                </w:rPr>
                <m:t>C2</m:t>
              </m:r>
            </m:e>
          </m:acc>
          <m:r>
            <w:rPr>
              <w:rFonts w:ascii="Cambria Math" w:eastAsiaTheme="minorEastAsia" w:hAnsi="Cambria Math"/>
            </w:rPr>
            <m:t>C3</m:t>
          </m:r>
          <m:r>
            <w:rPr>
              <w:rFonts w:ascii="Cambria Math" w:hAnsi="Cambria Math"/>
            </w:rPr>
            <m:t>+</m:t>
          </m:r>
          <m:acc>
            <m:accPr>
              <m:chr m:val="̅"/>
              <m:ctrlPr>
                <w:rPr>
                  <w:rFonts w:ascii="Cambria Math" w:hAnsi="Cambria Math"/>
                  <w:i/>
                </w:rPr>
              </m:ctrlPr>
            </m:accPr>
            <m:e>
              <m:r>
                <w:rPr>
                  <w:rFonts w:ascii="Cambria Math" w:hAnsi="Cambria Math"/>
                </w:rPr>
                <m:t>C4</m:t>
              </m:r>
            </m:e>
          </m:acc>
          <m:r>
            <w:rPr>
              <w:rFonts w:ascii="Cambria Math" w:eastAsiaTheme="minorEastAsia" w:hAnsi="Cambria Math"/>
            </w:rPr>
            <m:t>C5</m:t>
          </m:r>
          <m:r>
            <w:rPr>
              <w:rFonts w:ascii="Cambria Math" w:hAnsi="Cambria Math"/>
            </w:rPr>
            <m:t>+</m:t>
          </m:r>
          <m:acc>
            <m:accPr>
              <m:chr m:val="̅"/>
              <m:ctrlPr>
                <w:rPr>
                  <w:rFonts w:ascii="Cambria Math" w:hAnsi="Cambria Math"/>
                  <w:i/>
                </w:rPr>
              </m:ctrlPr>
            </m:accPr>
            <m:e>
              <m:r>
                <w:rPr>
                  <w:rFonts w:ascii="Cambria Math" w:hAnsi="Cambria Math"/>
                </w:rPr>
                <m:t>C6</m:t>
              </m:r>
            </m:e>
          </m:acc>
          <m:r>
            <w:rPr>
              <w:rFonts w:ascii="Cambria Math" w:eastAsiaTheme="minorEastAsia" w:hAnsi="Cambria Math"/>
            </w:rPr>
            <m:t>C7</m:t>
          </m:r>
          <m:r>
            <w:rPr>
              <w:rFonts w:ascii="Cambria Math" w:hAnsi="Cambria Math"/>
            </w:rPr>
            <m:t>+</m:t>
          </m:r>
          <m:acc>
            <m:accPr>
              <m:chr m:val="̅"/>
              <m:ctrlPr>
                <w:rPr>
                  <w:rFonts w:ascii="Cambria Math" w:hAnsi="Cambria Math"/>
                  <w:i/>
                </w:rPr>
              </m:ctrlPr>
            </m:accPr>
            <m:e>
              <m:r>
                <w:rPr>
                  <w:rFonts w:ascii="Cambria Math" w:hAnsi="Cambria Math"/>
                </w:rPr>
                <m:t>C8</m:t>
              </m:r>
            </m:e>
          </m:acc>
          <m:r>
            <w:rPr>
              <w:rFonts w:ascii="Cambria Math" w:eastAsiaTheme="minorEastAsia" w:hAnsi="Cambria Math"/>
            </w:rPr>
            <m:t>C9</m:t>
          </m:r>
          <m:r>
            <w:rPr>
              <w:rFonts w:ascii="Cambria Math" w:hAnsi="Cambria Math"/>
            </w:rPr>
            <m:t>+</m:t>
          </m:r>
          <m:acc>
            <m:accPr>
              <m:chr m:val="̅"/>
              <m:ctrlPr>
                <w:rPr>
                  <w:rFonts w:ascii="Cambria Math" w:hAnsi="Cambria Math"/>
                  <w:i/>
                </w:rPr>
              </m:ctrlPr>
            </m:accPr>
            <m:e>
              <m:r>
                <w:rPr>
                  <w:rFonts w:ascii="Cambria Math" w:hAnsi="Cambria Math"/>
                </w:rPr>
                <m:t>C10</m:t>
              </m:r>
            </m:e>
          </m:acc>
          <m:r>
            <w:rPr>
              <w:rFonts w:ascii="Cambria Math" w:eastAsiaTheme="minorEastAsia" w:hAnsi="Cambria Math"/>
            </w:rPr>
            <m:t>C11</m:t>
          </m:r>
          <m:r>
            <w:rPr>
              <w:rFonts w:ascii="Cambria Math" w:hAnsi="Cambria Math"/>
            </w:rPr>
            <m:t>+</m:t>
          </m:r>
          <m:acc>
            <m:accPr>
              <m:chr m:val="̅"/>
              <m:ctrlPr>
                <w:rPr>
                  <w:rFonts w:ascii="Cambria Math" w:hAnsi="Cambria Math"/>
                  <w:i/>
                </w:rPr>
              </m:ctrlPr>
            </m:accPr>
            <m:e>
              <m:r>
                <w:rPr>
                  <w:rFonts w:ascii="Cambria Math" w:hAnsi="Cambria Math"/>
                </w:rPr>
                <m:t>C12</m:t>
              </m:r>
            </m:e>
          </m:acc>
          <m:r>
            <w:rPr>
              <w:rFonts w:ascii="Cambria Math" w:eastAsiaTheme="minorEastAsia" w:hAnsi="Cambria Math"/>
            </w:rPr>
            <m:t>C13</m:t>
          </m:r>
          <m:r>
            <w:rPr>
              <w:rFonts w:ascii="Cambria Math" w:hAnsi="Cambria Math"/>
            </w:rPr>
            <m:t>+</m:t>
          </m:r>
          <m:acc>
            <m:accPr>
              <m:chr m:val="̅"/>
              <m:ctrlPr>
                <w:rPr>
                  <w:rFonts w:ascii="Cambria Math" w:hAnsi="Cambria Math"/>
                  <w:i/>
                </w:rPr>
              </m:ctrlPr>
            </m:accPr>
            <m:e>
              <m:r>
                <w:rPr>
                  <w:rFonts w:ascii="Cambria Math" w:hAnsi="Cambria Math"/>
                </w:rPr>
                <m:t>C14</m:t>
              </m:r>
            </m:e>
          </m:acc>
          <m:r>
            <w:rPr>
              <w:rFonts w:ascii="Cambria Math" w:eastAsiaTheme="minorEastAsia" w:hAnsi="Cambria Math"/>
            </w:rPr>
            <m:t>C15</m:t>
          </m:r>
          <m:r>
            <w:rPr>
              <w:rFonts w:ascii="Cambria Math" w:hAnsi="Cambria Math"/>
            </w:rPr>
            <m:t>+</m:t>
          </m:r>
          <m:acc>
            <m:accPr>
              <m:chr m:val="̅"/>
              <m:ctrlPr>
                <w:rPr>
                  <w:rFonts w:ascii="Cambria Math" w:hAnsi="Cambria Math"/>
                  <w:i/>
                </w:rPr>
              </m:ctrlPr>
            </m:accPr>
            <m:e>
              <m:r>
                <w:rPr>
                  <w:rFonts w:ascii="Cambria Math" w:hAnsi="Cambria Math"/>
                </w:rPr>
                <m:t>C16</m:t>
              </m:r>
            </m:e>
          </m:acc>
          <m:r>
            <w:rPr>
              <w:rFonts w:ascii="Cambria Math" w:eastAsiaTheme="minorEastAsia" w:hAnsi="Cambria Math"/>
            </w:rPr>
            <m:t>C17</m:t>
          </m:r>
          <m:r>
            <w:rPr>
              <w:rFonts w:ascii="Cambria Math" w:hAnsi="Cambria Math"/>
            </w:rPr>
            <m:t>+</m:t>
          </m:r>
          <m:acc>
            <m:accPr>
              <m:chr m:val="̅"/>
              <m:ctrlPr>
                <w:rPr>
                  <w:rFonts w:ascii="Cambria Math" w:hAnsi="Cambria Math"/>
                  <w:i/>
                </w:rPr>
              </m:ctrlPr>
            </m:accPr>
            <m:e>
              <m:r>
                <w:rPr>
                  <w:rFonts w:ascii="Cambria Math" w:hAnsi="Cambria Math"/>
                </w:rPr>
                <m:t>C18</m:t>
              </m:r>
            </m:e>
          </m:acc>
          <m:r>
            <w:rPr>
              <w:rFonts w:ascii="Cambria Math" w:eastAsiaTheme="minorEastAsia" w:hAnsi="Cambria Math"/>
            </w:rPr>
            <m:t>C19</m:t>
          </m:r>
          <m:r>
            <w:rPr>
              <w:rFonts w:ascii="Cambria Math" w:hAnsi="Cambria Math"/>
            </w:rPr>
            <m:t>+</m:t>
          </m:r>
          <m:acc>
            <m:accPr>
              <m:chr m:val="̅"/>
              <m:ctrlPr>
                <w:rPr>
                  <w:rFonts w:ascii="Cambria Math" w:hAnsi="Cambria Math"/>
                  <w:i/>
                </w:rPr>
              </m:ctrlPr>
            </m:accPr>
            <m:e>
              <m:r>
                <w:rPr>
                  <w:rFonts w:ascii="Cambria Math" w:hAnsi="Cambria Math"/>
                </w:rPr>
                <m:t>C20</m:t>
              </m:r>
            </m:e>
          </m:acc>
          <m:r>
            <w:rPr>
              <w:rFonts w:ascii="Cambria Math" w:eastAsiaTheme="minorEastAsia" w:hAnsi="Cambria Math"/>
            </w:rPr>
            <m:t>C21</m:t>
          </m:r>
          <m:r>
            <w:rPr>
              <w:rFonts w:ascii="Cambria Math" w:hAnsi="Cambria Math"/>
            </w:rPr>
            <m:t>+</m:t>
          </m:r>
          <m:acc>
            <m:accPr>
              <m:chr m:val="̅"/>
              <m:ctrlPr>
                <w:rPr>
                  <w:rFonts w:ascii="Cambria Math" w:hAnsi="Cambria Math"/>
                  <w:i/>
                </w:rPr>
              </m:ctrlPr>
            </m:accPr>
            <m:e>
              <m:r>
                <w:rPr>
                  <w:rFonts w:ascii="Cambria Math" w:hAnsi="Cambria Math"/>
                </w:rPr>
                <m:t>C22</m:t>
              </m:r>
            </m:e>
          </m:acc>
          <m:r>
            <w:rPr>
              <w:rFonts w:ascii="Cambria Math" w:eastAsiaTheme="minorEastAsia" w:hAnsi="Cambria Math"/>
            </w:rPr>
            <m:t>C23</m:t>
          </m:r>
          <m:r>
            <w:rPr>
              <w:rFonts w:ascii="Cambria Math" w:hAnsi="Cambria Math"/>
            </w:rPr>
            <m:t>+</m:t>
          </m:r>
          <m:acc>
            <m:accPr>
              <m:chr m:val="̅"/>
              <m:ctrlPr>
                <w:rPr>
                  <w:rFonts w:ascii="Cambria Math" w:hAnsi="Cambria Math"/>
                  <w:i/>
                </w:rPr>
              </m:ctrlPr>
            </m:accPr>
            <m:e>
              <m:r>
                <w:rPr>
                  <w:rFonts w:ascii="Cambria Math" w:hAnsi="Cambria Math"/>
                </w:rPr>
                <m:t>C24</m:t>
              </m:r>
            </m:e>
          </m:acc>
          <m:r>
            <w:rPr>
              <w:rFonts w:ascii="Cambria Math" w:eastAsiaTheme="minorEastAsia" w:hAnsi="Cambria Math"/>
            </w:rPr>
            <m:t>C25</m:t>
          </m:r>
          <m:r>
            <w:rPr>
              <w:rFonts w:ascii="Cambria Math" w:hAnsi="Cambria Math"/>
            </w:rPr>
            <m:t>+</m:t>
          </m:r>
          <m:acc>
            <m:accPr>
              <m:chr m:val="̅"/>
              <m:ctrlPr>
                <w:rPr>
                  <w:rFonts w:ascii="Cambria Math" w:hAnsi="Cambria Math"/>
                  <w:i/>
                </w:rPr>
              </m:ctrlPr>
            </m:accPr>
            <m:e>
              <m:r>
                <w:rPr>
                  <w:rFonts w:ascii="Cambria Math" w:hAnsi="Cambria Math"/>
                </w:rPr>
                <m:t>C26</m:t>
              </m:r>
            </m:e>
          </m:acc>
          <m:r>
            <w:rPr>
              <w:rFonts w:ascii="Cambria Math" w:eastAsiaTheme="minorEastAsia" w:hAnsi="Cambria Math"/>
            </w:rPr>
            <m:t>C27</m:t>
          </m:r>
          <m:r>
            <w:rPr>
              <w:rFonts w:ascii="Cambria Math" w:hAnsi="Cambria Math"/>
            </w:rPr>
            <m:t>+</m:t>
          </m:r>
          <m:acc>
            <m:accPr>
              <m:chr m:val="̅"/>
              <m:ctrlPr>
                <w:rPr>
                  <w:rFonts w:ascii="Cambria Math" w:hAnsi="Cambria Math"/>
                  <w:i/>
                </w:rPr>
              </m:ctrlPr>
            </m:accPr>
            <m:e>
              <m:r>
                <w:rPr>
                  <w:rFonts w:ascii="Cambria Math" w:hAnsi="Cambria Math"/>
                </w:rPr>
                <m:t>C28</m:t>
              </m:r>
            </m:e>
          </m:acc>
          <m:r>
            <w:rPr>
              <w:rFonts w:ascii="Cambria Math" w:eastAsiaTheme="minorEastAsia" w:hAnsi="Cambria Math"/>
            </w:rPr>
            <m:t>C29</m:t>
          </m:r>
          <m:r>
            <w:rPr>
              <w:rFonts w:ascii="Cambria Math" w:hAnsi="Cambria Math"/>
            </w:rPr>
            <m:t>+</m:t>
          </m:r>
          <m:acc>
            <m:accPr>
              <m:chr m:val="̅"/>
              <m:ctrlPr>
                <w:rPr>
                  <w:rFonts w:ascii="Cambria Math" w:hAnsi="Cambria Math"/>
                  <w:i/>
                </w:rPr>
              </m:ctrlPr>
            </m:accPr>
            <m:e>
              <m:r>
                <w:rPr>
                  <w:rFonts w:ascii="Cambria Math" w:hAnsi="Cambria Math"/>
                </w:rPr>
                <m:t>C30</m:t>
              </m:r>
            </m:e>
          </m:acc>
          <m:r>
            <w:rPr>
              <w:rFonts w:ascii="Cambria Math" w:eastAsiaTheme="minorEastAsia" w:hAnsi="Cambria Math"/>
            </w:rPr>
            <m:t>C31</m:t>
          </m:r>
          <m:r>
            <w:rPr>
              <w:rFonts w:ascii="Cambria Math" w:hAnsi="Cambria Math"/>
            </w:rPr>
            <m:t>+</m:t>
          </m:r>
          <m:acc>
            <m:accPr>
              <m:chr m:val="̅"/>
              <m:ctrlPr>
                <w:rPr>
                  <w:rFonts w:ascii="Cambria Math" w:hAnsi="Cambria Math"/>
                  <w:i/>
                </w:rPr>
              </m:ctrlPr>
            </m:accPr>
            <m:e>
              <m:r>
                <w:rPr>
                  <w:rFonts w:ascii="Cambria Math" w:hAnsi="Cambria Math"/>
                </w:rPr>
                <m:t>C32</m:t>
              </m:r>
            </m:e>
          </m:acc>
          <m:r>
            <w:rPr>
              <w:rFonts w:ascii="Cambria Math" w:eastAsiaTheme="minorEastAsia" w:hAnsi="Cambria Math"/>
            </w:rPr>
            <m:t>C33</m:t>
          </m:r>
          <m:r>
            <w:rPr>
              <w:rFonts w:ascii="Cambria Math" w:hAnsi="Cambria Math"/>
            </w:rPr>
            <m:t>+</m:t>
          </m:r>
          <m:acc>
            <m:accPr>
              <m:chr m:val="̅"/>
              <m:ctrlPr>
                <w:rPr>
                  <w:rFonts w:ascii="Cambria Math" w:hAnsi="Cambria Math"/>
                  <w:i/>
                </w:rPr>
              </m:ctrlPr>
            </m:accPr>
            <m:e>
              <m:r>
                <w:rPr>
                  <w:rFonts w:ascii="Cambria Math" w:hAnsi="Cambria Math"/>
                </w:rPr>
                <m:t>C34</m:t>
              </m:r>
            </m:e>
          </m:acc>
          <m:r>
            <w:rPr>
              <w:rFonts w:ascii="Cambria Math" w:eastAsiaTheme="minorEastAsia" w:hAnsi="Cambria Math"/>
            </w:rPr>
            <m:t>C35</m:t>
          </m:r>
          <m:r>
            <w:rPr>
              <w:rFonts w:ascii="Cambria Math" w:hAnsi="Cambria Math"/>
            </w:rPr>
            <m:t>+</m:t>
          </m:r>
          <m:acc>
            <m:accPr>
              <m:chr m:val="̅"/>
              <m:ctrlPr>
                <w:rPr>
                  <w:rFonts w:ascii="Cambria Math" w:hAnsi="Cambria Math"/>
                  <w:i/>
                </w:rPr>
              </m:ctrlPr>
            </m:accPr>
            <m:e>
              <m:r>
                <w:rPr>
                  <w:rFonts w:ascii="Cambria Math" w:hAnsi="Cambria Math"/>
                </w:rPr>
                <m:t>C36</m:t>
              </m:r>
            </m:e>
          </m:acc>
          <m:r>
            <w:rPr>
              <w:rFonts w:ascii="Cambria Math" w:eastAsiaTheme="minorEastAsia" w:hAnsi="Cambria Math"/>
            </w:rPr>
            <m:t>C37</m:t>
          </m:r>
          <m:r>
            <w:rPr>
              <w:rFonts w:ascii="Cambria Math" w:hAnsi="Cambria Math"/>
            </w:rPr>
            <m:t>+</m:t>
          </m:r>
          <m:acc>
            <m:accPr>
              <m:chr m:val="̅"/>
              <m:ctrlPr>
                <w:rPr>
                  <w:rFonts w:ascii="Cambria Math" w:hAnsi="Cambria Math"/>
                  <w:i/>
                </w:rPr>
              </m:ctrlPr>
            </m:accPr>
            <m:e>
              <m:r>
                <w:rPr>
                  <w:rFonts w:ascii="Cambria Math" w:hAnsi="Cambria Math"/>
                </w:rPr>
                <m:t>C38</m:t>
              </m:r>
            </m:e>
          </m:acc>
          <m:r>
            <w:rPr>
              <w:rFonts w:ascii="Cambria Math" w:eastAsiaTheme="minorEastAsia" w:hAnsi="Cambria Math"/>
            </w:rPr>
            <m:t>C39</m:t>
          </m:r>
          <m:r>
            <w:rPr>
              <w:rFonts w:ascii="Cambria Math" w:hAnsi="Cambria Math"/>
            </w:rPr>
            <m:t>+</m:t>
          </m:r>
          <m:acc>
            <m:accPr>
              <m:chr m:val="̅"/>
              <m:ctrlPr>
                <w:rPr>
                  <w:rFonts w:ascii="Cambria Math" w:hAnsi="Cambria Math"/>
                  <w:i/>
                </w:rPr>
              </m:ctrlPr>
            </m:accPr>
            <m:e>
              <m:r>
                <w:rPr>
                  <w:rFonts w:ascii="Cambria Math" w:hAnsi="Cambria Math"/>
                </w:rPr>
                <m:t>C40</m:t>
              </m:r>
            </m:e>
          </m:acc>
          <m:r>
            <w:rPr>
              <w:rFonts w:ascii="Cambria Math" w:eastAsiaTheme="minorEastAsia" w:hAnsi="Cambria Math"/>
            </w:rPr>
            <m:t>C41</m:t>
          </m:r>
          <m:r>
            <w:rPr>
              <w:rFonts w:ascii="Cambria Math" w:hAnsi="Cambria Math"/>
            </w:rPr>
            <m:t>+</m:t>
          </m:r>
          <m:acc>
            <m:accPr>
              <m:chr m:val="̅"/>
              <m:ctrlPr>
                <w:rPr>
                  <w:rFonts w:ascii="Cambria Math" w:hAnsi="Cambria Math"/>
                  <w:i/>
                </w:rPr>
              </m:ctrlPr>
            </m:accPr>
            <m:e>
              <m:r>
                <w:rPr>
                  <w:rFonts w:ascii="Cambria Math" w:hAnsi="Cambria Math"/>
                </w:rPr>
                <m:t>C42</m:t>
              </m:r>
            </m:e>
          </m:acc>
          <m:r>
            <w:rPr>
              <w:rFonts w:ascii="Cambria Math" w:eastAsiaTheme="minorEastAsia" w:hAnsi="Cambria Math"/>
            </w:rPr>
            <m:t>C43</m:t>
          </m:r>
          <m:r>
            <w:rPr>
              <w:rFonts w:ascii="Cambria Math" w:hAnsi="Cambria Math"/>
            </w:rPr>
            <m:t>+</m:t>
          </m:r>
          <m:acc>
            <m:accPr>
              <m:chr m:val="̅"/>
              <m:ctrlPr>
                <w:rPr>
                  <w:rFonts w:ascii="Cambria Math" w:hAnsi="Cambria Math"/>
                  <w:i/>
                </w:rPr>
              </m:ctrlPr>
            </m:accPr>
            <m:e>
              <m:r>
                <w:rPr>
                  <w:rFonts w:ascii="Cambria Math" w:hAnsi="Cambria Math"/>
                </w:rPr>
                <m:t>C44</m:t>
              </m:r>
            </m:e>
          </m:acc>
          <m:r>
            <w:rPr>
              <w:rFonts w:ascii="Cambria Math" w:eastAsiaTheme="minorEastAsia" w:hAnsi="Cambria Math"/>
            </w:rPr>
            <m:t>C45</m:t>
          </m:r>
          <m:r>
            <w:rPr>
              <w:rFonts w:ascii="Cambria Math" w:hAnsi="Cambria Math"/>
            </w:rPr>
            <m:t>+</m:t>
          </m:r>
          <m:acc>
            <m:accPr>
              <m:chr m:val="̅"/>
              <m:ctrlPr>
                <w:rPr>
                  <w:rFonts w:ascii="Cambria Math" w:hAnsi="Cambria Math"/>
                  <w:i/>
                </w:rPr>
              </m:ctrlPr>
            </m:accPr>
            <m:e>
              <m:r>
                <w:rPr>
                  <w:rFonts w:ascii="Cambria Math" w:hAnsi="Cambria Math"/>
                </w:rPr>
                <m:t>C46</m:t>
              </m:r>
            </m:e>
          </m:acc>
          <m:r>
            <w:rPr>
              <w:rFonts w:ascii="Cambria Math" w:eastAsiaTheme="minorEastAsia" w:hAnsi="Cambria Math"/>
            </w:rPr>
            <m:t>C47</m:t>
          </m:r>
          <m:r>
            <w:rPr>
              <w:rFonts w:ascii="Cambria Math" w:hAnsi="Cambria Math"/>
            </w:rPr>
            <m:t>+</m:t>
          </m:r>
          <m:acc>
            <m:accPr>
              <m:chr m:val="̅"/>
              <m:ctrlPr>
                <w:rPr>
                  <w:rFonts w:ascii="Cambria Math" w:hAnsi="Cambria Math"/>
                  <w:i/>
                </w:rPr>
              </m:ctrlPr>
            </m:accPr>
            <m:e>
              <m:r>
                <w:rPr>
                  <w:rFonts w:ascii="Cambria Math" w:hAnsi="Cambria Math"/>
                </w:rPr>
                <m:t>C48</m:t>
              </m:r>
            </m:e>
          </m:acc>
          <m:r>
            <w:rPr>
              <w:rFonts w:ascii="Cambria Math" w:eastAsiaTheme="minorEastAsia" w:hAnsi="Cambria Math"/>
            </w:rPr>
            <m:t>C49</m:t>
          </m:r>
          <m:r>
            <w:rPr>
              <w:rFonts w:ascii="Cambria Math" w:hAnsi="Cambria Math"/>
            </w:rPr>
            <m:t>+</m:t>
          </m:r>
          <m:acc>
            <m:accPr>
              <m:chr m:val="̅"/>
              <m:ctrlPr>
                <w:rPr>
                  <w:rFonts w:ascii="Cambria Math" w:hAnsi="Cambria Math"/>
                  <w:i/>
                </w:rPr>
              </m:ctrlPr>
            </m:accPr>
            <m:e>
              <m:r>
                <w:rPr>
                  <w:rFonts w:ascii="Cambria Math" w:hAnsi="Cambria Math"/>
                </w:rPr>
                <m:t>C50</m:t>
              </m:r>
            </m:e>
          </m:acc>
          <m:r>
            <w:rPr>
              <w:rFonts w:ascii="Cambria Math" w:eastAsiaTheme="minorEastAsia" w:hAnsi="Cambria Math"/>
            </w:rPr>
            <m:t>C51</m:t>
          </m:r>
          <m:r>
            <w:rPr>
              <w:rFonts w:ascii="Cambria Math" w:hAnsi="Cambria Math"/>
            </w:rPr>
            <m:t>+</m:t>
          </m:r>
          <m:acc>
            <m:accPr>
              <m:chr m:val="̅"/>
              <m:ctrlPr>
                <w:rPr>
                  <w:rFonts w:ascii="Cambria Math" w:hAnsi="Cambria Math"/>
                  <w:i/>
                </w:rPr>
              </m:ctrlPr>
            </m:accPr>
            <m:e>
              <m:r>
                <w:rPr>
                  <w:rFonts w:ascii="Cambria Math" w:hAnsi="Cambria Math"/>
                </w:rPr>
                <m:t>C52</m:t>
              </m:r>
            </m:e>
          </m:acc>
          <m:r>
            <w:rPr>
              <w:rFonts w:ascii="Cambria Math" w:eastAsiaTheme="minorEastAsia" w:hAnsi="Cambria Math"/>
            </w:rPr>
            <m:t>C53</m:t>
          </m:r>
          <m:r>
            <w:rPr>
              <w:rFonts w:ascii="Cambria Math" w:hAnsi="Cambria Math"/>
            </w:rPr>
            <m:t>+</m:t>
          </m:r>
          <m:acc>
            <m:accPr>
              <m:chr m:val="̅"/>
              <m:ctrlPr>
                <w:rPr>
                  <w:rFonts w:ascii="Cambria Math" w:hAnsi="Cambria Math"/>
                  <w:i/>
                </w:rPr>
              </m:ctrlPr>
            </m:accPr>
            <m:e>
              <m:r>
                <w:rPr>
                  <w:rFonts w:ascii="Cambria Math" w:hAnsi="Cambria Math"/>
                </w:rPr>
                <m:t>C54</m:t>
              </m:r>
            </m:e>
          </m:acc>
          <m:r>
            <w:rPr>
              <w:rFonts w:ascii="Cambria Math" w:eastAsiaTheme="minorEastAsia" w:hAnsi="Cambria Math"/>
            </w:rPr>
            <m:t>C55</m:t>
          </m:r>
          <m:r>
            <w:rPr>
              <w:rFonts w:ascii="Cambria Math" w:hAnsi="Cambria Math"/>
            </w:rPr>
            <m:t>+</m:t>
          </m:r>
          <m:acc>
            <m:accPr>
              <m:chr m:val="̅"/>
              <m:ctrlPr>
                <w:rPr>
                  <w:rFonts w:ascii="Cambria Math" w:hAnsi="Cambria Math"/>
                  <w:i/>
                </w:rPr>
              </m:ctrlPr>
            </m:accPr>
            <m:e>
              <m:r>
                <w:rPr>
                  <w:rFonts w:ascii="Cambria Math" w:hAnsi="Cambria Math"/>
                </w:rPr>
                <m:t>C56</m:t>
              </m:r>
            </m:e>
          </m:acc>
          <m:r>
            <w:rPr>
              <w:rFonts w:ascii="Cambria Math" w:eastAsiaTheme="minorEastAsia" w:hAnsi="Cambria Math"/>
            </w:rPr>
            <m:t>C57</m:t>
          </m:r>
          <m:r>
            <w:rPr>
              <w:rFonts w:ascii="Cambria Math" w:hAnsi="Cambria Math"/>
            </w:rPr>
            <m:t>+</m:t>
          </m:r>
          <m:acc>
            <m:accPr>
              <m:chr m:val="̅"/>
              <m:ctrlPr>
                <w:rPr>
                  <w:rFonts w:ascii="Cambria Math" w:hAnsi="Cambria Math"/>
                  <w:i/>
                </w:rPr>
              </m:ctrlPr>
            </m:accPr>
            <m:e>
              <m:r>
                <w:rPr>
                  <w:rFonts w:ascii="Cambria Math" w:hAnsi="Cambria Math"/>
                </w:rPr>
                <m:t>C58</m:t>
              </m:r>
            </m:e>
          </m:acc>
          <m:r>
            <w:rPr>
              <w:rFonts w:ascii="Cambria Math" w:eastAsiaTheme="minorEastAsia" w:hAnsi="Cambria Math"/>
            </w:rPr>
            <m:t>C59</m:t>
          </m:r>
          <m:r>
            <w:rPr>
              <w:rFonts w:ascii="Cambria Math" w:hAnsi="Cambria Math"/>
            </w:rPr>
            <m:t>+</m:t>
          </m:r>
          <m:acc>
            <m:accPr>
              <m:chr m:val="̅"/>
              <m:ctrlPr>
                <w:rPr>
                  <w:rFonts w:ascii="Cambria Math" w:hAnsi="Cambria Math"/>
                  <w:i/>
                </w:rPr>
              </m:ctrlPr>
            </m:accPr>
            <m:e>
              <m:r>
                <w:rPr>
                  <w:rFonts w:ascii="Cambria Math" w:hAnsi="Cambria Math"/>
                </w:rPr>
                <m:t>C60</m:t>
              </m:r>
            </m:e>
          </m:acc>
          <m:r>
            <w:rPr>
              <w:rFonts w:ascii="Cambria Math" w:eastAsiaTheme="minorEastAsia" w:hAnsi="Cambria Math"/>
            </w:rPr>
            <m:t>C61</m:t>
          </m:r>
          <m:r>
            <w:rPr>
              <w:rFonts w:ascii="Cambria Math" w:hAnsi="Cambria Math"/>
            </w:rPr>
            <m:t>+</m:t>
          </m:r>
          <m:acc>
            <m:accPr>
              <m:chr m:val="̅"/>
              <m:ctrlPr>
                <w:rPr>
                  <w:rFonts w:ascii="Cambria Math" w:hAnsi="Cambria Math"/>
                  <w:i/>
                </w:rPr>
              </m:ctrlPr>
            </m:accPr>
            <m:e>
              <m:r>
                <w:rPr>
                  <w:rFonts w:ascii="Cambria Math" w:hAnsi="Cambria Math"/>
                </w:rPr>
                <m:t>C62</m:t>
              </m:r>
            </m:e>
          </m:acc>
          <m:r>
            <w:rPr>
              <w:rFonts w:ascii="Cambria Math" w:eastAsiaTheme="minorEastAsia" w:hAnsi="Cambria Math"/>
            </w:rPr>
            <m:t>C63</m:t>
          </m:r>
        </m:oMath>
      </m:oMathPara>
    </w:p>
    <w:p w:rsidR="007B7E23" w:rsidRDefault="007B7E23" w:rsidP="007B7E23">
      <w:r w:rsidRPr="00E35512">
        <w:t>La lógica interna del decodificador fue realizada con las compuertas NAND descriptas</w:t>
      </w:r>
      <w:r w:rsidR="00E35512" w:rsidRPr="00E35512">
        <w:t xml:space="preserve"> anteriormente</w:t>
      </w:r>
      <w:r w:rsidRPr="00E35512">
        <w:t xml:space="preserve">. </w:t>
      </w:r>
      <w:r w:rsidR="00E35512" w:rsidRPr="00E35512">
        <w:t xml:space="preserve">A continuación </w:t>
      </w:r>
      <w:r w:rsidRPr="00E35512">
        <w:t>encontramos el esquemático superior del decodificador, con sus 63 entradas de código termómetro y 6 salidas para formar la palabra digital a la salida.</w:t>
      </w:r>
    </w:p>
    <w:p w:rsidR="007B7E23" w:rsidRDefault="007B7E23" w:rsidP="007B7E23">
      <w:pPr>
        <w:pStyle w:val="Epgrafe"/>
      </w:pPr>
      <w:r>
        <w:pict>
          <v:group id="_x0000_s1026" editas="canvas" style="width:318.05pt;height:113.8pt;mso-position-horizontal-relative:char;mso-position-vertical-relative:line" coordsize="6361,2276">
            <o:lock v:ext="edit" aspectratio="t"/>
            <v:shape id="_x0000_s1027" type="#_x0000_t75" style="position:absolute;width:6361;height:2276" o:preferrelative="f">
              <v:fill o:detectmouseclick="t"/>
              <v:path o:extrusionok="t" o:connecttype="none"/>
              <o:lock v:ext="edit" text="t"/>
            </v:shape>
            <v:shape id="_x0000_s1028" type="#_x0000_t75" style="position:absolute;width:6361;height:2276">
              <v:imagedata r:id="rId39" o:title=""/>
            </v:shape>
            <w10:wrap type="none"/>
            <w10:anchorlock/>
          </v:group>
        </w:pict>
      </w:r>
    </w:p>
    <w:p w:rsidR="007B7E23" w:rsidRDefault="007B7E23" w:rsidP="007B7E23">
      <w:pPr>
        <w:pStyle w:val="Epgrafe"/>
      </w:pPr>
      <w:r>
        <w:t>Esquemático general del decodificador.</w:t>
      </w:r>
    </w:p>
    <w:p w:rsidR="008F6124" w:rsidRPr="00E7467D" w:rsidRDefault="008F6124" w:rsidP="004A0880"/>
    <w:sectPr w:rsidR="008F6124" w:rsidRPr="00E7467D"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1B1E" w:rsidRDefault="00BF1B1E" w:rsidP="0030599C">
      <w:pPr>
        <w:spacing w:after="0" w:line="240" w:lineRule="auto"/>
      </w:pPr>
      <w:r>
        <w:separator/>
      </w:r>
    </w:p>
  </w:endnote>
  <w:endnote w:type="continuationSeparator" w:id="0">
    <w:p w:rsidR="00BF1B1E" w:rsidRDefault="00BF1B1E"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1B1E" w:rsidRDefault="00BF1B1E" w:rsidP="0030599C">
      <w:pPr>
        <w:spacing w:after="0" w:line="240" w:lineRule="auto"/>
      </w:pPr>
      <w:r>
        <w:separator/>
      </w:r>
    </w:p>
  </w:footnote>
  <w:footnote w:type="continuationSeparator" w:id="0">
    <w:p w:rsidR="00BF1B1E" w:rsidRDefault="00BF1B1E" w:rsidP="0030599C">
      <w:pPr>
        <w:spacing w:after="0" w:line="240" w:lineRule="auto"/>
      </w:pPr>
      <w:r>
        <w:continuationSeparator/>
      </w:r>
    </w:p>
  </w:footnote>
  <w:footnote w:id="1">
    <w:p w:rsidR="00EB5C1E" w:rsidRPr="00486D60" w:rsidRDefault="00EB5C1E">
      <w:pPr>
        <w:pStyle w:val="Textonotapie"/>
        <w:rPr>
          <w:lang w:val="en-US"/>
        </w:rPr>
      </w:pPr>
      <w:r>
        <w:rPr>
          <w:rStyle w:val="Refdenotaalpie"/>
        </w:rPr>
        <w:footnoteRef/>
      </w:r>
      <w:r w:rsidRPr="00486D60">
        <w:rPr>
          <w:lang w:val="en-US"/>
        </w:rPr>
        <w:t xml:space="preserve"> </w:t>
      </w:r>
      <w:r>
        <w:rPr>
          <w:lang w:val="en-US"/>
        </w:rPr>
        <w:t>Roubik Gregorian , “I</w:t>
      </w:r>
      <w:r>
        <w:rPr>
          <w:i/>
          <w:lang w:val="en-US"/>
        </w:rPr>
        <w:t>ntroduction to CMOS OP-AMPS and Comparators”,</w:t>
      </w:r>
      <w:r>
        <w:rPr>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EC0FE0"/>
    <w:rsid w:val="00187F53"/>
    <w:rsid w:val="001D652E"/>
    <w:rsid w:val="00213C1C"/>
    <w:rsid w:val="002C0EE8"/>
    <w:rsid w:val="0030599C"/>
    <w:rsid w:val="003E0A2D"/>
    <w:rsid w:val="004057EE"/>
    <w:rsid w:val="004167F5"/>
    <w:rsid w:val="00480DAF"/>
    <w:rsid w:val="00486D60"/>
    <w:rsid w:val="004A0880"/>
    <w:rsid w:val="0061618D"/>
    <w:rsid w:val="007B7E23"/>
    <w:rsid w:val="008310DF"/>
    <w:rsid w:val="008B17D8"/>
    <w:rsid w:val="008F6124"/>
    <w:rsid w:val="00990137"/>
    <w:rsid w:val="00A10F4B"/>
    <w:rsid w:val="00A16888"/>
    <w:rsid w:val="00AF480B"/>
    <w:rsid w:val="00BF1B1E"/>
    <w:rsid w:val="00BF3833"/>
    <w:rsid w:val="00D27F9B"/>
    <w:rsid w:val="00E35512"/>
    <w:rsid w:val="00EB5C1E"/>
    <w:rsid w:val="00EC0FE0"/>
    <w:rsid w:val="00EF4DC3"/>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EC0F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61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F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1618D"/>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30599C"/>
    <w:pPr>
      <w:spacing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 w:type="table" w:styleId="Sombreadomedio2-nfasis1">
    <w:name w:val="Medium Shading 2 Accent 1"/>
    <w:basedOn w:val="Tablanormal"/>
    <w:uiPriority w:val="64"/>
    <w:rsid w:val="00EB5C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package" Target="embeddings/Hoja_de_c_lculo_de_Microsoft_Office_Excel1.xlsx"/><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96A86-0577-42D8-B197-7706415A4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18</Pages>
  <Words>3462</Words>
  <Characters>19044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14</cp:revision>
  <dcterms:created xsi:type="dcterms:W3CDTF">2010-07-20T20:08:00Z</dcterms:created>
  <dcterms:modified xsi:type="dcterms:W3CDTF">2010-07-21T17:17:00Z</dcterms:modified>
</cp:coreProperties>
</file>