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6F36DA" w:rsidP="002C4427">
      <w:pPr>
        <w:pStyle w:val="IntroCAPTESIS"/>
      </w:pPr>
      <w:r>
        <w:t>L</w:t>
      </w:r>
      <w:r w:rsidR="00F302F8" w:rsidRPr="007D445B">
        <w:t>as alteraciones por eventos únicos fueran descubiertas en el espacio en 1975,</w:t>
      </w:r>
      <w:r>
        <w:t xml:space="preserve"> pero</w:t>
      </w:r>
      <w:r w:rsidR="00F302F8" w:rsidRPr="007D445B">
        <w:t xml:space="preserve"> el potencial de los rayos cósmicos en producir alteraciones a nivel del mar recibió poca atención. Años más tarde, el trabajo de J. Ziegler</w:t>
      </w:r>
      <w:r w:rsidR="0032585D">
        <w:t>,</w:t>
      </w:r>
      <w:r w:rsidR="00F302F8" w:rsidRPr="007D445B">
        <w:t xml:space="preserve"> motivado por la labor de T. May y M. Woods, </w:t>
      </w:r>
      <w:r w:rsidR="00F22B34">
        <w:t>planteó</w:t>
      </w:r>
      <w:r w:rsidR="00F22B34" w:rsidRPr="007D445B">
        <w:t xml:space="preserve"> </w:t>
      </w:r>
      <w:r w:rsidR="00F302F8"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00F302F8" w:rsidRPr="0032585D">
        <w:t>.</w:t>
      </w:r>
    </w:p>
    <w:p w:rsidR="00F302F8" w:rsidRPr="007D445B" w:rsidRDefault="0032585D" w:rsidP="002C4427">
      <w:pPr>
        <w:pStyle w:val="IntroCAPTESIS"/>
      </w:pPr>
      <w:r>
        <w:t>En e</w:t>
      </w:r>
      <w:r w:rsidR="00F302F8" w:rsidRPr="007D445B">
        <w:t xml:space="preserve">ste capítulo se </w:t>
      </w:r>
      <w:r w:rsidR="006F36DA">
        <w:t xml:space="preserve">brinda </w:t>
      </w:r>
      <w:r w:rsidR="00F302F8" w:rsidRPr="007D445B">
        <w:t xml:space="preserve">un marco de referencia sobre los efectos producidos por eventos únicos. Comenzando por una definición formal, </w:t>
      </w:r>
      <w:r w:rsidR="006F36DA">
        <w:t>se</w:t>
      </w:r>
      <w:r w:rsidR="00F302F8" w:rsidRPr="006F36DA">
        <w:t xml:space="preserve"> continuar</w:t>
      </w:r>
      <w:r w:rsidR="006F36DA">
        <w:t>á</w:t>
      </w:r>
      <w:r w:rsidR="00F302F8" w:rsidRPr="006F36DA">
        <w:t xml:space="preserve"> </w:t>
      </w:r>
      <w:r w:rsidR="006F36DA">
        <w:t>con</w:t>
      </w:r>
      <w:r w:rsidR="00F302F8" w:rsidRPr="006F36DA">
        <w:t xml:space="preserve"> las principales causas</w:t>
      </w:r>
      <w:r w:rsidR="006F36DA">
        <w:t xml:space="preserve"> que lo producen</w:t>
      </w:r>
      <w:r w:rsidR="00F302F8" w:rsidRPr="006F36DA">
        <w:t xml:space="preserve"> para posteriormente pasar a una clasificación de</w:t>
      </w:r>
      <w:r w:rsidR="008407F9">
        <w:t xml:space="preserve"> los efectos. Por último, </w:t>
      </w:r>
      <w:r w:rsidR="00F302F8" w:rsidRPr="007D445B">
        <w:t>s</w:t>
      </w:r>
      <w:r w:rsidR="008407F9">
        <w:t>e realizará</w:t>
      </w:r>
      <w:r w:rsidR="00F302F8" w:rsidRPr="007D445B">
        <w:t xml:space="preserve"> una breve mención de los modelos empíricos más </w:t>
      </w:r>
      <w:r w:rsidR="006F36DA">
        <w:t>frecuentes</w:t>
      </w:r>
      <w:r w:rsidR="00C90A79">
        <w:t>,</w:t>
      </w:r>
      <w:r w:rsidR="00F302F8" w:rsidRPr="007D445B">
        <w:t xml:space="preserve">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544EF9" w:rsidRDefault="00F302F8" w:rsidP="00F302F8">
      <w:pPr>
        <w:pStyle w:val="Ttulo3"/>
      </w:pPr>
      <w:bookmarkStart w:id="2" w:name="_Toc266984380"/>
      <w:r w:rsidRPr="00544EF9">
        <w:t>1.1.1) Definición</w:t>
      </w:r>
      <w:bookmarkEnd w:id="2"/>
    </w:p>
    <w:p w:rsidR="00F302F8" w:rsidRPr="00DE714D" w:rsidRDefault="00F302F8" w:rsidP="002C4427">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2C4427">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2C4427">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7E53A4">
            <w:rPr>
              <w:lang w:eastAsia="es-AR"/>
            </w:rPr>
            <w:fldChar w:fldCharType="begin"/>
          </w:r>
          <w:r w:rsidR="00E22568">
            <w:rPr>
              <w:lang w:eastAsia="es-AR"/>
            </w:rPr>
            <w:instrText xml:space="preserve"> CITATION JED06 \l 11274 </w:instrText>
          </w:r>
          <w:r w:rsidR="007E53A4">
            <w:rPr>
              <w:lang w:eastAsia="es-AR"/>
            </w:rPr>
            <w:fldChar w:fldCharType="separate"/>
          </w:r>
          <w:r w:rsidR="00E22568">
            <w:rPr>
              <w:noProof/>
              <w:lang w:eastAsia="es-AR"/>
            </w:rPr>
            <w:t xml:space="preserve"> (3)</w:t>
          </w:r>
          <w:r w:rsidR="007E53A4">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2C4427">
      <w:pPr>
        <w:pStyle w:val="ParrafoTESIS"/>
      </w:pPr>
      <w:r>
        <w:t>La radiación es la principal fuente de partículas de alta energía que tiene por consecuencia los SEEs. El sol es, por defecto, la fuente de radiación en nuestro sistema solar</w:t>
      </w:r>
      <w:r w:rsidR="00260341">
        <w:t xml:space="preserve"> y</w:t>
      </w:r>
      <w:r>
        <w:t xml:space="preserve"> se ve afectada por el campo magnético de la tierra. </w:t>
      </w:r>
      <w:r w:rsidR="00260341">
        <w:t>Éste</w:t>
      </w:r>
      <w:r w:rsidRPr="00806920">
        <w:t xml:space="preserve"> influye en el movimiento de las partículas que intentan ingresar en la órbita </w:t>
      </w:r>
      <w:r w:rsidR="00C90A79">
        <w:t>terrestre</w:t>
      </w:r>
      <w:r w:rsidRPr="00806920">
        <w:t>, desviándolas de su trayectoria original.</w:t>
      </w:r>
    </w:p>
    <w:p w:rsidR="00F302F8" w:rsidRDefault="00F302F8" w:rsidP="002C4427">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w:t>
      </w:r>
      <w:r w:rsidR="00C866AC">
        <w:t>cinturones</w:t>
      </w:r>
      <w:r>
        <w:t xml:space="preserve"> de radiación de </w:t>
      </w:r>
      <w:r w:rsidRPr="00EB209D">
        <w:t>Van Allen”</w:t>
      </w:r>
      <w:r w:rsidR="00F22B34">
        <w:t xml:space="preserve"> (</w:t>
      </w:r>
      <w:r w:rsidR="007E53A4">
        <w:fldChar w:fldCharType="begin"/>
      </w:r>
      <w:r w:rsidR="008D175C">
        <w:instrText xml:space="preserve"> REF _Ref268963942 \h </w:instrText>
      </w:r>
      <w:r w:rsidR="007E53A4">
        <w:fldChar w:fldCharType="separate"/>
      </w:r>
      <w:r w:rsidR="00F22B34" w:rsidRPr="009C5050">
        <w:t xml:space="preserve">Figura </w:t>
      </w:r>
      <w:r w:rsidR="00F22B34">
        <w:rPr>
          <w:noProof/>
        </w:rPr>
        <w:t>1</w:t>
      </w:r>
      <w:r w:rsidR="007E53A4">
        <w:fldChar w:fldCharType="end"/>
      </w:r>
      <w:r w:rsidR="00F22B34">
        <w:t>)</w:t>
      </w:r>
      <w:r w:rsidRPr="00EB209D">
        <w:t xml:space="preserve">, </w:t>
      </w:r>
      <w:r w:rsidR="00C90A79">
        <w:t xml:space="preserve">los cuales se </w:t>
      </w:r>
      <w:r w:rsidRPr="00EB209D">
        <w:t>encarga</w:t>
      </w:r>
      <w:r w:rsidR="00C90A79">
        <w:t>n</w:t>
      </w:r>
      <w:r w:rsidRPr="00EB209D">
        <w:t xml:space="preserve">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r w:rsidR="0006576F">
        <w:t xml:space="preserve">en </w:t>
      </w:r>
      <w:r>
        <w:t>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4" w:name="_Ref268963942"/>
      <w:r w:rsidRPr="009C5050">
        <w:t xml:space="preserve">Figura </w:t>
      </w:r>
      <w:r w:rsidR="007E53A4">
        <w:fldChar w:fldCharType="begin"/>
      </w:r>
      <w:r w:rsidRPr="009C5050">
        <w:instrText xml:space="preserve"> SEQ Figura \* ARABIC </w:instrText>
      </w:r>
      <w:r w:rsidR="007E53A4">
        <w:fldChar w:fldCharType="separate"/>
      </w:r>
      <w:r w:rsidR="00741B54">
        <w:rPr>
          <w:noProof/>
        </w:rPr>
        <w:t>1</w:t>
      </w:r>
      <w:r w:rsidR="007E53A4">
        <w:fldChar w:fldCharType="end"/>
      </w:r>
      <w:bookmarkEnd w:id="4"/>
      <w:r w:rsidRPr="009C5050">
        <w:t xml:space="preserve">) Representación de la </w:t>
      </w:r>
      <w:r w:rsidR="00096EDE">
        <w:t>m</w:t>
      </w:r>
      <w:r w:rsidRPr="009C5050">
        <w:t>agnetosfera Terrestre.</w:t>
      </w:r>
    </w:p>
    <w:p w:rsidR="00E4539D" w:rsidRPr="006208DE" w:rsidRDefault="00F302F8" w:rsidP="002C4427">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w:t>
      </w:r>
      <w:r w:rsidR="00C90A79">
        <w:t>SEEs</w:t>
      </w:r>
      <w:r>
        <w:t xml:space="preserve"> producidos por los encapsulados de circuitos que contenían entre sus materiales pequeñas cantidades de elementos radioactivos. Estos emitían partículas cargadas que </w:t>
      </w:r>
      <w:r>
        <w:lastRenderedPageBreak/>
        <w:t>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2C4427">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w:t>
      </w:r>
      <w:r w:rsidR="00C90A79">
        <w:t>las partículas producen SEEs que</w:t>
      </w:r>
      <w:r>
        <w:t xml:space="preserve">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00385C7A"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r w:rsidR="00AA00A8">
        <w:t>es</w:t>
      </w:r>
    </w:p>
    <w:p w:rsidR="00F302F8" w:rsidRPr="007F28E6" w:rsidRDefault="00F302F8" w:rsidP="002C4427">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w:t>
      </w:r>
      <w:r w:rsidR="002C4427">
        <w:t>in</w:t>
      </w:r>
      <w:r w:rsidRPr="007F28E6">
        <w:t>versa</w:t>
      </w:r>
      <w:r w:rsidR="002C4427">
        <w:t>,</w:t>
      </w:r>
      <w:r w:rsidRPr="007F28E6">
        <w:t xml:space="preserve">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w:t>
      </w:r>
      <w:r w:rsidR="002C4427">
        <w:t>el nivel de l</w:t>
      </w:r>
      <w:r w:rsidRPr="007F28E6">
        <w:t xml:space="preserve">a carga almacenada está siendo </w:t>
      </w:r>
      <w:r w:rsidR="002C4427" w:rsidRPr="007F28E6">
        <w:t>reducid</w:t>
      </w:r>
      <w:r w:rsidR="002C4427">
        <w:t>o</w:t>
      </w:r>
      <w:r w:rsidRPr="007F28E6">
        <w:t xml:space="preserve">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7E53A4"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7E53A4"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7E53A4"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2C4427">
      <w:pPr>
        <w:pStyle w:val="ParrafoTESIS"/>
      </w:pPr>
      <w:r w:rsidRPr="004E1261">
        <w:t xml:space="preserve">En la </w:t>
      </w:r>
      <w:fldSimple w:instr=" REF _Ref266985981 \h  \* MERGEFORMAT ">
        <w:r w:rsidR="000D63E1">
          <w:t>f</w:t>
        </w:r>
        <w:r w:rsidR="00741B54" w:rsidRPr="00741B54">
          <w:t xml:space="preserve">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0D63E1">
          <w:t>f</w:t>
        </w:r>
        <w:r w:rsidR="00741B54" w:rsidRPr="00741B54">
          <w:t xml:space="preserve">igura </w:t>
        </w:r>
        <w:r w:rsidR="00741B54" w:rsidRPr="00741B54">
          <w:rPr>
            <w:noProof/>
          </w:rPr>
          <w:t>2</w:t>
        </w:r>
      </w:fldSimple>
      <w:r w:rsidRPr="00536948">
        <w:t>.b</w:t>
      </w:r>
      <w:r w:rsidRPr="004E1261">
        <w:t>). Esta fase de recolección usualmente es completada en nanosegundos</w:t>
      </w:r>
      <w:r w:rsidR="00881615">
        <w:t>,</w:t>
      </w:r>
      <w:r w:rsidRPr="004E1261">
        <w:t xml:space="preserve"> seguida de una segunda </w:t>
      </w:r>
      <w:r w:rsidR="00881615" w:rsidRPr="004E1261">
        <w:t>fase</w:t>
      </w:r>
      <w:r w:rsidR="00881615">
        <w:t xml:space="preserve"> </w:t>
      </w:r>
      <w:r w:rsidR="00881615">
        <w:lastRenderedPageBreak/>
        <w:t>d</w:t>
      </w:r>
      <w:r w:rsidRPr="004E1261">
        <w:t xml:space="preserve">ada </w:t>
      </w:r>
      <w:r w:rsidR="00881615">
        <w:t>por</w:t>
      </w:r>
      <w:r w:rsidRPr="004E1261">
        <w:t xml:space="preserve">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8" w:name="_Ref266986213"/>
      <w:r w:rsidRPr="0040462E">
        <w:t xml:space="preserve">Figura </w:t>
      </w:r>
      <w:fldSimple w:instr=" SEQ Figura \* ARABIC ">
        <w:r w:rsidR="00741B54">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2C4427">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pico</w:t>
      </w:r>
      <w:r w:rsidR="00AA5A4C">
        <w:t xml:space="preserve"> de la grafica</w:t>
      </w:r>
      <w:r w:rsidRPr="004E1261">
        <w:t xml:space="preserve"> indica la primera fase de frenado (generación de pares electrón-hueco) y recolección</w:t>
      </w:r>
      <w:r w:rsidR="00AA5A4C">
        <w:t>,</w:t>
      </w:r>
      <w:r w:rsidRPr="004E1261">
        <w:t xml:space="preserve">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2C4427">
      <w:pPr>
        <w:pStyle w:val="ParrafoTESIS"/>
      </w:pPr>
      <w:r>
        <w:t>La ionización es el método por el cual la radiación libera cargas en un dispositivo semiconductor, ésta puede ser directa o indirecta.</w:t>
      </w:r>
    </w:p>
    <w:p w:rsidR="00F302F8" w:rsidRPr="00C42594" w:rsidRDefault="00F302F8" w:rsidP="002C4427">
      <w:pPr>
        <w:pStyle w:val="ParrafoTESIS"/>
      </w:pPr>
      <w:r w:rsidRPr="00C42594">
        <w:rPr>
          <w:b/>
          <w:i/>
        </w:rPr>
        <w:t>Ionización Directa</w:t>
      </w:r>
      <w:r w:rsidRPr="00C42594">
        <w:t>: Cuando una partícula cargada atraviesa el material semiconductor</w:t>
      </w:r>
      <w:r w:rsidR="0088228F">
        <w:t>,</w:t>
      </w:r>
      <w:r w:rsidRPr="00C42594">
        <w:t xml:space="preserve"> libera</w:t>
      </w:r>
      <w:r w:rsidR="0088228F">
        <w:t xml:space="preserve"> </w:t>
      </w:r>
      <w:r w:rsidRPr="00C42594">
        <w:t xml:space="preserve">pares electrón-hueco </w:t>
      </w:r>
      <w:r w:rsidR="00AA5A4C" w:rsidRPr="00C42594">
        <w:t xml:space="preserve">perdiendo energía </w:t>
      </w:r>
      <w:r w:rsidRPr="00C42594">
        <w:t xml:space="preserve">a lo largo de de su trayectoria. </w:t>
      </w:r>
      <w:r w:rsidR="003B5AD7">
        <w:t>Una vez que</w:t>
      </w:r>
      <w:r w:rsidR="003B5AD7" w:rsidRPr="00C42594">
        <w:t xml:space="preserve"> </w:t>
      </w:r>
      <w:r w:rsidRPr="00C42594">
        <w:t>toda la energía es liberada, la partícula descansa en el semiconductor</w:t>
      </w:r>
      <w:r w:rsidR="00AA5A4C">
        <w:t xml:space="preserve"> luego de haber</w:t>
      </w:r>
      <w:r w:rsidRPr="00C42594">
        <w:t xml:space="preserve">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w:t>
      </w:r>
      <w:r w:rsidR="0088228F">
        <w:t>,</w:t>
      </w:r>
      <w:r w:rsidRPr="00C42594">
        <w:t xml:space="preserve"> mientras recorre el material. Las unidades del LET están dadas por MeV/cm</w:t>
      </w:r>
      <w:r w:rsidRPr="00C42594">
        <w:rPr>
          <w:vertAlign w:val="superscript"/>
        </w:rPr>
        <w:t>2</w:t>
      </w:r>
      <w:r w:rsidRPr="00C42594">
        <w:t>/mg</w:t>
      </w:r>
      <w:r w:rsidR="008E24CD">
        <w:t>,</w:t>
      </w:r>
      <w:r w:rsidRPr="00C42594">
        <w:t xml:space="preserve"> </w:t>
      </w:r>
      <w:r w:rsidR="003064C1">
        <w:t>ya que</w:t>
      </w:r>
      <w:r w:rsidR="003064C1" w:rsidRPr="00C42594">
        <w:t xml:space="preserve"> </w:t>
      </w:r>
      <w:r w:rsidRPr="00C42594">
        <w:t>la energía perdida por unidad de longitud (en MeV/cm) es normalizada por la densidad del material atravesado (en mg/cm</w:t>
      </w:r>
      <w:r w:rsidRPr="00C42594">
        <w:rPr>
          <w:vertAlign w:val="superscript"/>
        </w:rPr>
        <w:t>3</w:t>
      </w:r>
      <w:r w:rsidRPr="00C42594">
        <w:t xml:space="preserve">), por lo tanto, las unidades del LET pueden ser expresadas independientemente del semiconductor. </w:t>
      </w:r>
      <w:r w:rsidR="001C6B8C">
        <w:t>Por e</w:t>
      </w:r>
      <w:r w:rsidRPr="00C42594">
        <w:t>j</w:t>
      </w:r>
      <w:r w:rsidR="001C6B8C">
        <w:t>emplo</w:t>
      </w:r>
      <w:r w:rsidRPr="00C42594">
        <w:t xml:space="preserve"> en el silicio, un LET de 97 MeV-cm</w:t>
      </w:r>
      <w:r w:rsidRPr="00C42594">
        <w:rPr>
          <w:vertAlign w:val="superscript"/>
        </w:rPr>
        <w:t>2</w:t>
      </w:r>
      <w:r w:rsidRPr="00C42594">
        <w:t xml:space="preserve">/mg corresponde a depositar una carga de 1pC/um. </w:t>
      </w:r>
      <w:r w:rsidRPr="00C42594">
        <w:lastRenderedPageBreak/>
        <w:t xml:space="preserve">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2C4427">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7457C4" w:rsidRPr="00385C7A" w:rsidRDefault="00F302F8" w:rsidP="00385C7A">
      <w:pPr>
        <w:jc w:val="center"/>
        <w:rPr>
          <w:b/>
          <w:color w:val="4F81BD" w:themeColor="accent1"/>
          <w:sz w:val="18"/>
        </w:rPr>
      </w:pPr>
      <w:bookmarkStart w:id="12" w:name="_Ref268964126"/>
      <w:r w:rsidRPr="00385C7A">
        <w:rPr>
          <w:b/>
          <w:color w:val="4F81BD" w:themeColor="accent1"/>
          <w:sz w:val="18"/>
        </w:rPr>
        <w:t xml:space="preserve">Figura </w:t>
      </w:r>
      <w:r w:rsidR="007E53A4" w:rsidRPr="00385C7A">
        <w:rPr>
          <w:b/>
          <w:color w:val="4F81BD" w:themeColor="accent1"/>
          <w:sz w:val="18"/>
        </w:rPr>
        <w:fldChar w:fldCharType="begin"/>
      </w:r>
      <w:r w:rsidR="00933B61" w:rsidRPr="00385C7A">
        <w:rPr>
          <w:b/>
          <w:color w:val="4F81BD" w:themeColor="accent1"/>
          <w:sz w:val="18"/>
        </w:rPr>
        <w:instrText xml:space="preserve"> SEQ Figura \* ARABIC </w:instrText>
      </w:r>
      <w:r w:rsidR="007E53A4" w:rsidRPr="00385C7A">
        <w:rPr>
          <w:b/>
          <w:color w:val="4F81BD" w:themeColor="accent1"/>
          <w:sz w:val="18"/>
        </w:rPr>
        <w:fldChar w:fldCharType="separate"/>
      </w:r>
      <w:r w:rsidR="00741B54" w:rsidRPr="00385C7A">
        <w:rPr>
          <w:b/>
          <w:noProof/>
          <w:color w:val="4F81BD" w:themeColor="accent1"/>
          <w:sz w:val="18"/>
        </w:rPr>
        <w:t>4</w:t>
      </w:r>
      <w:r w:rsidR="007E53A4" w:rsidRPr="00385C7A">
        <w:rPr>
          <w:b/>
          <w:color w:val="4F81BD" w:themeColor="accent1"/>
          <w:sz w:val="18"/>
        </w:rPr>
        <w:fldChar w:fldCharType="end"/>
      </w:r>
      <w:bookmarkEnd w:id="10"/>
      <w:bookmarkEnd w:id="11"/>
      <w:bookmarkEnd w:id="12"/>
      <w:r w:rsidRPr="00385C7A">
        <w:rPr>
          <w:b/>
          <w:color w:val="4F81BD" w:themeColor="accent1"/>
          <w:sz w:val="18"/>
        </w:rPr>
        <w:t>) Curva</w:t>
      </w:r>
      <w:r w:rsidR="004A1C6C">
        <w:rPr>
          <w:b/>
          <w:color w:val="4F81BD" w:themeColor="accent1"/>
          <w:sz w:val="18"/>
        </w:rPr>
        <w:t xml:space="preserve"> de</w:t>
      </w:r>
      <w:r w:rsidRPr="00385C7A">
        <w:rPr>
          <w:b/>
          <w:color w:val="4F81BD" w:themeColor="accent1"/>
          <w:sz w:val="18"/>
        </w:rPr>
        <w:t xml:space="preserve"> </w:t>
      </w:r>
      <w:r w:rsidR="004A1C6C">
        <w:rPr>
          <w:b/>
          <w:color w:val="4F81BD" w:themeColor="accent1"/>
          <w:sz w:val="18"/>
        </w:rPr>
        <w:t>LET de</w:t>
      </w:r>
      <w:r w:rsidRPr="00385C7A">
        <w:rPr>
          <w:b/>
          <w:color w:val="4F81BD" w:themeColor="accent1"/>
          <w:sz w:val="18"/>
        </w:rPr>
        <w:t xml:space="preserve"> un ion de cloro de 210MeV viajando a través del silicio.</w:t>
      </w:r>
    </w:p>
    <w:p w:rsidR="00F302F8" w:rsidRPr="00C42594" w:rsidRDefault="00F302F8" w:rsidP="002C4427">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4A1C6C">
        <w:t xml:space="preserve">La ionización directa con partículas ligeras generalmente no genera suficiente energía en su paso como para producir una perturbación, sin embargo protones y neutrones pueden generar niveles significativos de perturbación a </w:t>
      </w:r>
      <w:r w:rsidR="004A1C6C">
        <w:t>través de la mecánica indirecta</w:t>
      </w:r>
      <w:r w:rsidR="00820E94" w:rsidRPr="00C42594">
        <w:rPr>
          <w:i/>
        </w:rPr>
        <w:t>.</w:t>
      </w:r>
      <w:r w:rsidRPr="00C42594">
        <w:t xml:space="preserve"> Esto puede desencadenar cualquiera de las siguientes reacciones nucleares posibles:</w:t>
      </w:r>
    </w:p>
    <w:p w:rsidR="007E53A4" w:rsidRDefault="00F302F8" w:rsidP="004A1C6C">
      <w:pPr>
        <w:pStyle w:val="ParrafoTESIS"/>
        <w:numPr>
          <w:ilvl w:val="0"/>
          <w:numId w:val="6"/>
        </w:numPr>
        <w:rPr>
          <w:b/>
        </w:rPr>
      </w:pPr>
      <w:r w:rsidRPr="00C42594">
        <w:t xml:space="preserve">Que la </w:t>
      </w:r>
      <w:r w:rsidR="00820E94" w:rsidRPr="00C42594">
        <w:t>colisión</w:t>
      </w:r>
      <w:r w:rsidRPr="00C42594">
        <w:t xml:space="preserve"> inelástica produzca un retroceso de Si</w:t>
      </w:r>
      <w:r w:rsidR="005E0462">
        <w:t xml:space="preserve"> (silicio)</w:t>
      </w:r>
      <w:r w:rsidRPr="00C42594">
        <w:t>,</w:t>
      </w:r>
    </w:p>
    <w:p w:rsidR="007E53A4" w:rsidRDefault="00F302F8" w:rsidP="004A1C6C">
      <w:pPr>
        <w:pStyle w:val="ParrafoTESIS"/>
        <w:numPr>
          <w:ilvl w:val="0"/>
          <w:numId w:val="6"/>
        </w:numPr>
        <w:rPr>
          <w:b/>
        </w:rPr>
      </w:pPr>
      <w:r w:rsidRPr="00C42594">
        <w:t>La emisión de partículas alfa y gamma y el retroceso del núcleo hijo (ejemplo, Si emite partículas alfa y retroceso de un núcleo Mg),</w:t>
      </w:r>
    </w:p>
    <w:p w:rsidR="007E53A4" w:rsidRDefault="00F302F8" w:rsidP="004A1C6C">
      <w:pPr>
        <w:pStyle w:val="ParrafoTESIS"/>
        <w:numPr>
          <w:ilvl w:val="0"/>
          <w:numId w:val="6"/>
        </w:numPr>
        <w:rPr>
          <w:b/>
        </w:rPr>
      </w:pPr>
      <w:r w:rsidRPr="00C42594">
        <w:t>Reacciones de espalación (spallation reactions), donde el núcleo afectado se divide en dos fragmentos, cada uno de los cuales puede retroceder.</w:t>
      </w:r>
    </w:p>
    <w:p w:rsidR="00F302F8" w:rsidRPr="00C42594" w:rsidRDefault="00F302F8" w:rsidP="002C4427">
      <w:pPr>
        <w:pStyle w:val="ParrafoTESIS"/>
      </w:pPr>
      <w:r w:rsidRPr="00C42594">
        <w:t xml:space="preserve">Cualquiera de estas reacciones puede depositar suficiente energía en su trayectoria de ionización directa, </w:t>
      </w:r>
      <w:r w:rsidR="005E0462">
        <w:t>siendo</w:t>
      </w:r>
      <w:r w:rsidRPr="00C42594">
        <w:t xml:space="preserve"> partículas más pesadas que los protones y neutrones originales, pudiendo causar perturbaciones en su trayectoria.</w:t>
      </w:r>
    </w:p>
    <w:p w:rsidR="00F05B83" w:rsidRPr="00C42594" w:rsidRDefault="00F302F8" w:rsidP="002C4427">
      <w:pPr>
        <w:pStyle w:val="ParrafoTESIS"/>
      </w:pPr>
      <w:r w:rsidRPr="00C42594">
        <w:t>El producto de estas colisiones inelásticas típicamente tiene</w:t>
      </w:r>
      <w:r w:rsidR="005E0462">
        <w:t>n</w:t>
      </w:r>
      <w:r w:rsidRPr="00C42594">
        <w:t xml:space="preserve"> poca energía y no viajan más allá del sitio de impacto de la partícula</w:t>
      </w:r>
      <w:r w:rsidR="005E0462">
        <w:t xml:space="preserve">, </w:t>
      </w:r>
      <w:r w:rsidRPr="00C42594">
        <w:t xml:space="preserve">tienden a dispersarse hacia adelante en la </w:t>
      </w:r>
      <w:r w:rsidRPr="00C42594">
        <w:lastRenderedPageBreak/>
        <w:t xml:space="preserve">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00FF4FDD">
        <w:rPr>
          <w:rFonts w:cstheme="minorHAnsi"/>
          <w:szCs w:val="22"/>
        </w:rPr>
        <w:t>Rayo</w:t>
      </w:r>
      <w:r w:rsidRPr="00820E94">
        <w:rPr>
          <w:rFonts w:cstheme="minorHAnsi"/>
          <w:szCs w:val="22"/>
        </w:rPr>
        <w:t xml:space="preserve"> cósmico deposita</w:t>
      </w:r>
      <w:r w:rsidR="00FF4FDD">
        <w:rPr>
          <w:rFonts w:cstheme="minorHAnsi"/>
          <w:szCs w:val="22"/>
        </w:rPr>
        <w:t>ndo</w:t>
      </w:r>
      <w:r w:rsidRPr="00820E94">
        <w:rPr>
          <w:rFonts w:cstheme="minorHAnsi"/>
          <w:szCs w:val="22"/>
        </w:rPr>
        <w:t xml:space="preserve"> energía en un dispositivo </w:t>
      </w:r>
      <w:r w:rsidR="00FF4FDD">
        <w:rPr>
          <w:rFonts w:cstheme="minorHAnsi"/>
          <w:szCs w:val="22"/>
        </w:rPr>
        <w:t>micro-</w:t>
      </w:r>
      <w:r w:rsidRPr="00820E94">
        <w:rPr>
          <w:rFonts w:cstheme="minorHAnsi"/>
          <w:szCs w:val="22"/>
        </w:rPr>
        <w:t xml:space="preserve">electrónico </w:t>
      </w:r>
      <w:sdt>
        <w:sdtPr>
          <w:rPr>
            <w:rFonts w:cstheme="minorHAnsi"/>
            <w:szCs w:val="22"/>
          </w:rPr>
          <w:id w:val="829389"/>
          <w:citation/>
        </w:sdtPr>
        <w:sdtContent>
          <w:r w:rsidR="007E53A4">
            <w:rPr>
              <w:rFonts w:cstheme="minorHAnsi"/>
              <w:szCs w:val="22"/>
            </w:rPr>
            <w:fldChar w:fldCharType="begin"/>
          </w:r>
          <w:r w:rsidR="000B3E93">
            <w:rPr>
              <w:rFonts w:cstheme="minorHAnsi"/>
              <w:szCs w:val="22"/>
            </w:rPr>
            <w:instrText xml:space="preserve"> CITATION Bed96 \l 11274 </w:instrText>
          </w:r>
          <w:r w:rsidR="007E53A4">
            <w:rPr>
              <w:rFonts w:cstheme="minorHAnsi"/>
              <w:szCs w:val="22"/>
            </w:rPr>
            <w:fldChar w:fldCharType="separate"/>
          </w:r>
          <w:r w:rsidR="000B3E93" w:rsidRPr="000B3E93">
            <w:rPr>
              <w:rFonts w:cstheme="minorHAnsi"/>
              <w:noProof/>
              <w:szCs w:val="22"/>
            </w:rPr>
            <w:t>(4)</w:t>
          </w:r>
          <w:r w:rsidR="007E53A4">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2C4427">
      <w:pPr>
        <w:pStyle w:val="ParrafoTESIS"/>
        <w:rPr>
          <w:lang w:eastAsia="es-AR"/>
        </w:rPr>
      </w:pPr>
      <w:r>
        <w:rPr>
          <w:lang w:eastAsia="es-AR"/>
        </w:rPr>
        <w:t>Los SEEs</w:t>
      </w:r>
      <w:r w:rsidR="00F05B83" w:rsidRPr="00C42594">
        <w:rPr>
          <w:lang w:eastAsia="es-AR"/>
        </w:rPr>
        <w:t xml:space="preserve"> pueden ser </w:t>
      </w:r>
      <w:r w:rsidR="00FF4FDD">
        <w:rPr>
          <w:lang w:eastAsia="es-AR"/>
        </w:rPr>
        <w:t>clasificados</w:t>
      </w:r>
      <w:r w:rsidR="00F05B83" w:rsidRPr="00C42594">
        <w:rPr>
          <w:lang w:eastAsia="es-AR"/>
        </w:rPr>
        <w:t xml:space="preserve"> en 3</w:t>
      </w:r>
      <w:r w:rsidR="005E0462">
        <w:rPr>
          <w:lang w:eastAsia="es-AR"/>
        </w:rPr>
        <w:t xml:space="preserve"> categorías</w:t>
      </w:r>
      <w:r w:rsidR="00F05B83" w:rsidRPr="00C42594">
        <w:rPr>
          <w:lang w:eastAsia="es-AR"/>
        </w:rPr>
        <w:t>:</w:t>
      </w:r>
    </w:p>
    <w:p w:rsidR="00F05B83" w:rsidRPr="006C2467" w:rsidRDefault="00F05B83" w:rsidP="00FF4FDD">
      <w:pPr>
        <w:pStyle w:val="ParrafoTESIS"/>
        <w:numPr>
          <w:ilvl w:val="0"/>
          <w:numId w:val="7"/>
        </w:numPr>
        <w:rPr>
          <w:lang w:eastAsia="es-AR"/>
        </w:rPr>
      </w:pPr>
      <w:r w:rsidRPr="006C2467">
        <w:rPr>
          <w:i/>
          <w:lang w:eastAsia="es-AR"/>
        </w:rPr>
        <w:t>Single Event Upset</w:t>
      </w:r>
      <w:r w:rsidRPr="006C2467">
        <w:rPr>
          <w:lang w:eastAsia="es-AR"/>
        </w:rPr>
        <w:t xml:space="preserve"> (erro</w:t>
      </w:r>
      <w:r>
        <w:rPr>
          <w:lang w:eastAsia="es-AR"/>
        </w:rPr>
        <w:t>r</w:t>
      </w:r>
      <w:r w:rsidRPr="006C2467">
        <w:rPr>
          <w:lang w:eastAsia="es-AR"/>
        </w:rPr>
        <w:t xml:space="preserve"> </w:t>
      </w:r>
      <w:r w:rsidR="0062623B">
        <w:rPr>
          <w:lang w:eastAsia="es-AR"/>
        </w:rPr>
        <w:t>temporal</w:t>
      </w:r>
      <w:r w:rsidRPr="006C2467">
        <w:rPr>
          <w:lang w:eastAsia="es-AR"/>
        </w:rPr>
        <w:t xml:space="preserve"> de funcionamiento)</w:t>
      </w:r>
    </w:p>
    <w:p w:rsidR="00F05B83" w:rsidRPr="003067E0" w:rsidRDefault="00F05B83" w:rsidP="00FF4FDD">
      <w:pPr>
        <w:pStyle w:val="ParrafoTESIS"/>
        <w:numPr>
          <w:ilvl w:val="0"/>
          <w:numId w:val="7"/>
        </w:numPr>
        <w:rPr>
          <w:lang w:eastAsia="es-AR"/>
        </w:rPr>
      </w:pPr>
      <w:r w:rsidRPr="003067E0">
        <w:rPr>
          <w:i/>
          <w:lang w:eastAsia="es-AR"/>
        </w:rPr>
        <w:t>Single Event Latchup</w:t>
      </w:r>
      <w:r w:rsidRPr="003067E0">
        <w:rPr>
          <w:lang w:eastAsia="es-AR"/>
        </w:rPr>
        <w:t xml:space="preserve"> (error </w:t>
      </w:r>
      <w:r w:rsidR="0062623B">
        <w:rPr>
          <w:lang w:eastAsia="es-AR"/>
        </w:rPr>
        <w:t>temporal</w:t>
      </w:r>
      <w:r w:rsidRPr="003067E0">
        <w:rPr>
          <w:lang w:eastAsia="es-AR"/>
        </w:rPr>
        <w:t xml:space="preserve"> o permanent</w:t>
      </w:r>
      <w:r w:rsidR="003067E0">
        <w:rPr>
          <w:lang w:eastAsia="es-AR"/>
        </w:rPr>
        <w:t>e</w:t>
      </w:r>
      <w:r w:rsidRPr="003067E0">
        <w:rPr>
          <w:lang w:eastAsia="es-AR"/>
        </w:rPr>
        <w:t xml:space="preserve"> de funcionamiento)</w:t>
      </w:r>
    </w:p>
    <w:p w:rsidR="00F05B83" w:rsidRPr="006C2467" w:rsidRDefault="00F05B83" w:rsidP="00FF4FDD">
      <w:pPr>
        <w:pStyle w:val="ParrafoTESIS"/>
        <w:numPr>
          <w:ilvl w:val="0"/>
          <w:numId w:val="7"/>
        </w:numPr>
        <w:rPr>
          <w:lang w:val="en-US" w:eastAsia="es-AR"/>
        </w:rPr>
      </w:pPr>
      <w:r w:rsidRPr="006C2467">
        <w:rPr>
          <w:i/>
          <w:lang w:val="en-US" w:eastAsia="es-AR"/>
        </w:rPr>
        <w:t>Single Event Burnout</w:t>
      </w:r>
      <w:r w:rsidRPr="006C2467">
        <w:rPr>
          <w:lang w:val="en-US" w:eastAsia="es-AR"/>
        </w:rPr>
        <w:t xml:space="preserve"> (err</w:t>
      </w:r>
      <w:r>
        <w:rPr>
          <w:lang w:val="en-US" w:eastAsia="es-AR"/>
        </w:rPr>
        <w:t xml:space="preserve">or a </w:t>
      </w:r>
      <w:r w:rsidRPr="006B1E00">
        <w:rPr>
          <w:lang w:eastAsia="es-AR"/>
        </w:rPr>
        <w:t>nivel</w:t>
      </w:r>
      <w:r>
        <w:rPr>
          <w:lang w:val="en-US" w:eastAsia="es-AR"/>
        </w:rPr>
        <w:t xml:space="preserve"> hardware, </w:t>
      </w:r>
      <w:r w:rsidRPr="006B1E00">
        <w:rPr>
          <w:lang w:eastAsia="es-AR"/>
        </w:rPr>
        <w:t>destrucción</w:t>
      </w:r>
      <w:r w:rsidRPr="006C2467">
        <w:rPr>
          <w:lang w:val="en-US" w:eastAsia="es-AR"/>
        </w:rPr>
        <w:t>)</w:t>
      </w:r>
    </w:p>
    <w:p w:rsidR="00F05B83" w:rsidRPr="00CC76A5" w:rsidRDefault="00F05B83" w:rsidP="00CC76A5">
      <w:pPr>
        <w:pStyle w:val="Ttulo4"/>
      </w:pPr>
      <w:r w:rsidRPr="00CC76A5">
        <w:t>Single Event Upset</w:t>
      </w:r>
    </w:p>
    <w:p w:rsidR="00F302F8" w:rsidRPr="00C42594" w:rsidRDefault="00F05B83" w:rsidP="002C4427">
      <w:pPr>
        <w:pStyle w:val="ParrafoTESIS"/>
        <w:rPr>
          <w:lang w:eastAsia="es-AR"/>
        </w:rPr>
      </w:pPr>
      <w:r w:rsidRPr="00664E6D">
        <w:rPr>
          <w:lang w:eastAsia="es-AR"/>
        </w:rPr>
        <w:t>Single Event Upset (SEU) es definido por la NASA como “</w:t>
      </w:r>
      <w:r w:rsidRPr="00820E94">
        <w:rPr>
          <w:lang w:eastAsia="es-AR"/>
        </w:rPr>
        <w:t>Errores inducidos por radiación en circuitos micro</w:t>
      </w:r>
      <w:r w:rsidR="0062623B">
        <w:rPr>
          <w:lang w:eastAsia="es-AR"/>
        </w:rPr>
        <w:t>-</w:t>
      </w:r>
      <w:r w:rsidRPr="00820E94">
        <w:rPr>
          <w:lang w:eastAsia="es-AR"/>
        </w:rPr>
        <w:t xml:space="preserve">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7E53A4">
            <w:rPr>
              <w:lang w:eastAsia="es-AR"/>
            </w:rPr>
            <w:fldChar w:fldCharType="begin"/>
          </w:r>
          <w:r w:rsidR="000B3E93">
            <w:rPr>
              <w:lang w:eastAsia="es-AR"/>
            </w:rPr>
            <w:instrText xml:space="preserve"> CITATION LaB96 \l 11274 </w:instrText>
          </w:r>
          <w:r w:rsidR="007E53A4">
            <w:rPr>
              <w:lang w:eastAsia="es-AR"/>
            </w:rPr>
            <w:fldChar w:fldCharType="separate"/>
          </w:r>
          <w:r w:rsidR="000B3E93">
            <w:rPr>
              <w:noProof/>
              <w:lang w:eastAsia="es-AR"/>
            </w:rPr>
            <w:t>(9)</w:t>
          </w:r>
          <w:r w:rsidR="007E53A4">
            <w:rPr>
              <w:lang w:eastAsia="es-AR"/>
            </w:rPr>
            <w:fldChar w:fldCharType="end"/>
          </w:r>
        </w:sdtContent>
      </w:sdt>
      <w:r w:rsidR="0062623B">
        <w:rPr>
          <w:lang w:eastAsia="es-AR"/>
        </w:rPr>
        <w:t>.</w:t>
      </w:r>
      <w:r w:rsidR="00F302F8" w:rsidRPr="00820E94">
        <w:rPr>
          <w:highlight w:val="yellow"/>
          <w:lang w:eastAsia="es-AR"/>
        </w:rPr>
        <w:t xml:space="preserve"> </w:t>
      </w:r>
    </w:p>
    <w:p w:rsidR="00F302F8" w:rsidRPr="00C42594" w:rsidRDefault="00F302F8" w:rsidP="002C4427">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2C4427">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w:t>
      </w:r>
      <w:r w:rsidR="003B5AD7">
        <w:rPr>
          <w:lang w:eastAsia="es-AR"/>
        </w:rPr>
        <w:t xml:space="preserve">lo </w:t>
      </w:r>
      <w:r w:rsidRPr="00C42594">
        <w:rPr>
          <w:lang w:eastAsia="es-AR"/>
        </w:rPr>
        <w:t xml:space="preserve">rodean.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o un cambio de estado lógico de algún bit en celdas de memoria o registros. En algunas ocasiones, un ion puede afectar dos o múltiples bits ocasionando varios cambios, a lo </w:t>
      </w:r>
      <w:r w:rsidR="003B5AD7">
        <w:rPr>
          <w:lang w:eastAsia="es-AR"/>
        </w:rPr>
        <w:t>que</w:t>
      </w:r>
      <w:r w:rsidR="003B5AD7" w:rsidRPr="00C42594">
        <w:rPr>
          <w:lang w:eastAsia="es-AR"/>
        </w:rPr>
        <w:t xml:space="preserve"> </w:t>
      </w:r>
      <w:r w:rsidRPr="00C42594">
        <w:rPr>
          <w:lang w:eastAsia="es-AR"/>
        </w:rPr>
        <w:t xml:space="preserve">llamamos </w:t>
      </w:r>
      <w:r w:rsidR="0010353A">
        <w:rPr>
          <w:i/>
          <w:lang w:eastAsia="es-AR"/>
        </w:rPr>
        <w:t>Perturbación</w:t>
      </w:r>
      <w:r w:rsidR="00001077">
        <w:rPr>
          <w:i/>
          <w:lang w:eastAsia="es-AR"/>
        </w:rPr>
        <w:t xml:space="preserve"> de Múltiples Bits</w:t>
      </w:r>
      <w:r w:rsidRPr="00C42594">
        <w:rPr>
          <w:lang w:eastAsia="es-AR"/>
        </w:rPr>
        <w:t xml:space="preserve"> o MBU (Multiple Bit Upset), </w:t>
      </w:r>
      <w:r w:rsidR="003B5AD7">
        <w:rPr>
          <w:lang w:eastAsia="es-AR"/>
        </w:rPr>
        <w:t>implicando</w:t>
      </w:r>
      <w:r w:rsidRPr="00C42594">
        <w:rPr>
          <w:lang w:eastAsia="es-AR"/>
        </w:rPr>
        <w:t xml:space="preserve"> un gran problema para el sistema de detección</w:t>
      </w:r>
      <w:r w:rsidR="00001077">
        <w:rPr>
          <w:lang w:eastAsia="es-AR"/>
        </w:rPr>
        <w:t xml:space="preserve"> y corrección de errores EDAC (E</w:t>
      </w:r>
      <w:r w:rsidRPr="00C42594">
        <w:rPr>
          <w:lang w:eastAsia="es-AR"/>
        </w:rPr>
        <w:t xml:space="preserve">rror </w:t>
      </w:r>
      <w:r w:rsidR="00001077">
        <w:rPr>
          <w:lang w:eastAsia="es-AR"/>
        </w:rPr>
        <w:t>D</w:t>
      </w:r>
      <w:r w:rsidR="000379F5">
        <w:rPr>
          <w:lang w:eastAsia="es-AR"/>
        </w:rPr>
        <w:t>etection A</w:t>
      </w:r>
      <w:r w:rsidRPr="00C42594">
        <w:rPr>
          <w:lang w:eastAsia="es-AR"/>
        </w:rPr>
        <w:t xml:space="preserve">nd </w:t>
      </w:r>
      <w:r w:rsidR="00001077">
        <w:rPr>
          <w:lang w:eastAsia="es-AR"/>
        </w:rPr>
        <w:t>C</w:t>
      </w:r>
      <w:r w:rsidRPr="00C42594">
        <w:rPr>
          <w:lang w:eastAsia="es-AR"/>
        </w:rPr>
        <w:t>orrection).</w:t>
      </w:r>
    </w:p>
    <w:p w:rsidR="0010353A" w:rsidRDefault="00F302F8" w:rsidP="002C4427">
      <w:pPr>
        <w:pStyle w:val="ParrafoTESIS"/>
        <w:rPr>
          <w:lang w:eastAsia="es-AR"/>
        </w:rPr>
      </w:pPr>
      <w:r w:rsidRPr="00C42594">
        <w:rPr>
          <w:lang w:eastAsia="es-AR"/>
        </w:rPr>
        <w:lastRenderedPageBreak/>
        <w:t xml:space="preserve">Un SEU de severa gravedad es un </w:t>
      </w:r>
      <w:r w:rsidR="008A055B">
        <w:rPr>
          <w:i/>
          <w:lang w:eastAsia="es-AR"/>
        </w:rPr>
        <w:t>Evento Ú</w:t>
      </w:r>
      <w:r w:rsidR="0010353A">
        <w:rPr>
          <w:i/>
          <w:lang w:eastAsia="es-AR"/>
        </w:rPr>
        <w:t xml:space="preserve">nico de </w:t>
      </w:r>
      <w:r w:rsidR="008A055B">
        <w:rPr>
          <w:i/>
          <w:lang w:eastAsia="es-AR"/>
        </w:rPr>
        <w:t>I</w:t>
      </w:r>
      <w:r w:rsidR="0010353A">
        <w:rPr>
          <w:i/>
          <w:lang w:eastAsia="es-AR"/>
        </w:rPr>
        <w:t xml:space="preserve">nterrupción </w:t>
      </w:r>
      <w:r w:rsidR="008A055B">
        <w:rPr>
          <w:i/>
          <w:lang w:eastAsia="es-AR"/>
        </w:rPr>
        <w:t>F</w:t>
      </w:r>
      <w:r w:rsidR="0010353A">
        <w:rPr>
          <w:i/>
          <w:lang w:eastAsia="es-AR"/>
        </w:rPr>
        <w:t xml:space="preserve">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w:t>
      </w:r>
      <w:r w:rsidR="008A055B">
        <w:rPr>
          <w:lang w:eastAsia="es-AR"/>
        </w:rPr>
        <w:t xml:space="preserve"> el cual afecta a</w:t>
      </w:r>
      <w:r w:rsidRPr="00C42594">
        <w:rPr>
          <w:lang w:eastAsia="es-AR"/>
        </w:rPr>
        <w:t>l sistema de control del circuito</w:t>
      </w:r>
      <w:r w:rsidR="008A055B">
        <w:rPr>
          <w:lang w:eastAsia="es-AR"/>
        </w:rPr>
        <w:t>,</w:t>
      </w:r>
      <w:r w:rsidRPr="00C42594">
        <w:rPr>
          <w:lang w:eastAsia="es-AR"/>
        </w:rPr>
        <w:t xml:space="preserve"> pudiendo configurarlo en un modo de test</w:t>
      </w:r>
      <w:r w:rsidR="003067E0">
        <w:rPr>
          <w:lang w:eastAsia="es-AR"/>
        </w:rPr>
        <w:t>e</w:t>
      </w:r>
      <w:r w:rsidRPr="00C42594">
        <w:rPr>
          <w:lang w:eastAsia="es-AR"/>
        </w:rPr>
        <w:t>o, de cambio de estado de trabajo, o simplemente a uno no definido en el sistema. El SEFI saca al dispositivo de su</w:t>
      </w:r>
      <w:r w:rsidR="00B1499D">
        <w:rPr>
          <w:lang w:eastAsia="es-AR"/>
        </w:rPr>
        <w:t xml:space="preserve"> cor</w:t>
      </w:r>
      <w:r w:rsidR="008A055B">
        <w:rPr>
          <w:lang w:eastAsia="es-AR"/>
        </w:rPr>
        <w:t>r</w:t>
      </w:r>
      <w:r w:rsidR="00B1499D">
        <w:rPr>
          <w:lang w:eastAsia="es-AR"/>
        </w:rPr>
        <w:t>ecto</w:t>
      </w:r>
      <w:r w:rsidRPr="00C42594">
        <w:rPr>
          <w:lang w:eastAsia="es-AR"/>
        </w:rPr>
        <w:t xml:space="preserve"> funcionamient</w:t>
      </w:r>
      <w:r w:rsidR="008A055B">
        <w:rPr>
          <w:lang w:eastAsia="es-AR"/>
        </w:rPr>
        <w:t>o</w:t>
      </w:r>
      <w:r>
        <w:rPr>
          <w:lang w:eastAsia="es-AR"/>
        </w:rPr>
        <w:t xml:space="preserve">, por lo </w:t>
      </w:r>
      <w:r w:rsidR="008A055B">
        <w:rPr>
          <w:lang w:eastAsia="es-AR"/>
        </w:rPr>
        <w:t xml:space="preserve">que </w:t>
      </w:r>
      <w:r>
        <w:rPr>
          <w:lang w:eastAsia="es-AR"/>
        </w:rPr>
        <w:t>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w:t>
      </w:r>
      <w:r w:rsidR="00B1499D">
        <w:rPr>
          <w:lang w:eastAsia="es-AR"/>
        </w:rPr>
        <w:t>normalizarse</w:t>
      </w:r>
      <w:r w:rsidRPr="00C42594">
        <w:rPr>
          <w:lang w:eastAsia="es-AR"/>
        </w:rPr>
        <w:t>.</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2C4427">
      <w:pPr>
        <w:pStyle w:val="ParrafoTESIS"/>
        <w:rPr>
          <w:lang w:eastAsia="es-AR"/>
        </w:rPr>
      </w:pPr>
      <w:r w:rsidRPr="00C42594">
        <w:rPr>
          <w:lang w:eastAsia="es-AR"/>
        </w:rPr>
        <w:t>Single Event Latchup (SEL</w:t>
      </w:r>
      <w:r w:rsidR="0010353A">
        <w:rPr>
          <w:lang w:eastAsia="es-AR"/>
        </w:rPr>
        <w:t xml:space="preserve"> – Evento </w:t>
      </w:r>
      <w:r w:rsidR="00BC07D4">
        <w:rPr>
          <w:lang w:eastAsia="es-AR"/>
        </w:rPr>
        <w:t>Ú</w:t>
      </w:r>
      <w:r w:rsidR="0010353A">
        <w:rPr>
          <w:lang w:eastAsia="es-AR"/>
        </w:rPr>
        <w:t xml:space="preserve">nico de </w:t>
      </w:r>
      <w:r w:rsidR="00BC07D4">
        <w:rPr>
          <w:lang w:eastAsia="es-AR"/>
        </w:rPr>
        <w:t>E</w:t>
      </w:r>
      <w:r w:rsidR="0010353A">
        <w:rPr>
          <w:lang w:eastAsia="es-AR"/>
        </w:rPr>
        <w:t>nclavamiento</w:t>
      </w:r>
      <w:r w:rsidRPr="00C42594">
        <w:rPr>
          <w:lang w:eastAsia="es-AR"/>
        </w:rPr>
        <w:t xml:space="preserve">) </w:t>
      </w:r>
      <w:r>
        <w:rPr>
          <w:lang w:eastAsia="es-AR"/>
        </w:rPr>
        <w:t>es una condición que causa pé</w:t>
      </w:r>
      <w:r w:rsidRPr="00C42594">
        <w:rPr>
          <w:lang w:eastAsia="es-AR"/>
        </w:rPr>
        <w:t>rdida de funcionalidad del dispositivo debido a un SEU</w:t>
      </w:r>
      <w:r w:rsidR="00CA44A3">
        <w:rPr>
          <w:lang w:eastAsia="es-AR"/>
        </w:rPr>
        <w:t>,</w:t>
      </w:r>
      <w:r w:rsidRPr="00C42594">
        <w:rPr>
          <w:lang w:eastAsia="es-AR"/>
        </w:rPr>
        <w:t xml:space="preserve">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w:t>
      </w:r>
      <w:r w:rsidR="00BC07D4">
        <w:rPr>
          <w:lang w:eastAsia="es-AR"/>
        </w:rPr>
        <w:t>como</w:t>
      </w:r>
      <w:r w:rsidRPr="00C42594">
        <w:rPr>
          <w:lang w:eastAsia="es-AR"/>
        </w:rPr>
        <w:t xml:space="preserve"> consecuencia de un estado de alta corriente de funcionamiento, por arriba de las especificaciones. Esta condición de </w:t>
      </w:r>
      <w:r>
        <w:rPr>
          <w:lang w:eastAsia="es-AR"/>
        </w:rPr>
        <w:t>enclavamiento</w:t>
      </w:r>
      <w:r w:rsidRPr="00C42594">
        <w:rPr>
          <w:lang w:eastAsia="es-AR"/>
        </w:rPr>
        <w:t xml:space="preserve"> puede destruir los dispositivos, </w:t>
      </w:r>
      <w:r w:rsidR="00BC07D4">
        <w:rPr>
          <w:lang w:eastAsia="es-AR"/>
        </w:rPr>
        <w:t>llevar</w:t>
      </w:r>
      <w:r w:rsidRPr="00C42594">
        <w:rPr>
          <w:lang w:eastAsia="es-AR"/>
        </w:rPr>
        <w:t xml:space="preserve">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2C4427">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CA44A3">
        <w:rPr>
          <w:lang w:eastAsia="es-AR"/>
        </w:rPr>
        <w:t>proceso</w:t>
      </w:r>
      <w:r w:rsidR="00CA44A3" w:rsidRPr="00C42594">
        <w:rPr>
          <w:lang w:eastAsia="es-AR"/>
        </w:rPr>
        <w:t xml:space="preserve"> </w:t>
      </w:r>
      <w:r w:rsidRPr="00C42594">
        <w:rPr>
          <w:lang w:eastAsia="es-AR"/>
        </w:rPr>
        <w:t xml:space="preserve">no es realizado en </w:t>
      </w:r>
      <w:r w:rsidR="00CA44A3">
        <w:rPr>
          <w:lang w:eastAsia="es-AR"/>
        </w:rPr>
        <w:t xml:space="preserve">la </w:t>
      </w:r>
      <w:r w:rsidRPr="00C42594">
        <w:rPr>
          <w:lang w:eastAsia="es-AR"/>
        </w:rPr>
        <w:t xml:space="preserve">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7E53A4">
            <w:rPr>
              <w:lang w:eastAsia="es-AR"/>
            </w:rPr>
            <w:fldChar w:fldCharType="begin"/>
          </w:r>
          <w:r w:rsidR="00235572">
            <w:rPr>
              <w:lang w:eastAsia="es-AR"/>
            </w:rPr>
            <w:instrText xml:space="preserve"> CITATION Mou94 \l 11274 </w:instrText>
          </w:r>
          <w:r w:rsidR="007E53A4">
            <w:rPr>
              <w:lang w:eastAsia="es-AR"/>
            </w:rPr>
            <w:fldChar w:fldCharType="separate"/>
          </w:r>
          <w:r w:rsidR="00235572">
            <w:rPr>
              <w:noProof/>
              <w:lang w:eastAsia="es-AR"/>
            </w:rPr>
            <w:t>(10)</w:t>
          </w:r>
          <w:r w:rsidR="007E53A4">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2C4427">
      <w:pPr>
        <w:pStyle w:val="ParrafoTESIS"/>
      </w:pPr>
      <w:r w:rsidRPr="00C42594">
        <w:t>Single Event Burnout (SEB</w:t>
      </w:r>
      <w:r w:rsidR="00BC07D4">
        <w:t xml:space="preserve"> – Evento D</w:t>
      </w:r>
      <w:r>
        <w:t xml:space="preserve">estructivo </w:t>
      </w:r>
      <w:r w:rsidR="00BC07D4">
        <w:t>Ú</w:t>
      </w:r>
      <w:r>
        <w:t>nico</w:t>
      </w:r>
      <w:r w:rsidRPr="00C42594">
        <w:t xml:space="preserve">) es una condición que puede causar la destrucción del dispositivo por un estado de alta corriente en un transistor de potencia. </w:t>
      </w:r>
      <w:r w:rsidR="00CA44A3">
        <w:t xml:space="preserve">Un </w:t>
      </w:r>
      <w:r w:rsidRPr="00C42594">
        <w:t>SEB causa que el dispositivo falle permanentemente, incluyendo destrucción de MOSFET de potencia, ruptura de compuertas</w:t>
      </w:r>
      <w:r w:rsidR="00BC07D4">
        <w:t xml:space="preserve"> (Gates), congelamiento de bits o</w:t>
      </w:r>
      <w:r w:rsidRPr="00C42594">
        <w:t xml:space="preserve"> ruido en </w:t>
      </w:r>
      <w:r w:rsidRPr="00CC29BC">
        <w:t>CCDs (charge-couple devices</w:t>
      </w:r>
      <w:r w:rsidR="00CC29BC">
        <w:t xml:space="preserve"> – dispositivos acoplador</w:t>
      </w:r>
      <w:r w:rsidR="00BC07D4">
        <w:t xml:space="preserve">es de </w:t>
      </w:r>
      <w:r w:rsidR="00CC29BC">
        <w:t>cargas</w:t>
      </w:r>
      <w:r w:rsidRPr="00CC29BC">
        <w:t>).</w:t>
      </w:r>
      <w:r w:rsidRPr="00C42594">
        <w:t xml:space="preserve"> </w:t>
      </w:r>
      <w:r w:rsidR="00CA44A3">
        <w:t>P</w:t>
      </w:r>
      <w:r w:rsidRPr="00C42594">
        <w:t>uede</w:t>
      </w:r>
      <w:r w:rsidR="00CA44A3">
        <w:t>n</w:t>
      </w:r>
      <w:r w:rsidRPr="00C42594">
        <w:t xml:space="preserve"> desencadenar un</w:t>
      </w:r>
      <w:r w:rsidR="004D5352">
        <w:t xml:space="preserve"> cambio del punto de trabajo </w:t>
      </w:r>
      <w:r w:rsidRPr="00C42594">
        <w:t xml:space="preserve">de un MOSFET de </w:t>
      </w:r>
      <w:r w:rsidR="00CC29BC">
        <w:t>potencia que haya estado en OFF-S</w:t>
      </w:r>
      <w:r w:rsidRPr="00C42594">
        <w:t>tate (estado inactivo)</w:t>
      </w:r>
      <w:r w:rsidR="004D5352">
        <w:t>,</w:t>
      </w:r>
      <w:r w:rsidRPr="00C42594">
        <w:t xml:space="preserve"> cuando un ion pesado deposite suficiente carga como para encender dicho dispositivo</w:t>
      </w:r>
      <w:r w:rsidR="00CA44A3" w:rsidRPr="00CA44A3">
        <w:t xml:space="preserve"> </w:t>
      </w:r>
      <w:r w:rsidR="00CA44A3">
        <w:t>cuando</w:t>
      </w:r>
      <w:r w:rsidR="00CA44A3" w:rsidRPr="00C42594">
        <w:t xml:space="preserve"> lo atraviese</w:t>
      </w:r>
      <w:r w:rsidRPr="00C42594">
        <w:t>. Fue demostrado que la susceptibilidad de los dispositivos a los SEB di</w:t>
      </w:r>
      <w:r w:rsidR="004D5352">
        <w:t>sminuye con el aumento</w:t>
      </w:r>
      <w:r w:rsidRPr="00C42594">
        <w:t xml:space="preserve"> </w:t>
      </w:r>
      <w:r w:rsidR="004D5352">
        <w:t>de</w:t>
      </w:r>
      <w:r w:rsidRPr="00C42594">
        <w:t xml:space="preserve">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2C4427">
      <w:pPr>
        <w:pStyle w:val="ParrafoTESIS"/>
      </w:pPr>
      <w:r w:rsidRPr="00C42594">
        <w:t>Un</w:t>
      </w:r>
      <w:r w:rsidR="00F901B4">
        <w:t xml:space="preserve"> SEB puede producir en un</w:t>
      </w:r>
      <w:r w:rsidRPr="00C42594">
        <w:t xml:space="preserve"> MOSFET de potencia un </w:t>
      </w:r>
      <w:r w:rsidRPr="004D5352">
        <w:rPr>
          <w:i/>
        </w:rPr>
        <w:t>Single Event Gate Rupture</w:t>
      </w:r>
      <w:r w:rsidRPr="00C42594">
        <w:t xml:space="preserve"> (SEGR</w:t>
      </w:r>
      <w:r w:rsidR="004D5352">
        <w:t xml:space="preserve"> – Evento Ú</w:t>
      </w:r>
      <w:r>
        <w:t xml:space="preserve">nico de </w:t>
      </w:r>
      <w:r w:rsidR="004D5352">
        <w:t>R</w:t>
      </w:r>
      <w:r>
        <w:t xml:space="preserve">uptura de </w:t>
      </w:r>
      <w:r w:rsidR="004D5352">
        <w:t>C</w:t>
      </w:r>
      <w:r>
        <w:t>ompuerta</w:t>
      </w:r>
      <w:r w:rsidRPr="00C42594">
        <w:t>)</w:t>
      </w:r>
      <w:r w:rsidR="004D5352">
        <w:t>,</w:t>
      </w:r>
      <w:r w:rsidRPr="00C42594">
        <w:t xml:space="preserve"> que es la formación de un camino conductor (ruptura dieléctrica localizada) en la </w:t>
      </w:r>
      <w:r>
        <w:t>compuerta</w:t>
      </w:r>
      <w:r w:rsidR="00CA44A3">
        <w:t>,</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F05B83" w:rsidRPr="00CA268A" w:rsidRDefault="00F05B83" w:rsidP="00F302F8">
      <w:pPr>
        <w:pStyle w:val="Ttulo2"/>
      </w:pPr>
      <w:bookmarkStart w:id="14" w:name="_Toc266984387"/>
      <w:r>
        <w:lastRenderedPageBreak/>
        <w:t xml:space="preserve">1.3) </w:t>
      </w:r>
      <w:r w:rsidR="00385C7A" w:rsidRPr="00CA268A">
        <w:t>MODELADO DE LA FALLA</w:t>
      </w:r>
      <w:bookmarkEnd w:id="14"/>
    </w:p>
    <w:p w:rsidR="00F05B83" w:rsidRPr="00CA268A" w:rsidRDefault="00F05B83" w:rsidP="00F302F8">
      <w:pPr>
        <w:pStyle w:val="Ttulo3"/>
      </w:pPr>
      <w:bookmarkStart w:id="15" w:name="_Toc266984388"/>
      <w:r>
        <w:t xml:space="preserve">1.3.1) </w:t>
      </w:r>
      <w:r w:rsidRPr="00CA268A">
        <w:t xml:space="preserve">Modelo </w:t>
      </w:r>
      <w:bookmarkEnd w:id="15"/>
      <w:r w:rsidR="006B0A6B">
        <w:t>típico</w:t>
      </w:r>
    </w:p>
    <w:p w:rsidR="00F302F8" w:rsidRPr="00CA268A" w:rsidRDefault="002C664E" w:rsidP="002C4427">
      <w:pPr>
        <w:pStyle w:val="ParrafoTESIS"/>
      </w:pPr>
      <w:r>
        <w:t>Los SETs son</w:t>
      </w:r>
      <w:r w:rsidR="00F05B83" w:rsidRPr="00CA268A">
        <w:t xml:space="preserve"> difícil</w:t>
      </w:r>
      <w:r>
        <w:t>es</w:t>
      </w:r>
      <w:r w:rsidR="00F05B83" w:rsidRPr="00CA268A">
        <w:t xml:space="preserve"> de simular debido a que </w:t>
      </w:r>
      <w:r>
        <w:t>dependen, no solo de las características del pul</w:t>
      </w:r>
      <w:r w:rsidR="00F05B83" w:rsidRPr="00CA268A">
        <w:t>so</w:t>
      </w:r>
      <w:r>
        <w:t xml:space="preserve"> generad</w:t>
      </w:r>
      <w:r w:rsidR="006B0A6B">
        <w:t>o</w:t>
      </w:r>
      <w:r>
        <w:t xml:space="preserve">, </w:t>
      </w:r>
      <w:r w:rsidR="006B0A6B">
        <w:t xml:space="preserve">sino también a la </w:t>
      </w:r>
      <w:r w:rsidR="00F05B83" w:rsidRPr="00CA268A">
        <w:t xml:space="preserve">respuesta dinámica del circuito en sí. El transitorio puede ser modelado como una inyección de tipo doble exponencial de corriente, </w:t>
      </w:r>
      <w:r w:rsidR="00F05B83"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2C4427">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7E53A4" w:rsidP="002C4427">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inicialmente establecida </w:t>
      </w:r>
      <w:r w:rsidR="006B0A6B">
        <w:t xml:space="preserve">por la </w:t>
      </w:r>
      <w:r w:rsidR="00F302F8" w:rsidRPr="00CA268A">
        <w:t>dirección del ion. Estas dos constantes dependen de varios factores relacionados con el proceso</w:t>
      </w:r>
      <w:r w:rsidR="002D104F">
        <w:t>,</w:t>
      </w:r>
      <w:r w:rsidR="00F302F8" w:rsidRPr="00CA268A">
        <w:t xml:space="preserve"> y por lo tanto</w:t>
      </w:r>
      <w:r w:rsidR="002D104F">
        <w:t>,</w:t>
      </w:r>
      <w:r w:rsidR="00F302F8" w:rsidRPr="00CA268A">
        <w:t xml:space="preserve"> con la tecnología. </w:t>
      </w:r>
    </w:p>
    <w:p w:rsidR="00F302F8" w:rsidRPr="00545093" w:rsidRDefault="006B611D" w:rsidP="00F302F8">
      <w:pPr>
        <w:pStyle w:val="Ttulo3"/>
      </w:pPr>
      <w:bookmarkStart w:id="16" w:name="_Toc266984389"/>
      <w:r w:rsidRPr="006B611D">
        <w:t>1.3.2) Modelo a utilizar</w:t>
      </w:r>
      <w:bookmarkEnd w:id="16"/>
    </w:p>
    <w:p w:rsidR="00F302F8" w:rsidRDefault="006B611D" w:rsidP="002C4427">
      <w:pPr>
        <w:pStyle w:val="ParrafoTESIS"/>
      </w:pPr>
      <w:r w:rsidRPr="006B611D">
        <w:t xml:space="preserve">Como el modelo del transitorio de doble exponencial </w:t>
      </w:r>
      <w:r w:rsidR="00545093">
        <w:t xml:space="preserve">exige </w:t>
      </w:r>
      <w:r w:rsidRPr="006B611D">
        <w:t>mucho tiempo y procesamiento computacional complejo</w:t>
      </w:r>
      <w:r w:rsidR="00E712B0">
        <w:t>,</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w:t>
      </w:r>
      <w:r w:rsidR="006B0A6B">
        <w:t>odelo Exponencial</w:t>
      </w:r>
    </w:p>
    <w:p w:rsidR="00F302F8" w:rsidRDefault="00F302F8" w:rsidP="002C4427">
      <w:pPr>
        <w:pStyle w:val="ParrafoTESIS"/>
      </w:pPr>
      <w:r>
        <w:t>Un modelo de menor complejidad que la doble exponencial es la exponencial simple (</w:t>
      </w:r>
      <w:fldSimple w:instr=" REF _Ref266984405 \h  \* MERGEFORMAT ">
        <w:r w:rsidR="00741B54">
          <w:t>Figura</w:t>
        </w:r>
        <w:r w:rsidR="00741B54">
          <w:rPr>
            <w:noProof/>
          </w:rPr>
          <w:t xml:space="preserve"> 6</w:t>
        </w:r>
      </w:fldSimple>
      <w:r>
        <w:t>)</w:t>
      </w:r>
      <w:r w:rsidR="006B0A6B">
        <w:t>, que</w:t>
      </w:r>
      <w:r w:rsidRPr="00F83B3A">
        <w:rPr>
          <w:szCs w:val="18"/>
        </w:rPr>
        <w:t xml:space="preserve"> </w:t>
      </w:r>
      <w:r>
        <w:rPr>
          <w:szCs w:val="18"/>
        </w:rPr>
        <w:t xml:space="preserve">representa con gran semejanza el proceso de </w:t>
      </w:r>
      <w:r w:rsidR="006B611D" w:rsidRPr="006B611D">
        <w:rPr>
          <w:i/>
          <w:szCs w:val="18"/>
        </w:rPr>
        <w:t>recolección de</w:t>
      </w:r>
      <w:r w:rsidR="006B0A6B">
        <w:rPr>
          <w:i/>
          <w:szCs w:val="18"/>
        </w:rPr>
        <w:t xml:space="preserve"> cargas</w:t>
      </w:r>
      <w:r>
        <w:t xml:space="preserve">. El proceso de </w:t>
      </w:r>
      <w:r w:rsidR="006B611D" w:rsidRPr="006B611D">
        <w:rPr>
          <w:i/>
        </w:rPr>
        <w:t>difusión de cargas</w:t>
      </w:r>
      <w:r>
        <w:t xml:space="preserve"> no se asemeja a la referencia</w:t>
      </w:r>
      <w:r w:rsidR="006B0A6B">
        <w:t xml:space="preserve"> (ver modelo de la doble exponencial en la </w:t>
      </w:r>
      <w:r w:rsidR="006B0A6B">
        <w:fldChar w:fldCharType="begin"/>
      </w:r>
      <w:r w:rsidR="006B0A6B">
        <w:instrText xml:space="preserve"> REF _Ref266986213 \h </w:instrText>
      </w:r>
      <w:r w:rsidR="006B0A6B">
        <w:fldChar w:fldCharType="separate"/>
      </w:r>
      <w:r w:rsidR="006B0A6B" w:rsidRPr="0040462E">
        <w:t xml:space="preserve">Figura </w:t>
      </w:r>
      <w:r w:rsidR="006B0A6B">
        <w:rPr>
          <w:noProof/>
        </w:rPr>
        <w:t>3</w:t>
      </w:r>
      <w:r w:rsidR="006B0A6B">
        <w:fldChar w:fldCharType="end"/>
      </w:r>
      <w:r w:rsidR="006B0A6B">
        <w:t>)</w:t>
      </w:r>
      <w:r>
        <w:t>, ya que el tiempo y amplitud que se puede generar con la exponencial simple para este proceso imposibilita</w:t>
      </w:r>
      <w:r w:rsidR="006B0A6B">
        <w:t xml:space="preserve"> </w:t>
      </w:r>
      <w:r>
        <w:t>hacerlo.</w:t>
      </w:r>
    </w:p>
    <w:p w:rsidR="00F302F8" w:rsidRDefault="00F302F8" w:rsidP="002C4427">
      <w:pPr>
        <w:pStyle w:val="ParrafoTESIS"/>
      </w:pPr>
      <w:r>
        <w:t xml:space="preserve">La expresión matemática </w:t>
      </w:r>
      <w:r w:rsidR="00E712B0">
        <w:t xml:space="preserve">del modelo </w:t>
      </w:r>
      <w:r>
        <w:t>de la falla exponencial es:</w:t>
      </w:r>
    </w:p>
    <w:p w:rsidR="002D53CD" w:rsidRDefault="00F302F8" w:rsidP="002C4427">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C4427">
      <w:pPr>
        <w:pStyle w:val="ParrafoTESIS"/>
      </w:pPr>
      <w:bookmarkStart w:id="17" w:name="_Ref266984405"/>
      <w:bookmarkStart w:id="18" w:name="_Ref266984402"/>
      <w:r>
        <w:lastRenderedPageBreak/>
        <w:t>La representación en SPICE del</w:t>
      </w:r>
      <w:r w:rsidR="00E712B0">
        <w:t xml:space="preserve"> modelo de la</w:t>
      </w:r>
      <w:r>
        <w:t xml:space="preserve"> falla </w:t>
      </w:r>
      <w:r w:rsidR="00E712B0">
        <w:t xml:space="preserve">exponencial </w:t>
      </w:r>
      <w:r>
        <w:t>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19" w:name="_Ref268967482"/>
      <w:r>
        <w:t xml:space="preserve">Figura </w:t>
      </w:r>
      <w:fldSimple w:instr=" SEQ Figura \* ARABIC ">
        <w:r w:rsidR="00741B54">
          <w:rPr>
            <w:noProof/>
          </w:rPr>
          <w:t>6</w:t>
        </w:r>
      </w:fldSimple>
      <w:bookmarkEnd w:id="17"/>
      <w:bookmarkEnd w:id="19"/>
      <w:r>
        <w:t>) Gr</w:t>
      </w:r>
      <w:r w:rsidR="00676042">
        <w:t>á</w:t>
      </w:r>
      <w:r>
        <w:t>fica del modelo de inyección exponencial.</w:t>
      </w:r>
      <w:bookmarkEnd w:id="18"/>
    </w:p>
    <w:p w:rsidR="00F302F8" w:rsidRPr="00570E5C" w:rsidRDefault="00163B5D" w:rsidP="00CC76A5">
      <w:pPr>
        <w:pStyle w:val="Ttulo4"/>
      </w:pPr>
      <w:r>
        <w:t>Modelo Trapezoidal</w:t>
      </w:r>
    </w:p>
    <w:p w:rsidR="002D53CD" w:rsidRDefault="00F302F8" w:rsidP="002C4427">
      <w:pPr>
        <w:pStyle w:val="ParrafoTESIS"/>
      </w:pPr>
      <w:r>
        <w:t xml:space="preserve">Otra opción de modelado de la falla es a través de una </w:t>
      </w:r>
      <w:r w:rsidR="00163B5D">
        <w:t xml:space="preserve">función </w:t>
      </w:r>
      <w:r w:rsidR="00AE4956">
        <w:t>trapezoidal</w:t>
      </w:r>
      <w:r>
        <w:t xml:space="preserve"> (</w:t>
      </w:r>
      <w:fldSimple w:instr=" REF _Ref266990746 \h  \* MERGEFORMAT ">
        <w:r w:rsidR="00741B54">
          <w:t xml:space="preserve">Figura </w:t>
        </w:r>
        <w:r w:rsidR="00741B54">
          <w:rPr>
            <w:noProof/>
          </w:rPr>
          <w:t>7</w:t>
        </w:r>
      </w:fldSimple>
      <w:r>
        <w:t>),</w:t>
      </w:r>
      <w:r w:rsidR="00163B5D">
        <w:t xml:space="preserve"> con la cual el costo computacio</w:t>
      </w:r>
      <w:r>
        <w:t>n</w:t>
      </w:r>
      <w:r w:rsidR="00163B5D">
        <w:t>al</w:t>
      </w:r>
      <w:r>
        <w:t xml:space="preserve">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w:t>
      </w:r>
      <w:r w:rsidR="0065332C">
        <w:t>típico (doble exponencial)</w:t>
      </w:r>
      <w:r>
        <w:t>.</w:t>
      </w:r>
    </w:p>
    <w:p w:rsidR="002D53CD" w:rsidRDefault="002D53CD">
      <w:pPr>
        <w:rPr>
          <w:rFonts w:cstheme="minorHAnsi"/>
          <w:shd w:val="clear" w:color="auto" w:fill="EBEFF9"/>
        </w:rPr>
      </w:pPr>
      <w:r>
        <w:br w:type="page"/>
      </w:r>
    </w:p>
    <w:p w:rsidR="00F302F8" w:rsidRDefault="00F302F8" w:rsidP="002C4427">
      <w:pPr>
        <w:pStyle w:val="ParrafoTESIS"/>
      </w:pPr>
      <w:r>
        <w:lastRenderedPageBreak/>
        <w:t>La representación en SPICE del</w:t>
      </w:r>
      <w:r w:rsidR="00E712B0">
        <w:t xml:space="preserve"> modelo de la</w:t>
      </w:r>
      <w:r>
        <w:t xml:space="preserve"> falla </w:t>
      </w:r>
      <w:r w:rsidR="00A276C9">
        <w:t>trapezoidal</w:t>
      </w:r>
      <w:r>
        <w:t xml:space="preserve">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0" w:name="_Ref266990746"/>
      <w:r>
        <w:t xml:space="preserve">Figura </w:t>
      </w:r>
      <w:fldSimple w:instr=" SEQ Figura \* ARABIC ">
        <w:r w:rsidR="00741B54">
          <w:rPr>
            <w:noProof/>
          </w:rPr>
          <w:t>7</w:t>
        </w:r>
      </w:fldSimple>
      <w:bookmarkEnd w:id="20"/>
      <w:r>
        <w:t>) Gr</w:t>
      </w:r>
      <w:r w:rsidR="00CC76A5">
        <w:t>á</w:t>
      </w:r>
      <w:r>
        <w:t xml:space="preserve">fica del modelo de inyección </w:t>
      </w:r>
      <w:r w:rsidR="00AE4956">
        <w:t>trapezoidal</w:t>
      </w:r>
      <w:r>
        <w:t>.</w:t>
      </w:r>
    </w:p>
    <w:p w:rsidR="002D5649" w:rsidRDefault="00F302F8" w:rsidP="002C4427">
      <w:pPr>
        <w:pStyle w:val="ParrafoTESIS"/>
      </w:pPr>
      <w:r w:rsidRPr="00707401">
        <w:t xml:space="preserve">En ambos casos, </w:t>
      </w:r>
      <w:r>
        <w:t>las características de corriente máxima y tiempos de perturbación fueron elegidas en base a</w:t>
      </w:r>
      <w:r w:rsidR="00A276C9">
        <w:t xml:space="preserve"> la</w:t>
      </w:r>
      <w:r w:rsidR="00E712B0">
        <w:t>s</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rsidR="00E712B0">
        <w:t xml:space="preserve"> </w:t>
      </w:r>
      <w:r>
        <w:t xml:space="preserve">En los procesos de inyección, </w:t>
      </w:r>
      <w:r w:rsidR="00E712B0">
        <w:t>existe</w:t>
      </w:r>
      <w:r>
        <w:t xml:space="preserve"> un tiempo de reposo del circuito (sin perturbaciones) durante 2nS</w:t>
      </w:r>
      <w:r w:rsidR="00676042">
        <w:t>,</w:t>
      </w:r>
      <w:r>
        <w:t xml:space="preserve"> en los cuales el sistema se estabiliza. A diferencia del modelado exponencial, </w:t>
      </w:r>
      <w:r w:rsidR="0065332C">
        <w:t xml:space="preserve">en </w:t>
      </w:r>
      <w:r>
        <w:t xml:space="preserve">el modelo de falla tipo </w:t>
      </w:r>
      <w:r w:rsidR="00A276C9">
        <w:t>trapezoidal</w:t>
      </w:r>
      <w:r>
        <w:t xml:space="preserve"> </w:t>
      </w:r>
      <w:r w:rsidR="0065332C">
        <w:t xml:space="preserve">esta </w:t>
      </w:r>
      <w:r>
        <w:t>defin</w:t>
      </w:r>
      <w:r w:rsidR="0065332C">
        <w:t>ido</w:t>
      </w:r>
      <w:r>
        <w:t xml:space="preserve"> el momento de finalización de la perturbación, permitiendo asegurar que el circuito se encuentra libre de alteraciones externas</w:t>
      </w:r>
      <w:r w:rsidR="0065332C">
        <w:t xml:space="preserve">, y </w:t>
      </w:r>
      <w:r>
        <w:t>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3D5" w:rsidRDefault="001853D5" w:rsidP="00F302F8">
      <w:pPr>
        <w:spacing w:after="0" w:line="240" w:lineRule="auto"/>
      </w:pPr>
      <w:r>
        <w:separator/>
      </w:r>
    </w:p>
  </w:endnote>
  <w:endnote w:type="continuationSeparator" w:id="0">
    <w:p w:rsidR="001853D5" w:rsidRDefault="001853D5"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3D5" w:rsidRDefault="001853D5" w:rsidP="00F302F8">
      <w:pPr>
        <w:spacing w:after="0" w:line="240" w:lineRule="auto"/>
      </w:pPr>
      <w:r>
        <w:separator/>
      </w:r>
    </w:p>
  </w:footnote>
  <w:footnote w:type="continuationSeparator" w:id="0">
    <w:p w:rsidR="001853D5" w:rsidRDefault="001853D5"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D104F"/>
    <w:rsid w:val="002D53CD"/>
    <w:rsid w:val="002D5649"/>
    <w:rsid w:val="003064C1"/>
    <w:rsid w:val="003067E0"/>
    <w:rsid w:val="0031545D"/>
    <w:rsid w:val="0032585D"/>
    <w:rsid w:val="00334B73"/>
    <w:rsid w:val="00384902"/>
    <w:rsid w:val="00385C7A"/>
    <w:rsid w:val="00394FCC"/>
    <w:rsid w:val="003B5AD7"/>
    <w:rsid w:val="00405E39"/>
    <w:rsid w:val="00471902"/>
    <w:rsid w:val="00475B8E"/>
    <w:rsid w:val="00483926"/>
    <w:rsid w:val="004A1C6C"/>
    <w:rsid w:val="004D5352"/>
    <w:rsid w:val="00536948"/>
    <w:rsid w:val="00544EF9"/>
    <w:rsid w:val="00545093"/>
    <w:rsid w:val="0054741A"/>
    <w:rsid w:val="005B2EEA"/>
    <w:rsid w:val="005E0462"/>
    <w:rsid w:val="006208DE"/>
    <w:rsid w:val="0062623B"/>
    <w:rsid w:val="0065332C"/>
    <w:rsid w:val="00666B9B"/>
    <w:rsid w:val="00676042"/>
    <w:rsid w:val="006840E6"/>
    <w:rsid w:val="00686625"/>
    <w:rsid w:val="006A1B63"/>
    <w:rsid w:val="006B0A6B"/>
    <w:rsid w:val="006B1E00"/>
    <w:rsid w:val="006B611D"/>
    <w:rsid w:val="006F36DA"/>
    <w:rsid w:val="00704A66"/>
    <w:rsid w:val="00741B54"/>
    <w:rsid w:val="007457C4"/>
    <w:rsid w:val="00781482"/>
    <w:rsid w:val="007931E6"/>
    <w:rsid w:val="007A0851"/>
    <w:rsid w:val="007D7A79"/>
    <w:rsid w:val="007E53A4"/>
    <w:rsid w:val="00820E94"/>
    <w:rsid w:val="00830FCD"/>
    <w:rsid w:val="00835297"/>
    <w:rsid w:val="008407F9"/>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E4956"/>
    <w:rsid w:val="00B0043A"/>
    <w:rsid w:val="00B00962"/>
    <w:rsid w:val="00B1499D"/>
    <w:rsid w:val="00B271A3"/>
    <w:rsid w:val="00B27C2E"/>
    <w:rsid w:val="00B7627F"/>
    <w:rsid w:val="00B809B5"/>
    <w:rsid w:val="00B94184"/>
    <w:rsid w:val="00BC07D4"/>
    <w:rsid w:val="00BE6BB2"/>
    <w:rsid w:val="00C112B0"/>
    <w:rsid w:val="00C12C04"/>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F05B83"/>
    <w:rsid w:val="00F22B34"/>
    <w:rsid w:val="00F255DA"/>
    <w:rsid w:val="00F302F8"/>
    <w:rsid w:val="00F52EB2"/>
    <w:rsid w:val="00F553AC"/>
    <w:rsid w:val="00F901B4"/>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2C4427"/>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60D53357-A5B4-412A-9741-F0B87D05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10</Pages>
  <Words>2639</Words>
  <Characters>14519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70</cp:revision>
  <dcterms:created xsi:type="dcterms:W3CDTF">2010-07-24T19:30:00Z</dcterms:created>
  <dcterms:modified xsi:type="dcterms:W3CDTF">2010-08-24T23:46:00Z</dcterms:modified>
</cp:coreProperties>
</file>