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9162E4" w:rsidRDefault="00F302F8" w:rsidP="00F302F8">
      <w:pPr>
        <w:pStyle w:val="Ttulo1"/>
        <w:rPr>
          <w:rStyle w:val="apple-style-span"/>
          <w:sz w:val="32"/>
        </w:rPr>
      </w:pPr>
      <w:bookmarkStart w:id="0" w:name="_Toc266984378"/>
      <w:r w:rsidRPr="009162E4">
        <w:rPr>
          <w:rStyle w:val="apple-style-span"/>
          <w:sz w:val="32"/>
        </w:rPr>
        <w:t>CAP</w:t>
      </w:r>
      <w:r>
        <w:rPr>
          <w:rStyle w:val="apple-style-span"/>
          <w:sz w:val="32"/>
        </w:rPr>
        <w:t>Í</w:t>
      </w:r>
      <w:r w:rsidRPr="009162E4">
        <w:rPr>
          <w:rStyle w:val="apple-style-span"/>
          <w:sz w:val="32"/>
        </w:rPr>
        <w:t>TULO 1: Evento transitorio único en estructuras analógicas</w:t>
      </w:r>
      <w:bookmarkEnd w:id="0"/>
      <w:r>
        <w:rPr>
          <w:rStyle w:val="apple-style-span"/>
          <w:sz w:val="32"/>
        </w:rPr>
        <w:t>.</w:t>
      </w:r>
    </w:p>
    <w:p w:rsidR="00F302F8" w:rsidRPr="007D445B" w:rsidRDefault="00F302F8" w:rsidP="00F302F8">
      <w:pPr>
        <w:pStyle w:val="IntroCAPTESIS"/>
      </w:pPr>
      <w:r w:rsidRPr="007D445B">
        <w:t xml:space="preserve">Varios años después de que las alteraciones por eventos únicos fueran descubiertas en el espacio en 1975, el potencial de los rayos cósmicos en producir alteraciones a nivel del mar recibió poca atención. Años más tarde, el trabajo de J. Ziegler motivado por la labor de T. May y M. Woods, plantearon una nueva preocupación para los fabricantes de memorias de computadoras. Pero no fue hasta 1992 que estos efectos comenzaron a cobrar mayor importancia debido a sus consecuencias en la aviación demostradas en </w:t>
      </w:r>
      <w:r w:rsidRPr="003A4E79">
        <w:rPr>
          <w:highlight w:val="yellow"/>
        </w:rPr>
        <w:t>[</w:t>
      </w:r>
      <w:r>
        <w:rPr>
          <w:rStyle w:val="Refdenotaalpie"/>
          <w:highlight w:val="yellow"/>
        </w:rPr>
        <w:footnoteReference w:id="1"/>
      </w:r>
      <w:r w:rsidRPr="003A4E79">
        <w:rPr>
          <w:highlight w:val="yellow"/>
        </w:rPr>
        <w:t>]</w:t>
      </w:r>
      <w:r>
        <w:rPr>
          <w:highlight w:val="yellow"/>
        </w:rPr>
        <w:t xml:space="preserve"> </w:t>
      </w:r>
      <w:r w:rsidRPr="003A4E79">
        <w:rPr>
          <w:highlight w:val="yellow"/>
        </w:rPr>
        <w:t>[</w:t>
      </w:r>
      <w:r>
        <w:rPr>
          <w:rStyle w:val="Refdenotaalpie"/>
          <w:highlight w:val="yellow"/>
        </w:rPr>
        <w:footnoteReference w:id="2"/>
      </w:r>
      <w:r w:rsidRPr="003A4E79">
        <w:rPr>
          <w:highlight w:val="yellow"/>
        </w:rPr>
        <w:t>]</w:t>
      </w:r>
      <w:r>
        <w:t>.</w:t>
      </w:r>
    </w:p>
    <w:p w:rsidR="00F302F8" w:rsidRPr="007D445B" w:rsidRDefault="00F302F8" w:rsidP="00F302F8">
      <w:pPr>
        <w:pStyle w:val="IntroCAPTESIS"/>
      </w:pPr>
      <w:r w:rsidRPr="007D445B">
        <w:t xml:space="preserve">En 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E86273">
        <w:rPr>
          <w:b w:val="0"/>
          <w:bCs w:val="0"/>
        </w:rPr>
        <w:t>1.</w:t>
      </w:r>
      <w:r>
        <w:t xml:space="preserve">1)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F302F8">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F302F8">
      <w:pPr>
        <w:pStyle w:val="ParrafoTESIS"/>
        <w:rPr>
          <w:i/>
          <w:lang w:eastAsia="es-AR"/>
        </w:rPr>
      </w:pPr>
      <w:r w:rsidRPr="00B97AEB">
        <w:rPr>
          <w:i/>
          <w:lang w:eastAsia="es-AR"/>
        </w:rPr>
        <w:t xml:space="preserve">“Un Evento de Efecto </w:t>
      </w:r>
      <w:r>
        <w:rPr>
          <w:i/>
          <w:lang w:eastAsia="es-AR"/>
        </w:rPr>
        <w:t>Único</w:t>
      </w:r>
      <w:r w:rsidRPr="00B97AEB">
        <w:rPr>
          <w:i/>
          <w:lang w:eastAsia="es-AR"/>
        </w:rPr>
        <w:t xml:space="preserve"> (SEE) es cualquier cambio medible u observable, en el estado o rendimiento, de un dispositivo, componente, subsistema o sistema (analógico o digital) micro-electrónico, resultado del impacto de una</w:t>
      </w:r>
      <w:r>
        <w:rPr>
          <w:i/>
          <w:lang w:eastAsia="es-AR"/>
        </w:rPr>
        <w:t xml:space="preserve"> única</w:t>
      </w:r>
      <w:r w:rsidRPr="00B97AEB">
        <w:rPr>
          <w:i/>
          <w:lang w:eastAsia="es-AR"/>
        </w:rPr>
        <w:t xml:space="preserve"> partícula</w:t>
      </w:r>
      <w:r>
        <w:rPr>
          <w:i/>
          <w:lang w:eastAsia="es-AR"/>
        </w:rPr>
        <w:t xml:space="preserve"> </w:t>
      </w:r>
      <w:r w:rsidRPr="00B97AEB">
        <w:rPr>
          <w:i/>
          <w:lang w:eastAsia="es-AR"/>
        </w:rPr>
        <w:t>de alta energía.</w:t>
      </w:r>
    </w:p>
    <w:p w:rsidR="00F302F8" w:rsidRPr="009C5050" w:rsidRDefault="00F302F8" w:rsidP="00F302F8">
      <w:pPr>
        <w:pStyle w:val="ParrafoTESIS"/>
      </w:pPr>
      <w:r w:rsidRPr="00B97AEB">
        <w:rPr>
          <w:i/>
          <w:lang w:eastAsia="es-AR"/>
        </w:rPr>
        <w:t xml:space="preserve">Los SEE incluyen, alteraciones de evento </w:t>
      </w:r>
      <w:r>
        <w:rPr>
          <w:i/>
          <w:lang w:eastAsia="es-AR"/>
        </w:rPr>
        <w:t>único</w:t>
      </w:r>
      <w:r w:rsidRPr="00B97AEB">
        <w:rPr>
          <w:i/>
          <w:lang w:eastAsia="es-AR"/>
        </w:rPr>
        <w:t xml:space="preserve"> (SEU), alteraciones de múltiples bits (MBU), alteraciones de múltiples celdas (MCU), interrupciones funcionales de evento </w:t>
      </w:r>
      <w:r>
        <w:rPr>
          <w:i/>
          <w:lang w:eastAsia="es-AR"/>
        </w:rPr>
        <w:t>único</w:t>
      </w:r>
      <w:r w:rsidRPr="00B97AEB">
        <w:rPr>
          <w:i/>
          <w:lang w:eastAsia="es-AR"/>
        </w:rPr>
        <w:t xml:space="preserve"> (SEFI), latch-up </w:t>
      </w:r>
      <w:r w:rsidRPr="00B97AEB">
        <w:rPr>
          <w:i/>
          <w:lang w:eastAsia="es-AR"/>
        </w:rPr>
        <w:lastRenderedPageBreak/>
        <w:t xml:space="preserve">de evento </w:t>
      </w:r>
      <w:r>
        <w:rPr>
          <w:i/>
          <w:lang w:eastAsia="es-AR"/>
        </w:rPr>
        <w:t>único</w:t>
      </w:r>
      <w:r w:rsidRPr="00B97AEB">
        <w:rPr>
          <w:i/>
          <w:lang w:eastAsia="es-AR"/>
        </w:rPr>
        <w:t xml:space="preserve"> (SEL), hard error de evento </w:t>
      </w:r>
      <w:r>
        <w:rPr>
          <w:i/>
          <w:lang w:eastAsia="es-AR"/>
        </w:rPr>
        <w:t>único</w:t>
      </w:r>
      <w:r w:rsidRPr="00B97AEB">
        <w:rPr>
          <w:i/>
          <w:lang w:eastAsia="es-AR"/>
        </w:rPr>
        <w:t xml:space="preserve"> (SHE), transitorio de evento </w:t>
      </w:r>
      <w:r>
        <w:rPr>
          <w:i/>
          <w:lang w:eastAsia="es-AR"/>
        </w:rPr>
        <w:t>único</w:t>
      </w:r>
      <w:r w:rsidRPr="00B97AEB">
        <w:rPr>
          <w:i/>
          <w:lang w:eastAsia="es-AR"/>
        </w:rPr>
        <w:t xml:space="preserve"> (SET), burnout de evento </w:t>
      </w:r>
      <w:r>
        <w:rPr>
          <w:i/>
          <w:lang w:eastAsia="es-AR"/>
        </w:rPr>
        <w:t>único</w:t>
      </w:r>
      <w:r w:rsidRPr="00B97AEB">
        <w:rPr>
          <w:i/>
          <w:lang w:eastAsia="es-AR"/>
        </w:rPr>
        <w:t xml:space="preserve"> (SEB), y ruptura de compuerta de evento </w:t>
      </w:r>
      <w:r>
        <w:rPr>
          <w:i/>
          <w:lang w:eastAsia="es-AR"/>
        </w:rPr>
        <w:t>único</w:t>
      </w:r>
      <w:r w:rsidRPr="00B97AEB">
        <w:rPr>
          <w:i/>
          <w:lang w:eastAsia="es-AR"/>
        </w:rPr>
        <w:t xml:space="preserve"> (SEGR).”</w:t>
      </w:r>
      <w:r>
        <w:rPr>
          <w:i/>
          <w:lang w:eastAsia="es-AR"/>
        </w:rPr>
        <w:t>[</w:t>
      </w:r>
      <w:r>
        <w:rPr>
          <w:rStyle w:val="Refdenotaalpie"/>
          <w:i/>
          <w:lang w:eastAsia="es-AR"/>
        </w:rPr>
        <w:footnoteReference w:id="3"/>
      </w:r>
      <w:r>
        <w:rPr>
          <w:i/>
          <w:lang w:eastAsia="es-AR"/>
        </w:rPr>
        <w:t>].</w:t>
      </w:r>
    </w:p>
    <w:p w:rsidR="00F302F8" w:rsidRPr="0086269B" w:rsidRDefault="00F302F8" w:rsidP="00F302F8">
      <w:pPr>
        <w:pStyle w:val="Ttulo3"/>
      </w:pPr>
      <w:bookmarkStart w:id="3" w:name="_Toc266984381"/>
      <w:r>
        <w:t>1.1.2)</w:t>
      </w:r>
      <w:r w:rsidRPr="00E86273">
        <w:t xml:space="preserve"> </w:t>
      </w:r>
      <w:r w:rsidRPr="0086269B">
        <w:t>Causas</w:t>
      </w:r>
      <w:bookmarkEnd w:id="3"/>
    </w:p>
    <w:p w:rsidR="00F302F8" w:rsidRDefault="00F302F8" w:rsidP="00F302F8">
      <w:pPr>
        <w:pStyle w:val="ParrafoTESIS"/>
        <w:rPr>
          <w:color w:val="548DD4" w:themeColor="text2" w:themeTint="99"/>
        </w:rPr>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806920">
        <w:rPr>
          <w:i/>
        </w:rPr>
        <w:t>campo geomagnético</w:t>
      </w:r>
      <w:r w:rsidRPr="00806920">
        <w:t xml:space="preserve"> influye en el movimiento de las partículas que intentan ingresar en la órbita de la Tierra, desviándolas de su trayectoria original.</w:t>
      </w:r>
    </w:p>
    <w:p w:rsidR="00F302F8" w:rsidRDefault="00F302F8" w:rsidP="00F302F8">
      <w:pPr>
        <w:pStyle w:val="ParrafoTESIS"/>
      </w:pPr>
      <w:r>
        <w:t xml:space="preserve">Pensando a la tierra como un gran imán, se tendería a creer que la forma del campo seria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 Liberando gran cantidad de partículas que penetran la tierra provocando los SEEs.</w:t>
      </w:r>
    </w:p>
    <w:p w:rsidR="00F302F8" w:rsidRDefault="00F302F8" w:rsidP="00F302F8">
      <w:pPr>
        <w:pStyle w:val="Epgrafe"/>
        <w:rPr>
          <w:lang w:val="en-US"/>
        </w:rPr>
      </w:pPr>
      <w:r w:rsidRPr="0047682D">
        <w:rPr>
          <w:rFonts w:cstheme="minorHAnsi"/>
          <w:noProof/>
          <w:color w:val="548DD4" w:themeColor="text2" w:themeTint="99"/>
          <w:lang w:eastAsia="es-AR"/>
        </w:rPr>
        <w:lastRenderedPageBreak/>
        <w:drawing>
          <wp:inline distT="0" distB="0" distL="0" distR="0">
            <wp:extent cx="4282606" cy="3105180"/>
            <wp:effectExtent l="19050" t="0" r="3644"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7" cstate="print"/>
                    <a:srcRect/>
                    <a:stretch>
                      <a:fillRect/>
                    </a:stretch>
                  </pic:blipFill>
                  <pic:spPr bwMode="auto">
                    <a:xfrm>
                      <a:off x="0" y="0"/>
                      <a:ext cx="4286861" cy="3108265"/>
                    </a:xfrm>
                    <a:prstGeom prst="rect">
                      <a:avLst/>
                    </a:prstGeom>
                    <a:noFill/>
                    <a:ln w="9525">
                      <a:noFill/>
                      <a:miter lim="800000"/>
                      <a:headEnd/>
                      <a:tailEnd/>
                    </a:ln>
                  </pic:spPr>
                </pic:pic>
              </a:graphicData>
            </a:graphic>
          </wp:inline>
        </w:drawing>
      </w:r>
    </w:p>
    <w:p w:rsidR="00F302F8" w:rsidRPr="009C5050" w:rsidRDefault="00F302F8" w:rsidP="00F302F8">
      <w:pPr>
        <w:pStyle w:val="Epgrafe"/>
        <w:rPr>
          <w:rFonts w:cstheme="minorHAnsi"/>
        </w:rPr>
      </w:pPr>
      <w:r w:rsidRPr="009C5050">
        <w:t xml:space="preserve">Figura </w:t>
      </w:r>
      <w:r>
        <w:fldChar w:fldCharType="begin"/>
      </w:r>
      <w:r w:rsidRPr="009C5050">
        <w:instrText xml:space="preserve"> SEQ Figura \* ARABIC </w:instrText>
      </w:r>
      <w:r>
        <w:fldChar w:fldCharType="separate"/>
      </w:r>
      <w:r w:rsidRPr="009C5050">
        <w:rPr>
          <w:noProof/>
        </w:rPr>
        <w:t>1</w:t>
      </w:r>
      <w:r>
        <w:fldChar w:fldCharType="end"/>
      </w:r>
      <w:r w:rsidRPr="009C5050">
        <w:t>) Representación de la Magnetosfera Terrestre.</w:t>
      </w:r>
    </w:p>
    <w:p w:rsidR="00F302F8" w:rsidRDefault="00F302F8" w:rsidP="00F302F8">
      <w:pPr>
        <w:pStyle w:val="ParrafoTESIS"/>
      </w:pPr>
      <w:r>
        <w:t xml:space="preserve">Los primeros SEEs, observados en el trabajo de Ziegler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que impactaban en los circuitos de las memorias ocasionando una tasa de errores muy alta. </w:t>
      </w:r>
      <w:r w:rsidRPr="003A4E79">
        <w:rPr>
          <w:highlight w:val="yellow"/>
        </w:rPr>
        <w:t>[</w:t>
      </w:r>
      <w:r>
        <w:rPr>
          <w:rStyle w:val="Refdenotaalpie"/>
          <w:highlight w:val="yellow"/>
        </w:rPr>
        <w:footnoteReference w:id="4"/>
      </w:r>
      <w:r w:rsidRPr="003A4E79">
        <w:rPr>
          <w:highlight w:val="yellow"/>
        </w:rPr>
        <w:t>] Buscar referencia del paper de Intel y los encapsulados de las memorias [/NOTA AL PIE].</w:t>
      </w:r>
    </w:p>
    <w:p w:rsidR="00F302F8" w:rsidRDefault="00F302F8" w:rsidP="00F302F8">
      <w:pPr>
        <w:pStyle w:val="ParrafoTESIS"/>
      </w:pPr>
      <w:r>
        <w:t>Con el avance de los procesos litográficos y la disminución constante de las dimensiones de los transistores, las tensiones de alimentación han disminuido también al igual que las corrientes que circulan en los circuitos. Debido a esto los impactos de los SEEs tienen desde hace una década efectos importantes en los circuitos integrados, que serán analizados en la sección siguiente.</w:t>
      </w:r>
    </w:p>
    <w:p w:rsidR="00F302F8" w:rsidRPr="007F28E6" w:rsidRDefault="00F302F8" w:rsidP="00F302F8">
      <w:pPr>
        <w:pStyle w:val="Ttulo2"/>
      </w:pPr>
      <w:bookmarkStart w:id="4" w:name="_Toc266984382"/>
      <w:r>
        <w:t xml:space="preserve">1.2) </w:t>
      </w:r>
      <w:r w:rsidRPr="007F28E6">
        <w:t>Efectos y clasificación</w:t>
      </w:r>
      <w:bookmarkEnd w:id="4"/>
    </w:p>
    <w:p w:rsidR="00F302F8" w:rsidRPr="007F28E6" w:rsidRDefault="00F302F8" w:rsidP="00F302F8">
      <w:pPr>
        <w:pStyle w:val="Ttulo3"/>
      </w:pPr>
      <w:bookmarkStart w:id="5" w:name="_Toc266984383"/>
      <w:r>
        <w:t xml:space="preserve">1.2.1) </w:t>
      </w:r>
      <w:r w:rsidRPr="007F28E6">
        <w:t>Efectos en semiconductor</w:t>
      </w:r>
      <w:bookmarkEnd w:id="5"/>
    </w:p>
    <w:p w:rsidR="00F302F8" w:rsidRPr="007F28E6" w:rsidRDefault="00F302F8" w:rsidP="00F302F8">
      <w:pPr>
        <w:pStyle w:val="ParrafoTESIS"/>
        <w:rPr>
          <w:b/>
        </w:rPr>
      </w:pPr>
      <w:r w:rsidRPr="007F28E6">
        <w:lastRenderedPageBreak/>
        <w:t>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r>
        <w:fldChar w:fldCharType="begin"/>
      </w:r>
      <w:r>
        <w:instrText xml:space="preserve"> REF _Ref266985981 \h </w:instrText>
      </w:r>
      <w:r>
        <w:fldChar w:fldCharType="separate"/>
      </w:r>
      <w:r w:rsidRPr="001E0CC3">
        <w:rPr>
          <w:b/>
          <w:color w:val="4F81BD" w:themeColor="accent1"/>
          <w:sz w:val="18"/>
          <w:szCs w:val="18"/>
        </w:rPr>
        <w:t xml:space="preserve">Figura </w:t>
      </w:r>
      <w:r>
        <w:rPr>
          <w:b/>
          <w:noProof/>
          <w:color w:val="4F81BD" w:themeColor="accent1"/>
          <w:sz w:val="18"/>
          <w:szCs w:val="18"/>
        </w:rPr>
        <w:t>2</w:t>
      </w:r>
      <w:r>
        <w:fldChar w:fldCharType="end"/>
      </w:r>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6" w:name="_Ref266985981"/>
      <w:r w:rsidRPr="001E0CC3">
        <w:rPr>
          <w:rFonts w:asciiTheme="minorHAnsi" w:hAnsiTheme="minorHAnsi" w:cstheme="minorHAnsi"/>
          <w:b/>
          <w:color w:val="4F81BD" w:themeColor="accent1"/>
          <w:sz w:val="18"/>
          <w:szCs w:val="18"/>
        </w:rPr>
        <w:t xml:space="preserve">Figura </w:t>
      </w:r>
      <w:r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Pr="001E0CC3">
        <w:rPr>
          <w:rFonts w:asciiTheme="minorHAnsi" w:hAnsiTheme="minorHAnsi" w:cstheme="minorHAnsi"/>
          <w:b/>
          <w:color w:val="4F81BD" w:themeColor="accent1"/>
          <w:sz w:val="18"/>
          <w:szCs w:val="18"/>
        </w:rPr>
        <w:fldChar w:fldCharType="separate"/>
      </w:r>
      <w:r>
        <w:rPr>
          <w:rFonts w:asciiTheme="minorHAnsi" w:hAnsiTheme="minorHAnsi" w:cstheme="minorHAnsi"/>
          <w:b/>
          <w:noProof/>
          <w:color w:val="4F81BD" w:themeColor="accent1"/>
          <w:sz w:val="18"/>
          <w:szCs w:val="18"/>
        </w:rPr>
        <w:t>2</w:t>
      </w:r>
      <w:r w:rsidRPr="001E0CC3">
        <w:rPr>
          <w:rFonts w:asciiTheme="minorHAnsi" w:hAnsiTheme="minorHAnsi" w:cstheme="minorHAnsi"/>
          <w:b/>
          <w:color w:val="4F81BD" w:themeColor="accent1"/>
          <w:sz w:val="18"/>
          <w:szCs w:val="18"/>
        </w:rPr>
        <w:fldChar w:fldCharType="end"/>
      </w:r>
      <w:bookmarkEnd w:id="6"/>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302F8">
      <w:pPr>
        <w:pStyle w:val="ParrafoTESIS"/>
      </w:pPr>
      <w:r w:rsidRPr="004E1261">
        <w:t xml:space="preserve">En la </w:t>
      </w:r>
      <w:fldSimple w:instr=" REF _Ref266985981 \h  \* MERGEFORMAT ">
        <w:r w:rsidRPr="001E0CC3">
          <w:rPr>
            <w:b/>
            <w:color w:val="4F81BD" w:themeColor="accent1"/>
            <w:sz w:val="18"/>
            <w:szCs w:val="18"/>
          </w:rPr>
          <w:t xml:space="preserve">Figura </w:t>
        </w:r>
        <w:r>
          <w:rPr>
            <w:b/>
            <w:noProof/>
            <w:color w:val="4F81BD" w:themeColor="accent1"/>
            <w:sz w:val="18"/>
            <w:szCs w:val="18"/>
          </w:rPr>
          <w:t>2</w:t>
        </w:r>
      </w:fldSimple>
      <w:r w:rsidRPr="0040462E">
        <w:rPr>
          <w:b/>
          <w:color w:val="4F81BD" w:themeColor="accent1"/>
          <w:sz w:val="18"/>
          <w:szCs w:val="18"/>
        </w:rPr>
        <w:t>.a</w:t>
      </w:r>
      <w:r w:rsidRPr="004E1261">
        <w:t xml:space="preserve"> se observa el ion atravesando la juntura y dejando en su recorrido pares electrón-hueco. Los pares generados en el choque son rápidamente recolectados por el campo eléctrico y generan un gran transitorio (corriente/voltaje) en el nodo (</w:t>
      </w:r>
      <w:fldSimple w:instr=" REF _Ref266985981 \h  \* MERGEFORMAT ">
        <w:r w:rsidRPr="001E0CC3">
          <w:rPr>
            <w:b/>
            <w:color w:val="4F81BD" w:themeColor="accent1"/>
            <w:sz w:val="18"/>
            <w:szCs w:val="18"/>
          </w:rPr>
          <w:t xml:space="preserve">Figura </w:t>
        </w:r>
        <w:r>
          <w:rPr>
            <w:b/>
            <w:noProof/>
            <w:color w:val="4F81BD" w:themeColor="accent1"/>
            <w:sz w:val="18"/>
            <w:szCs w:val="18"/>
          </w:rPr>
          <w:t>2</w:t>
        </w:r>
      </w:fldSimple>
      <w:r w:rsidRPr="0040462E">
        <w:rPr>
          <w:b/>
          <w:color w:val="4F81BD" w:themeColor="accent1"/>
          <w:sz w:val="18"/>
          <w:szCs w:val="18"/>
        </w:rPr>
        <w:t>.b</w:t>
      </w:r>
      <w:r w:rsidRPr="004E1261">
        <w:t>). Esta fase de recolección usualmente es completada en nanosegundos seguida de una segunda fase de recolección dada en una difusión que es significativamente más lenta (cientos de nanosegundos) y menos intensa (</w:t>
      </w:r>
      <w:fldSimple w:instr=" REF _Ref266985981 \h  \* MERGEFORMAT ">
        <w:r w:rsidRPr="001E0CC3">
          <w:rPr>
            <w:b/>
            <w:color w:val="4F81BD" w:themeColor="accent1"/>
            <w:sz w:val="18"/>
            <w:szCs w:val="18"/>
          </w:rPr>
          <w:t xml:space="preserve">Figura </w:t>
        </w:r>
        <w:r>
          <w:rPr>
            <w:b/>
            <w:noProof/>
            <w:color w:val="4F81BD" w:themeColor="accent1"/>
            <w:sz w:val="18"/>
            <w:szCs w:val="18"/>
          </w:rPr>
          <w:t>2</w:t>
        </w:r>
      </w:fldSimple>
      <w:r w:rsidRPr="0040462E">
        <w:rPr>
          <w:b/>
          <w:color w:val="4F81BD" w:themeColor="accent1"/>
          <w:sz w:val="18"/>
          <w:szCs w:val="18"/>
        </w:rPr>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lastRenderedPageBreak/>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7" w:name="_Ref266986213"/>
      <w:r w:rsidRPr="0040462E">
        <w:t xml:space="preserve">Figura </w:t>
      </w:r>
      <w:fldSimple w:instr=" SEQ Figura \* ARABIC ">
        <w:r>
          <w:rPr>
            <w:noProof/>
          </w:rPr>
          <w:t>3</w:t>
        </w:r>
      </w:fldSimple>
      <w:bookmarkEnd w:id="7"/>
      <w:r w:rsidRPr="0040462E">
        <w:t>)</w:t>
      </w:r>
      <w:r w:rsidRPr="0040462E">
        <w:rPr>
          <w:rFonts w:cstheme="minorHAnsi"/>
        </w:rPr>
        <w:t xml:space="preserve"> Corriente generada por el choque de un ion.</w:t>
      </w:r>
    </w:p>
    <w:p w:rsidR="00F302F8" w:rsidRPr="00C42594" w:rsidRDefault="00F302F8" w:rsidP="00F302F8">
      <w:pPr>
        <w:pStyle w:val="ParrafoTESIS"/>
      </w:pPr>
      <w:r w:rsidRPr="004E1261">
        <w:t xml:space="preserve">La curva de corriente resultante generada por el choque de un ion, puede ser dividida en dos secciones, como lo muestra la </w:t>
      </w:r>
      <w:fldSimple w:instr=" REF _Ref266986213 \h  \* MERGEFORMAT ">
        <w:r w:rsidRPr="003F6ACC">
          <w:rPr>
            <w:b/>
            <w:color w:val="4F81BD" w:themeColor="accent1"/>
            <w:sz w:val="18"/>
            <w:szCs w:val="18"/>
          </w:rPr>
          <w:t xml:space="preserve">Figura </w:t>
        </w:r>
        <w:r w:rsidRPr="003F6ACC">
          <w:rPr>
            <w:b/>
            <w:noProof/>
            <w:color w:val="4F81BD" w:themeColor="accent1"/>
            <w:sz w:val="18"/>
            <w:szCs w:val="18"/>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r w:rsidRPr="009C5050">
        <w:rPr>
          <w:i/>
        </w:rPr>
        <w:t>[</w:t>
      </w:r>
      <w:r w:rsidRPr="009C5050">
        <w:rPr>
          <w:rStyle w:val="Refdenotaalpie"/>
          <w:i/>
        </w:rPr>
        <w:footnoteReference w:id="5"/>
      </w:r>
      <w:r w:rsidRPr="009C5050">
        <w:rPr>
          <w:i/>
        </w:rPr>
        <w:t>]</w:t>
      </w:r>
      <w:r w:rsidRPr="004E1261">
        <w:t>.</w:t>
      </w:r>
    </w:p>
    <w:p w:rsidR="00F302F8" w:rsidRPr="00C42594" w:rsidRDefault="00F302F8" w:rsidP="00F302F8">
      <w:pPr>
        <w:pStyle w:val="Ttulo3"/>
      </w:pPr>
      <w:bookmarkStart w:id="8" w:name="_Toc266984384"/>
      <w:r>
        <w:t xml:space="preserve">1.2.2) </w:t>
      </w:r>
      <w:r w:rsidRPr="00C42594">
        <w:t>Ionización directa e indirecta</w:t>
      </w:r>
      <w:bookmarkEnd w:id="8"/>
    </w:p>
    <w:p w:rsidR="00F302F8" w:rsidRPr="00C42594" w:rsidRDefault="00F302F8" w:rsidP="00F302F8">
      <w:pPr>
        <w:pStyle w:val="ParrafoTESIS"/>
      </w:pPr>
      <w:r>
        <w:t>La ionización es el método por el cual la radiación libera cargas en un dispositivo semiconductor, ésta puede ser directa o indirecta.</w:t>
      </w:r>
    </w:p>
    <w:p w:rsidR="00F302F8" w:rsidRPr="00C42594" w:rsidRDefault="00F302F8" w:rsidP="00F302F8">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Pr="00C42594">
        <w:rPr>
          <w:i/>
        </w:rPr>
        <w:t>Linear Energy Transfer (LET)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de 1pC/um. La </w:t>
      </w:r>
      <w:r>
        <w:fldChar w:fldCharType="begin"/>
      </w:r>
      <w:r>
        <w:instrText xml:space="preserve"> REF _Ref267331794 \h </w:instrText>
      </w:r>
      <w:r>
        <w:fldChar w:fldCharType="separate"/>
      </w:r>
      <w:r w:rsidRPr="00967581">
        <w:rPr>
          <w:b/>
          <w:color w:val="4F81BD" w:themeColor="accent1"/>
          <w:sz w:val="18"/>
          <w:szCs w:val="18"/>
        </w:rPr>
        <w:t xml:space="preserve">Figura </w:t>
      </w:r>
      <w:r>
        <w:rPr>
          <w:b/>
          <w:noProof/>
          <w:color w:val="4F81BD" w:themeColor="accent1"/>
          <w:sz w:val="18"/>
          <w:szCs w:val="18"/>
        </w:rPr>
        <w:t>4</w:t>
      </w:r>
      <w:r>
        <w:fldChar w:fldCharType="end"/>
      </w:r>
      <w:r w:rsidRPr="00C42594">
        <w:t xml:space="preserve"> muestra una curva de un ion de cloro de 210 MeV viajando a través del silicio.</w:t>
      </w:r>
    </w:p>
    <w:p w:rsidR="00F302F8" w:rsidRPr="00C42594" w:rsidRDefault="00F302F8" w:rsidP="00F302F8">
      <w:pPr>
        <w:pStyle w:val="ParrafoTESIS"/>
      </w:pPr>
      <w:r w:rsidRPr="00C42594">
        <w:lastRenderedPageBreak/>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302F8" w:rsidRDefault="00F302F8" w:rsidP="00F302F8">
      <w:pPr>
        <w:pStyle w:val="ParrafoTESIS"/>
        <w:rPr>
          <w:b/>
          <w:color w:val="4F81BD" w:themeColor="accent1"/>
          <w:sz w:val="18"/>
          <w:szCs w:val="18"/>
        </w:rPr>
      </w:pPr>
      <w:r w:rsidRPr="0047682D">
        <w:rPr>
          <w:noProof/>
          <w:color w:val="548DD4" w:themeColor="text2" w:themeTint="99"/>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bookmarkStart w:id="9" w:name="_Ref266986260"/>
      <w:bookmarkStart w:id="10" w:name="_Ref267331794"/>
    </w:p>
    <w:p w:rsidR="00F302F8" w:rsidRPr="00967581" w:rsidRDefault="00F302F8" w:rsidP="00F302F8">
      <w:pPr>
        <w:pStyle w:val="ParrafoTESIS"/>
        <w:rPr>
          <w:b/>
          <w:color w:val="4F81BD" w:themeColor="accent1"/>
          <w:sz w:val="18"/>
          <w:szCs w:val="18"/>
        </w:rPr>
      </w:pPr>
      <w:r w:rsidRPr="00967581">
        <w:rPr>
          <w:b/>
          <w:color w:val="4F81BD" w:themeColor="accent1"/>
          <w:sz w:val="18"/>
          <w:szCs w:val="18"/>
        </w:rPr>
        <w:t xml:space="preserve">Figura </w:t>
      </w:r>
      <w:r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Pr="00967581">
        <w:rPr>
          <w:b/>
          <w:color w:val="4F81BD" w:themeColor="accent1"/>
          <w:sz w:val="18"/>
          <w:szCs w:val="18"/>
        </w:rPr>
        <w:fldChar w:fldCharType="separate"/>
      </w:r>
      <w:r>
        <w:rPr>
          <w:b/>
          <w:noProof/>
          <w:color w:val="4F81BD" w:themeColor="accent1"/>
          <w:sz w:val="18"/>
          <w:szCs w:val="18"/>
        </w:rPr>
        <w:t>4</w:t>
      </w:r>
      <w:r w:rsidRPr="00967581">
        <w:rPr>
          <w:b/>
          <w:color w:val="4F81BD" w:themeColor="accent1"/>
          <w:sz w:val="18"/>
          <w:szCs w:val="18"/>
        </w:rPr>
        <w:fldChar w:fldCharType="end"/>
      </w:r>
      <w:bookmarkEnd w:id="9"/>
      <w:bookmarkEnd w:id="10"/>
      <w:r w:rsidRPr="00967581">
        <w:rPr>
          <w:b/>
          <w:color w:val="4F81BD" w:themeColor="accent1"/>
          <w:sz w:val="18"/>
          <w:szCs w:val="18"/>
        </w:rPr>
        <w:t>) Curva de un ion de cloro de 210 MeV viajando a través del silicio.</w:t>
      </w:r>
    </w:p>
    <w:p w:rsidR="00F302F8" w:rsidRPr="00C42594" w:rsidRDefault="00F302F8" w:rsidP="00F302F8">
      <w:pPr>
        <w:pStyle w:val="ParrafoTESIS"/>
        <w:rPr>
          <w:b/>
          <w:i/>
        </w:rPr>
      </w:pPr>
      <w:r w:rsidRPr="00C42594">
        <w:rPr>
          <w:b/>
          <w:i/>
        </w:rPr>
        <w:t xml:space="preserve">Ionización Indirecta: </w:t>
      </w:r>
      <w:r w:rsidRPr="00C42594">
        <w:rPr>
          <w:i/>
        </w:rPr>
        <w:t xml:space="preserve">(La ionización directa con partículas ligeras generalmente no generan suficiente energía en su paso como para producir una perturbación, sin embargo Protones y Neutrones ambos pueden generar niveles </w:t>
      </w:r>
      <w:r>
        <w:rPr>
          <w:i/>
        </w:rPr>
        <w:t>significativos</w:t>
      </w:r>
      <w:r w:rsidRPr="00C42594">
        <w:rPr>
          <w:i/>
        </w:rPr>
        <w:t xml:space="preserve"> de perturbación a través de la mecánica indirecta).</w:t>
      </w:r>
      <w:r w:rsidRPr="00C42594">
        <w:t xml:space="preserve"> Cuando un protón o un neutrón de alta energía entra a una red semiconductora pueden sufrir colisiones inelásticas con un núcleo blando. Esto puede desencadenar cualquiera de las siguientes reacciones nucleares posibles:</w:t>
      </w:r>
    </w:p>
    <w:p w:rsidR="00F302F8" w:rsidRPr="00C42594" w:rsidRDefault="00F302F8" w:rsidP="00F302F8">
      <w:pPr>
        <w:pStyle w:val="ParrafoTESIS"/>
        <w:numPr>
          <w:ilvl w:val="0"/>
          <w:numId w:val="1"/>
        </w:numPr>
        <w:rPr>
          <w:b/>
          <w:i/>
        </w:rPr>
      </w:pPr>
      <w:r w:rsidRPr="00C42594">
        <w:rPr>
          <w:i/>
        </w:rPr>
        <w:t>Que la colisione inelástica que produzcan un retroceso de Si,</w:t>
      </w:r>
    </w:p>
    <w:p w:rsidR="00F302F8" w:rsidRPr="00C42594" w:rsidRDefault="00F302F8" w:rsidP="00F302F8">
      <w:pPr>
        <w:pStyle w:val="ParrafoTESIS"/>
        <w:numPr>
          <w:ilvl w:val="0"/>
          <w:numId w:val="1"/>
        </w:numPr>
        <w:rPr>
          <w:b/>
          <w:i/>
        </w:rPr>
      </w:pPr>
      <w:r w:rsidRPr="00C42594">
        <w:rPr>
          <w:i/>
        </w:rPr>
        <w:t>La emisión de partículas alfa y gamma y el retroceso del núcleo hijo (ejemplo, Si emite partículas alfa y retroceso de un núcleo Mg),</w:t>
      </w:r>
    </w:p>
    <w:p w:rsidR="00F302F8" w:rsidRPr="00C42594" w:rsidRDefault="00F302F8" w:rsidP="00F302F8">
      <w:pPr>
        <w:pStyle w:val="ParrafoTESIS"/>
        <w:numPr>
          <w:ilvl w:val="0"/>
          <w:numId w:val="1"/>
        </w:numPr>
        <w:rPr>
          <w:b/>
          <w:i/>
        </w:rPr>
      </w:pPr>
      <w:r w:rsidRPr="00C42594">
        <w:rPr>
          <w:i/>
        </w:rPr>
        <w:t>Reacciones de espalación (spallation reactions), donde el núcleo afectado se divide en dos fragmentos, cada uno de los cuales puede retroceder.</w:t>
      </w:r>
    </w:p>
    <w:p w:rsidR="00F302F8" w:rsidRPr="00C42594" w:rsidRDefault="00F302F8" w:rsidP="00F302F8">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302F8" w:rsidRPr="00C42594" w:rsidRDefault="00F302F8" w:rsidP="00F302F8">
      <w:pPr>
        <w:pStyle w:val="ParrafoTESIS"/>
      </w:pPr>
      <w:r w:rsidRPr="00C42594">
        <w:t xml:space="preserve">El producto de estas colisiones inelásticas típicamente tiene poca energía y no viajan más allá del sitio de impacto de la partícula. También tienden a dispersarse hacia adelante en la </w:t>
      </w:r>
      <w:r w:rsidRPr="00C42594">
        <w:lastRenderedPageBreak/>
        <w:t>dirección de la partícula original. Como consecuencia, la sensibilidad del SEE pasaría a ser función del ángulo de incidencia de la partícula</w:t>
      </w:r>
      <w:r>
        <w:t xml:space="preserve"> </w:t>
      </w:r>
      <w:r>
        <w:rPr>
          <w:i/>
        </w:rPr>
        <w:t>[</w:t>
      </w:r>
      <w:r>
        <w:rPr>
          <w:rStyle w:val="Refdenotaalpie"/>
          <w:i/>
        </w:rPr>
        <w:footnoteReference w:id="6"/>
      </w:r>
      <w:r>
        <w:rPr>
          <w:i/>
        </w:rPr>
        <w:t>]</w:t>
      </w:r>
      <w:r w:rsidRPr="00C42594">
        <w:t xml:space="preserve">. </w:t>
      </w:r>
    </w:p>
    <w:p w:rsidR="00F302F8" w:rsidRDefault="00F302F8" w:rsidP="00F302F8">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1"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F302F8" w:rsidRPr="00CA1FFF" w:rsidRDefault="00F302F8" w:rsidP="00F302F8">
      <w:pPr>
        <w:pStyle w:val="Epgrafe"/>
        <w:jc w:val="center"/>
        <w:rPr>
          <w:color w:val="auto"/>
        </w:rPr>
      </w:pPr>
      <w:r w:rsidRPr="00C42594">
        <w:rPr>
          <w:color w:val="auto"/>
        </w:rPr>
        <w:t xml:space="preserve">Figura </w:t>
      </w:r>
      <w:r w:rsidRPr="00C42594">
        <w:rPr>
          <w:color w:val="auto"/>
        </w:rPr>
        <w:fldChar w:fldCharType="begin"/>
      </w:r>
      <w:r w:rsidRPr="00C42594">
        <w:rPr>
          <w:color w:val="auto"/>
        </w:rPr>
        <w:instrText xml:space="preserve"> SEQ Figura \* ARABIC </w:instrText>
      </w:r>
      <w:r w:rsidRPr="00C42594">
        <w:rPr>
          <w:color w:val="auto"/>
        </w:rPr>
        <w:fldChar w:fldCharType="separate"/>
      </w:r>
      <w:r>
        <w:rPr>
          <w:noProof/>
          <w:color w:val="auto"/>
        </w:rPr>
        <w:t>5</w:t>
      </w:r>
      <w:r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Esquemático mostrando como un rayo cósmico deposita energía en un dispositivo electrónico</w:t>
      </w:r>
      <w:r>
        <w:rPr>
          <w:rFonts w:cstheme="minorHAnsi"/>
          <w:color w:val="auto"/>
          <w:szCs w:val="22"/>
        </w:rPr>
        <w:t xml:space="preserve"> </w:t>
      </w:r>
      <w:r w:rsidRPr="00CA1FFF">
        <w:rPr>
          <w:rFonts w:cstheme="minorHAnsi"/>
          <w:i/>
          <w:color w:val="auto"/>
          <w:szCs w:val="22"/>
        </w:rPr>
        <w:t>[</w:t>
      </w:r>
      <w:r w:rsidRPr="00CA1FFF">
        <w:rPr>
          <w:rStyle w:val="Refdenotaalpie"/>
          <w:rFonts w:cstheme="minorHAnsi"/>
          <w:i/>
          <w:color w:val="auto"/>
          <w:szCs w:val="22"/>
        </w:rPr>
        <w:footnoteReference w:id="7"/>
      </w:r>
      <w:r w:rsidRPr="00CA1FFF">
        <w:rPr>
          <w:rFonts w:cstheme="minorHAnsi"/>
          <w:i/>
          <w:color w:val="auto"/>
          <w:szCs w:val="22"/>
        </w:rPr>
        <w:t>].</w:t>
      </w:r>
    </w:p>
    <w:p w:rsidR="00F302F8" w:rsidRPr="00C42594" w:rsidRDefault="00F302F8" w:rsidP="00F302F8">
      <w:pPr>
        <w:pStyle w:val="Ttulo3"/>
      </w:pPr>
      <w:bookmarkStart w:id="11" w:name="_Toc266984385"/>
      <w:r>
        <w:t xml:space="preserve">1.2.3) </w:t>
      </w:r>
      <w:r w:rsidRPr="00C42594">
        <w:t>Duración del evento</w:t>
      </w:r>
      <w:bookmarkEnd w:id="11"/>
    </w:p>
    <w:p w:rsidR="00F302F8" w:rsidRPr="00C42594" w:rsidRDefault="00F302F8" w:rsidP="00F302F8">
      <w:pPr>
        <w:pStyle w:val="ParrafoTESIS"/>
        <w:rPr>
          <w:lang w:eastAsia="es-AR"/>
        </w:rPr>
      </w:pPr>
      <w:r w:rsidRPr="00C42594">
        <w:rPr>
          <w:lang w:eastAsia="es-AR"/>
        </w:rPr>
        <w:t>Single Event Efect (SEE) pueden ser calificados en 3 tipos de efecto dependiendo del orden de permanencia de cada uno: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Pr>
          <w:rFonts w:eastAsia="Times New Roman" w:cstheme="minorHAnsi"/>
          <w:lang w:eastAsia="es-AR"/>
        </w:rPr>
        <w:t>re</w:t>
      </w:r>
      <w:r w:rsidRPr="006C2467">
        <w:rPr>
          <w:rFonts w:eastAsia="Times New Roman" w:cstheme="minorHAnsi"/>
          <w:lang w:eastAsia="es-AR"/>
        </w:rPr>
        <w:t>s temporarios de funcionamiento)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temporaries o permanents de funcionamiento)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Pr>
          <w:rFonts w:eastAsia="Times New Roman" w:cstheme="minorHAnsi"/>
          <w:lang w:val="en-US" w:eastAsia="es-AR"/>
        </w:rPr>
        <w:t>or a nivel hardware, sin solució</w:t>
      </w:r>
      <w:r w:rsidRPr="006C2467">
        <w:rPr>
          <w:rFonts w:eastAsia="Times New Roman" w:cstheme="minorHAnsi"/>
          <w:lang w:val="en-US" w:eastAsia="es-AR"/>
        </w:rPr>
        <w:t>n)</w:t>
      </w:r>
    </w:p>
    <w:p w:rsidR="00F302F8" w:rsidRPr="004E5783" w:rsidRDefault="00F302F8" w:rsidP="00F302F8">
      <w:pPr>
        <w:pStyle w:val="Subttulo"/>
        <w:rPr>
          <w:rFonts w:eastAsia="Times New Roman"/>
          <w:lang w:eastAsia="es-AR"/>
        </w:rPr>
      </w:pPr>
      <w:r w:rsidRPr="00664E6D">
        <w:rPr>
          <w:rFonts w:eastAsia="Times New Roman"/>
          <w:lang w:eastAsia="es-AR"/>
        </w:rPr>
        <w:t>Single Event Upset</w:t>
      </w:r>
    </w:p>
    <w:p w:rsidR="00F302F8" w:rsidRPr="00C42594" w:rsidRDefault="00F302F8" w:rsidP="00F302F8">
      <w:pPr>
        <w:pStyle w:val="ParrafoTESIS"/>
        <w:rPr>
          <w:lang w:eastAsia="es-AR"/>
        </w:rPr>
      </w:pPr>
      <w:r w:rsidRPr="00664E6D">
        <w:rPr>
          <w:lang w:eastAsia="es-AR"/>
        </w:rPr>
        <w:t>Single Event Upset (SEU) es definido por la NASA como “</w:t>
      </w:r>
      <w:r>
        <w:rPr>
          <w:lang w:eastAsia="es-AR"/>
        </w:rPr>
        <w:t>E</w:t>
      </w:r>
      <w:r w:rsidRPr="00664E6D">
        <w:rPr>
          <w:lang w:eastAsia="es-AR"/>
        </w:rPr>
        <w:t xml:space="preserve">rrores inducidos por radiacion en circuitos </w:t>
      </w:r>
      <w:r w:rsidRPr="00894C61">
        <w:rPr>
          <w:lang w:eastAsia="es-AR"/>
        </w:rPr>
        <w:t>microelectrónic</w:t>
      </w:r>
      <w:r>
        <w:rPr>
          <w:lang w:eastAsia="es-AR"/>
        </w:rPr>
        <w:t>o</w:t>
      </w:r>
      <w:r w:rsidRPr="00894C61">
        <w:rPr>
          <w:lang w:eastAsia="es-AR"/>
        </w:rPr>
        <w:t>s</w:t>
      </w:r>
      <w:r w:rsidRPr="00664E6D">
        <w:rPr>
          <w:lang w:eastAsia="es-AR"/>
        </w:rPr>
        <w:t xml:space="preserve"> causados </w:t>
      </w:r>
      <w:r>
        <w:rPr>
          <w:lang w:eastAsia="es-AR"/>
        </w:rPr>
        <w:t>por</w:t>
      </w:r>
      <w:r w:rsidRPr="00664E6D">
        <w:rPr>
          <w:lang w:eastAsia="es-AR"/>
        </w:rPr>
        <w:t xml:space="preserve"> una particular cargada (usualmente proveniente del </w:t>
      </w:r>
      <w:r w:rsidRPr="00664E6D">
        <w:rPr>
          <w:i/>
          <w:lang w:eastAsia="es-AR"/>
        </w:rPr>
        <w:t xml:space="preserve">cinturon de radiacion </w:t>
      </w:r>
      <w:r w:rsidRPr="00664E6D">
        <w:rPr>
          <w:lang w:eastAsia="es-AR"/>
        </w:rPr>
        <w:t xml:space="preserve"> o de </w:t>
      </w:r>
      <w:r w:rsidRPr="00664E6D">
        <w:rPr>
          <w:i/>
          <w:lang w:eastAsia="es-AR"/>
        </w:rPr>
        <w:t>rayos cosmicos</w:t>
      </w:r>
      <w:r w:rsidRPr="00664E6D">
        <w:rPr>
          <w:lang w:eastAsia="es-AR"/>
        </w:rPr>
        <w:t xml:space="preserve">) </w:t>
      </w:r>
      <w:r>
        <w:rPr>
          <w:lang w:eastAsia="es-AR"/>
        </w:rPr>
        <w:t xml:space="preserve">que </w:t>
      </w:r>
      <w:r w:rsidRPr="00664E6D">
        <w:rPr>
          <w:lang w:eastAsia="es-AR"/>
        </w:rPr>
        <w:t xml:space="preserve">pierde </w:t>
      </w:r>
      <w:r w:rsidRPr="00894C61">
        <w:rPr>
          <w:lang w:eastAsia="es-AR"/>
        </w:rPr>
        <w:t>energía</w:t>
      </w:r>
      <w:r w:rsidRPr="00664E6D">
        <w:rPr>
          <w:lang w:eastAsia="es-AR"/>
        </w:rPr>
        <w:t xml:space="preserve"> mientras ioniza el medio que atraviesa, dejado en su recorrido un sender</w:t>
      </w:r>
      <w:r>
        <w:rPr>
          <w:lang w:eastAsia="es-AR"/>
        </w:rPr>
        <w:t>o</w:t>
      </w:r>
      <w:r w:rsidRPr="00664E6D">
        <w:rPr>
          <w:lang w:eastAsia="es-AR"/>
        </w:rPr>
        <w:t xml:space="preserve"> de pares electr</w:t>
      </w:r>
      <w:r>
        <w:rPr>
          <w:lang w:eastAsia="es-AR"/>
        </w:rPr>
        <w:t>ón-hueco “</w:t>
      </w:r>
      <w:r w:rsidRPr="00664E6D">
        <w:rPr>
          <w:lang w:eastAsia="es-AR"/>
        </w:rPr>
        <w:t xml:space="preserve"> </w:t>
      </w:r>
      <w:r w:rsidRPr="00CA1FFF">
        <w:rPr>
          <w:i/>
          <w:highlight w:val="yellow"/>
          <w:lang w:eastAsia="es-AR"/>
        </w:rPr>
        <w:t>[</w:t>
      </w:r>
      <w:r w:rsidRPr="00CA1FFF">
        <w:rPr>
          <w:rStyle w:val="Refdenotaalpie"/>
          <w:i/>
          <w:highlight w:val="yellow"/>
          <w:lang w:eastAsia="es-AR"/>
        </w:rPr>
        <w:footnoteReference w:id="8"/>
      </w:r>
      <w:r w:rsidRPr="00CA1FFF">
        <w:rPr>
          <w:i/>
          <w:highlight w:val="yellow"/>
          <w:lang w:eastAsia="es-AR"/>
        </w:rPr>
        <w:t>]</w:t>
      </w:r>
      <w:r w:rsidRPr="001B0797">
        <w:rPr>
          <w:highlight w:val="yellow"/>
          <w:lang w:eastAsia="es-AR"/>
        </w:rPr>
        <w:t xml:space="preserve"> </w:t>
      </w:r>
    </w:p>
    <w:p w:rsidR="00F302F8" w:rsidRPr="00C42594" w:rsidRDefault="00F302F8" w:rsidP="00F302F8">
      <w:pPr>
        <w:pStyle w:val="ParrafoTESIS"/>
        <w:rPr>
          <w:lang w:eastAsia="es-AR"/>
        </w:rPr>
      </w:pPr>
      <w:r w:rsidRPr="00C42594">
        <w:rPr>
          <w:lang w:eastAsia="es-AR"/>
        </w:rPr>
        <w:t>SEUs son errores transitorios de software y no destructivos para el circuito, tan solo afectan a su funcionamiento temporalmente, por lo cual, un reseteo o un</w:t>
      </w:r>
      <w:r>
        <w:rPr>
          <w:lang w:eastAsia="es-AR"/>
        </w:rPr>
        <w:t>a</w:t>
      </w:r>
      <w:r w:rsidRPr="00C42594">
        <w:rPr>
          <w:lang w:eastAsia="es-AR"/>
        </w:rPr>
        <w:t xml:space="preserve"> sobre-escritura en el dispositivo son necesarios para volverlo a su funcionamiento normal.</w:t>
      </w:r>
    </w:p>
    <w:p w:rsidR="00F302F8" w:rsidRPr="00C42594" w:rsidRDefault="00F302F8" w:rsidP="00F302F8">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w:t>
      </w:r>
      <w:r w:rsidRPr="00C42594">
        <w:rPr>
          <w:lang w:eastAsia="es-AR"/>
        </w:rPr>
        <w:lastRenderedPageBreak/>
        <w:t>ocasionando varios cambios de registro o de memoria, a lo cual llamamos Multiple Bit SEU o MBU (Multiple Bit Upset), lo cual es un gran problema para el sistema de detección y corrección de errores EDAC (error detection and correction).</w:t>
      </w:r>
    </w:p>
    <w:p w:rsidR="00F302F8" w:rsidRPr="00C42594" w:rsidRDefault="00F302F8" w:rsidP="00F302F8">
      <w:pPr>
        <w:pStyle w:val="ParrafoTESIS"/>
        <w:rPr>
          <w:lang w:eastAsia="es-AR"/>
        </w:rPr>
      </w:pPr>
      <w:r w:rsidRPr="00C42594">
        <w:rPr>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F302F8">
      <w:pPr>
        <w:pStyle w:val="Subttulo"/>
        <w:rPr>
          <w:rFonts w:eastAsia="Times New Roman"/>
          <w:lang w:eastAsia="es-AR"/>
        </w:rPr>
      </w:pPr>
      <w:r w:rsidRPr="001F1F48">
        <w:rPr>
          <w:rFonts w:eastAsia="Times New Roman"/>
          <w:lang w:eastAsia="es-AR"/>
        </w:rPr>
        <w:t>Single Event Latchup</w:t>
      </w:r>
    </w:p>
    <w:p w:rsidR="00F302F8" w:rsidRPr="00C42594" w:rsidRDefault="00F302F8" w:rsidP="00F302F8">
      <w:pPr>
        <w:pStyle w:val="ParrafoTESIS"/>
        <w:rPr>
          <w:lang w:eastAsia="es-AR"/>
        </w:rPr>
      </w:pPr>
      <w:r w:rsidRPr="00C42594">
        <w:rPr>
          <w:lang w:eastAsia="es-AR"/>
        </w:rPr>
        <w:t xml:space="preserve">Single Event Latchup (SEL) </w:t>
      </w:r>
      <w:r>
        <w:rPr>
          <w:lang w:eastAsia="es-AR"/>
        </w:rPr>
        <w:t>es una condición que causa pé</w:t>
      </w:r>
      <w:r w:rsidRPr="00C42594">
        <w:rPr>
          <w:lang w:eastAsia="es-AR"/>
        </w:rPr>
        <w:t xml:space="preserv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302F8" w:rsidRPr="00C42594" w:rsidRDefault="00F302F8" w:rsidP="00F302F8">
      <w:pPr>
        <w:pStyle w:val="ParrafoTESIS"/>
        <w:rPr>
          <w:lang w:eastAsia="es-AR"/>
        </w:rPr>
      </w:pPr>
      <w:r w:rsidRPr="00C42594">
        <w:rPr>
          <w:lang w:eastAsia="es-AR"/>
        </w:rPr>
        <w:t>Un SEL puede ser eliminado del circuito a través de un power off-on (reset) del mismo. Si dicho reset no es realizado en brevedad, el calentamiento del dispositivo por condiciones no favorables de funcionamiento podría concluir en una falla permanente. Los SELs son fuertemente dependientes de la temperatura, el umbral para el latchup disminuye con el aumento de la temperatura, así como con el aumento de la sección transversal</w:t>
      </w:r>
      <w:r>
        <w:rPr>
          <w:lang w:eastAsia="es-AR"/>
        </w:rPr>
        <w:t xml:space="preserve"> </w:t>
      </w:r>
      <w:r w:rsidRPr="00790EA6">
        <w:rPr>
          <w:i/>
          <w:lang w:eastAsia="es-AR"/>
        </w:rPr>
        <w:t>[</w:t>
      </w:r>
      <w:r w:rsidRPr="00790EA6">
        <w:rPr>
          <w:rStyle w:val="Refdenotaalpie"/>
          <w:i/>
          <w:lang w:eastAsia="es-AR"/>
        </w:rPr>
        <w:footnoteReference w:id="9"/>
      </w:r>
      <w:r w:rsidRPr="00790EA6">
        <w:rPr>
          <w:i/>
          <w:lang w:eastAsia="es-AR"/>
        </w:rPr>
        <w:t>]</w:t>
      </w:r>
      <w:r w:rsidRPr="00C42594">
        <w:rPr>
          <w:lang w:eastAsia="es-AR"/>
        </w:rPr>
        <w:t>.</w:t>
      </w:r>
    </w:p>
    <w:p w:rsidR="00F302F8" w:rsidRPr="001F1F48" w:rsidRDefault="00F302F8" w:rsidP="00F302F8">
      <w:pPr>
        <w:pStyle w:val="Subttulo"/>
        <w:rPr>
          <w:rFonts w:eastAsia="Times New Roman"/>
          <w:lang w:eastAsia="es-AR"/>
        </w:rPr>
      </w:pPr>
      <w:r w:rsidRPr="001F1F48">
        <w:rPr>
          <w:rFonts w:eastAsia="Times New Roman"/>
          <w:lang w:eastAsia="es-AR"/>
        </w:rPr>
        <w:t>Single Event Burnout</w:t>
      </w:r>
    </w:p>
    <w:p w:rsidR="00F302F8" w:rsidRPr="00C42594" w:rsidRDefault="00F302F8" w:rsidP="00F302F8">
      <w:pPr>
        <w:pStyle w:val="ParrafoTESIS"/>
      </w:pPr>
      <w:r w:rsidRPr="00C42594">
        <w:t xml:space="preserve">Single Event Burnout (SEB)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w:t>
      </w:r>
      <w:r w:rsidRPr="00C42594">
        <w:lastRenderedPageBreak/>
        <w:t>inactivo) cuando un ion pesado que lo atraviese deposite suficiente carga como para encender dicho dispositivo. Fue demostrado que la susceptibilidad de los dispositivos a los SEB disminuye con el aumente a la temperatura</w:t>
      </w:r>
      <w:r>
        <w:t xml:space="preserve"> </w:t>
      </w:r>
      <w:r w:rsidRPr="00790EA6">
        <w:rPr>
          <w:i/>
        </w:rPr>
        <w:t>[</w:t>
      </w:r>
      <w:r w:rsidRPr="00790EA6">
        <w:rPr>
          <w:rStyle w:val="Refdenotaalpie"/>
          <w:i/>
        </w:rPr>
        <w:footnoteReference w:id="10"/>
      </w:r>
      <w:r w:rsidRPr="00790EA6">
        <w:rPr>
          <w:i/>
        </w:rPr>
        <w:t>]</w:t>
      </w:r>
      <w:r w:rsidRPr="00C42594">
        <w:t>.</w:t>
      </w:r>
    </w:p>
    <w:p w:rsidR="00F302F8" w:rsidRPr="00C42594" w:rsidRDefault="00F302F8" w:rsidP="00F302F8">
      <w:pPr>
        <w:pStyle w:val="ParrafoTESIS"/>
      </w:pPr>
      <w:r w:rsidRPr="00C42594">
        <w:t>Un MOSFET de potencia puede sufrir un Single Event Gate Rupture (SEGR) que es la formación de un camino conductor (ruptura dieléctrica localizada) en la Gate Oxide originando la destrucción del dispositivo</w:t>
      </w:r>
      <w:r>
        <w:t xml:space="preserve"> </w:t>
      </w:r>
      <w:r w:rsidRPr="00790EA6">
        <w:rPr>
          <w:i/>
        </w:rPr>
        <w:t>[</w:t>
      </w:r>
      <w:r w:rsidRPr="00790EA6">
        <w:rPr>
          <w:rStyle w:val="Refdenotaalpie"/>
          <w:i/>
        </w:rPr>
        <w:footnoteReference w:id="11"/>
      </w:r>
      <w:r w:rsidRPr="00790EA6">
        <w:rPr>
          <w:i/>
        </w:rPr>
        <w:t>]</w:t>
      </w:r>
      <w:r w:rsidRPr="00C42594">
        <w:t>.</w:t>
      </w:r>
    </w:p>
    <w:p w:rsidR="00F302F8" w:rsidRPr="008F1A72" w:rsidRDefault="00F302F8" w:rsidP="00F302F8">
      <w:pPr>
        <w:pStyle w:val="Ttulo3"/>
        <w:rPr>
          <w:highlight w:val="yellow"/>
        </w:rPr>
      </w:pPr>
      <w:bookmarkStart w:id="12" w:name="_Toc266984386"/>
      <w:r w:rsidRPr="008F1A72">
        <w:rPr>
          <w:highlight w:val="yellow"/>
        </w:rPr>
        <w:t>1.2.4) Carga crítica</w:t>
      </w:r>
      <w:bookmarkEnd w:id="12"/>
    </w:p>
    <w:p w:rsidR="00F302F8" w:rsidRPr="008F1A72" w:rsidRDefault="00F302F8" w:rsidP="00F302F8">
      <w:pPr>
        <w:pStyle w:val="ParrafoTESIS"/>
        <w:rPr>
          <w:highlight w:val="yellow"/>
        </w:rPr>
      </w:pPr>
      <w:r w:rsidRPr="008F1A72">
        <w:rPr>
          <w:highlight w:val="yellow"/>
        </w:rPr>
        <w:t>Los efectos de los SEUs empeoraron a causa de la reducción de la “carga critica” de los dispositivos, por la reducción de su tamaño, el aumento de transistores por chip y su alta complejidad.</w:t>
      </w:r>
    </w:p>
    <w:p w:rsidR="00F302F8" w:rsidRPr="008F1A72" w:rsidRDefault="00F302F8" w:rsidP="00F302F8">
      <w:pPr>
        <w:pStyle w:val="ParrafoTESIS"/>
        <w:rPr>
          <w:highlight w:val="yellow"/>
        </w:rPr>
      </w:pPr>
      <w:r w:rsidRPr="008F1A72">
        <w:rPr>
          <w:highlight w:val="yellow"/>
        </w:rPr>
        <w:t>Podemos clasificar la susceptibilidad a los SEUs según la tecnología de los dispositivos:</w:t>
      </w:r>
    </w:p>
    <w:p w:rsidR="00F302F8" w:rsidRPr="008F1A72" w:rsidRDefault="00F302F8" w:rsidP="00F302F8">
      <w:pPr>
        <w:pStyle w:val="Prrafodelista"/>
        <w:numPr>
          <w:ilvl w:val="0"/>
          <w:numId w:val="3"/>
        </w:numPr>
        <w:spacing w:after="0" w:line="240" w:lineRule="auto"/>
        <w:rPr>
          <w:rFonts w:cstheme="minorHAnsi"/>
          <w:highlight w:val="yellow"/>
        </w:rPr>
      </w:pPr>
      <w:r w:rsidRPr="008F1A72">
        <w:rPr>
          <w:rFonts w:cstheme="minorHAnsi"/>
          <w:highlight w:val="yellow"/>
        </w:rPr>
        <w:t>CMOS/SOS (menos susceptibilidad)</w:t>
      </w:r>
    </w:p>
    <w:p w:rsidR="00F302F8" w:rsidRPr="008F1A72" w:rsidRDefault="00F302F8" w:rsidP="00F302F8">
      <w:pPr>
        <w:pStyle w:val="Prrafodelista"/>
        <w:numPr>
          <w:ilvl w:val="0"/>
          <w:numId w:val="3"/>
        </w:numPr>
        <w:spacing w:after="0" w:line="240" w:lineRule="auto"/>
        <w:rPr>
          <w:rFonts w:cstheme="minorHAnsi"/>
          <w:highlight w:val="yellow"/>
        </w:rPr>
      </w:pPr>
      <w:r w:rsidRPr="008F1A72">
        <w:rPr>
          <w:rFonts w:cstheme="minorHAnsi"/>
          <w:highlight w:val="yellow"/>
        </w:rPr>
        <w:t>CMOS</w:t>
      </w:r>
    </w:p>
    <w:p w:rsidR="00F302F8" w:rsidRPr="008F1A72" w:rsidRDefault="00F302F8" w:rsidP="00F302F8">
      <w:pPr>
        <w:pStyle w:val="Prrafodelista"/>
        <w:numPr>
          <w:ilvl w:val="0"/>
          <w:numId w:val="3"/>
        </w:numPr>
        <w:spacing w:after="0" w:line="240" w:lineRule="auto"/>
        <w:rPr>
          <w:rFonts w:cstheme="minorHAnsi"/>
          <w:highlight w:val="yellow"/>
        </w:rPr>
      </w:pPr>
      <w:r w:rsidRPr="008F1A72">
        <w:rPr>
          <w:rFonts w:cstheme="minorHAnsi"/>
          <w:highlight w:val="yellow"/>
        </w:rPr>
        <w:t>ESTÁNDAR BIPOLAR</w:t>
      </w:r>
    </w:p>
    <w:p w:rsidR="00F302F8" w:rsidRPr="008F1A72" w:rsidRDefault="00F302F8" w:rsidP="00F302F8">
      <w:pPr>
        <w:pStyle w:val="Prrafodelista"/>
        <w:numPr>
          <w:ilvl w:val="0"/>
          <w:numId w:val="3"/>
        </w:numPr>
        <w:spacing w:after="0" w:line="240" w:lineRule="auto"/>
        <w:rPr>
          <w:rFonts w:cstheme="minorHAnsi"/>
          <w:highlight w:val="yellow"/>
        </w:rPr>
      </w:pPr>
      <w:r w:rsidRPr="008F1A72">
        <w:rPr>
          <w:rFonts w:cstheme="minorHAnsi"/>
          <w:highlight w:val="yellow"/>
        </w:rPr>
        <w:t>BIPOLARES SCHOTTKY DE BAJAS TENSIONES</w:t>
      </w:r>
    </w:p>
    <w:p w:rsidR="00F302F8" w:rsidRPr="008F1A72" w:rsidRDefault="00F302F8" w:rsidP="00F302F8">
      <w:pPr>
        <w:pStyle w:val="Prrafodelista"/>
        <w:numPr>
          <w:ilvl w:val="0"/>
          <w:numId w:val="3"/>
        </w:numPr>
        <w:spacing w:after="0" w:line="240" w:lineRule="auto"/>
        <w:rPr>
          <w:rFonts w:cstheme="minorHAnsi"/>
          <w:highlight w:val="yellow"/>
        </w:rPr>
      </w:pPr>
      <w:r w:rsidRPr="008F1A72">
        <w:rPr>
          <w:rFonts w:cstheme="minorHAnsi"/>
          <w:highlight w:val="yellow"/>
        </w:rPr>
        <w:t>NMOS DRAMs (más susceptibles)</w:t>
      </w:r>
    </w:p>
    <w:p w:rsidR="00F302F8" w:rsidRPr="008F1A72" w:rsidRDefault="00F302F8" w:rsidP="00F302F8">
      <w:pPr>
        <w:pStyle w:val="ParrafoTESIS"/>
        <w:rPr>
          <w:highlight w:val="yellow"/>
        </w:rPr>
      </w:pPr>
      <w:r w:rsidRPr="008F1A72">
        <w:rPr>
          <w:highlight w:val="yellow"/>
        </w:rPr>
        <w:t>Latchup y destrucción de circuitos no suelen ocurrir cuando los dispositivos están fabricados con GaAs, pero su susceptibilidad a los SEUs aumenta en una pequeña proporción</w:t>
      </w:r>
      <w:r>
        <w:rPr>
          <w:highlight w:val="yellow"/>
        </w:rPr>
        <w:t xml:space="preserve"> </w:t>
      </w:r>
      <w:r w:rsidRPr="001B7718">
        <w:rPr>
          <w:i/>
          <w:highlight w:val="yellow"/>
        </w:rPr>
        <w:t>[</w:t>
      </w:r>
      <w:r w:rsidRPr="001B7718">
        <w:rPr>
          <w:rStyle w:val="Refdenotaalpie"/>
          <w:i/>
          <w:highlight w:val="yellow"/>
        </w:rPr>
        <w:footnoteReference w:id="12"/>
      </w:r>
      <w:r w:rsidRPr="001B7718">
        <w:rPr>
          <w:i/>
          <w:highlight w:val="yellow"/>
        </w:rPr>
        <w:t>]</w:t>
      </w:r>
      <w:r w:rsidRPr="008F1A72">
        <w:rPr>
          <w:highlight w:val="yellow"/>
        </w:rPr>
        <w:t>.</w:t>
      </w:r>
    </w:p>
    <w:p w:rsidR="00F302F8" w:rsidRPr="008F1A72" w:rsidRDefault="00F302F8" w:rsidP="00F302F8">
      <w:pPr>
        <w:pStyle w:val="ParrafoTESIS"/>
        <w:rPr>
          <w:highlight w:val="yellow"/>
        </w:rPr>
      </w:pPr>
      <w:r w:rsidRPr="008F1A72">
        <w:rPr>
          <w:highlight w:val="yellow"/>
        </w:rPr>
        <w:t xml:space="preserve">La inmunidad del dispositivo está determinado por su </w:t>
      </w:r>
      <w:r w:rsidRPr="008F1A72">
        <w:rPr>
          <w:i/>
          <w:highlight w:val="yellow"/>
        </w:rPr>
        <w:t>Linear Energy Transfer Threshold</w:t>
      </w:r>
      <w:r w:rsidRPr="008F1A72">
        <w:rPr>
          <w:highlight w:val="yellow"/>
        </w:rPr>
        <w:t xml:space="preserve">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 El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está definido como el minino LET capaz de causar un SEE en un flujo de de partículas de 10</w:t>
      </w:r>
      <w:r w:rsidRPr="008F1A72">
        <w:rPr>
          <w:highlight w:val="yellow"/>
          <w:vertAlign w:val="superscript"/>
        </w:rPr>
        <w:t xml:space="preserve">7 </w:t>
      </w:r>
      <w:r w:rsidRPr="008F1A72">
        <w:rPr>
          <w:highlight w:val="yellow"/>
        </w:rPr>
        <w:t>ions/cm</w:t>
      </w:r>
      <w:r w:rsidRPr="008F1A72">
        <w:rPr>
          <w:highlight w:val="yellow"/>
          <w:vertAlign w:val="superscript"/>
        </w:rPr>
        <w:t>2</w:t>
      </w:r>
      <w:r w:rsidRPr="008F1A72">
        <w:rPr>
          <w:highlight w:val="yellow"/>
        </w:rPr>
        <w:t xml:space="preserve">. Aquellos dispositivos inmunes a los SEE están definidos por tener un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r>
          <w:rPr>
            <w:rFonts w:ascii="Cambria Math"/>
            <w:highlight w:val="yellow"/>
          </w:rPr>
          <m:t>&gt;100</m:t>
        </m:r>
        <m:r>
          <w:rPr>
            <w:rFonts w:ascii="Cambria Math" w:hAnsi="Cambria Math"/>
            <w:highlight w:val="yellow"/>
          </w:rPr>
          <m:t>MeV*</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cm</m:t>
                </m:r>
              </m:e>
              <m:sup>
                <m:r>
                  <w:rPr>
                    <w:rFonts w:ascii="Cambria Math"/>
                    <w:highlight w:val="yellow"/>
                  </w:rPr>
                  <m:t>2</m:t>
                </m:r>
              </m:sup>
            </m:sSup>
          </m:num>
          <m:den>
            <m:r>
              <w:rPr>
                <w:rFonts w:ascii="Cambria Math" w:hAnsi="Cambria Math"/>
                <w:highlight w:val="yellow"/>
              </w:rPr>
              <m:t>mg</m:t>
            </m:r>
          </m:den>
        </m:f>
      </m:oMath>
      <w:r w:rsidRPr="008F1A72">
        <w:rPr>
          <w:highlight w:val="yellow"/>
        </w:rPr>
        <w:t xml:space="preserve">. Un bajo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 implica sensibilidad a protones</w:t>
      </w:r>
      <w:r>
        <w:rPr>
          <w:highlight w:val="yellow"/>
        </w:rPr>
        <w:t xml:space="preserve"> </w:t>
      </w:r>
      <w:r w:rsidRPr="001B7718">
        <w:rPr>
          <w:i/>
          <w:highlight w:val="yellow"/>
        </w:rPr>
        <w:t>[</w:t>
      </w:r>
      <w:r w:rsidRPr="001B7718">
        <w:rPr>
          <w:rStyle w:val="Refdenotaalpie"/>
          <w:i/>
          <w:highlight w:val="yellow"/>
        </w:rPr>
        <w:footnoteReference w:id="13"/>
      </w:r>
      <w:r w:rsidRPr="001B7718">
        <w:rPr>
          <w:i/>
          <w:highlight w:val="yellow"/>
        </w:rPr>
        <w:t>]</w:t>
      </w:r>
      <w:r w:rsidRPr="008F1A72">
        <w:rPr>
          <w:highlight w:val="yellow"/>
        </w:rPr>
        <w:t>.</w:t>
      </w:r>
    </w:p>
    <w:p w:rsidR="00F302F8" w:rsidRPr="004E5783" w:rsidRDefault="00F302F8" w:rsidP="00F302F8">
      <w:pPr>
        <w:pStyle w:val="ParrafoTESIS"/>
        <w:rPr>
          <w:highlight w:val="yellow"/>
        </w:rPr>
      </w:pPr>
      <w:r w:rsidRPr="008F1A72">
        <w:rPr>
          <w:rStyle w:val="apple-style-span"/>
          <w:highlight w:val="yellow"/>
          <w:shd w:val="clear" w:color="auto" w:fill="FFFFFF"/>
        </w:rPr>
        <w:t>Las tendencias actuales (por ejemplo, la reducción de tamaño y energía del dispositivo, aumento de resolución, de memoria y velocidad) sólo aumentan la susceptibilidad a SEUs.</w:t>
      </w:r>
      <w:r w:rsidRPr="008F1A72">
        <w:rPr>
          <w:rStyle w:val="apple-style-span"/>
          <w:highlight w:val="yellow"/>
        </w:rPr>
        <w:t xml:space="preserve"> </w:t>
      </w:r>
    </w:p>
    <w:p w:rsidR="00F302F8" w:rsidRPr="0026113D" w:rsidRDefault="00F302F8" w:rsidP="00F302F8">
      <w:pPr>
        <w:pStyle w:val="ParrafoTESIS"/>
        <w:rPr>
          <w:shd w:val="clear" w:color="auto" w:fill="EBEFF9"/>
        </w:rPr>
      </w:pPr>
      <w:r w:rsidRPr="008F1A72">
        <w:rPr>
          <w:rStyle w:val="apple-style-span"/>
          <w:highlight w:val="yellow"/>
          <w:shd w:val="clear" w:color="auto" w:fill="FFFFFF"/>
        </w:rPr>
        <w:t xml:space="preserve">Como el tamaño de las zonas activas de los dispositivos disminuye, la capacidad también lo hace y por lo tanto la carga necesaria para inducir el SEU disminuye con estos. La profundidad de </w:t>
      </w:r>
      <w:r w:rsidRPr="008F1A72">
        <w:rPr>
          <w:rStyle w:val="apple-style-span"/>
          <w:highlight w:val="yellow"/>
          <w:shd w:val="clear" w:color="auto" w:fill="FFFFFF"/>
        </w:rPr>
        <w:lastRenderedPageBreak/>
        <w:t>los dispositivos no ha</w:t>
      </w:r>
      <w:r>
        <w:rPr>
          <w:rStyle w:val="apple-style-span"/>
          <w:highlight w:val="yellow"/>
          <w:shd w:val="clear" w:color="auto" w:fill="FFFFFF"/>
        </w:rPr>
        <w:t>n</w:t>
      </w:r>
      <w:r w:rsidRPr="008F1A72">
        <w:rPr>
          <w:rStyle w:val="apple-style-span"/>
          <w:highlight w:val="yellow"/>
          <w:shd w:val="clear" w:color="auto" w:fill="FFFFFF"/>
        </w:rPr>
        <w:t xml:space="preserve"> sido prácticamente afectada, sino su longitud y anchura son los que fueron reducidos</w:t>
      </w:r>
      <w:r>
        <w:rPr>
          <w:rStyle w:val="apple-style-span"/>
          <w:shd w:val="clear" w:color="auto" w:fill="FFFFFF"/>
        </w:rPr>
        <w:t xml:space="preserve"> </w:t>
      </w:r>
      <w:r w:rsidRPr="001B7718">
        <w:rPr>
          <w:rStyle w:val="apple-style-span"/>
          <w:i/>
          <w:shd w:val="clear" w:color="auto" w:fill="FFFFFF"/>
        </w:rPr>
        <w:t>[</w:t>
      </w:r>
      <w:r w:rsidRPr="001B7718">
        <w:rPr>
          <w:rStyle w:val="Refdenotaalpie"/>
          <w:i/>
          <w:shd w:val="clear" w:color="auto" w:fill="FFFFFF"/>
        </w:rPr>
        <w:footnoteReference w:id="14"/>
      </w:r>
      <w:r w:rsidRPr="001B7718">
        <w:rPr>
          <w:rStyle w:val="apple-style-span"/>
          <w:i/>
          <w:shd w:val="clear" w:color="auto" w:fill="FFFFFF"/>
        </w:rPr>
        <w:t>]</w:t>
      </w:r>
      <w:r>
        <w:rPr>
          <w:rStyle w:val="apple-style-span"/>
          <w:shd w:val="clear" w:color="auto" w:fill="FFFFFF"/>
        </w:rPr>
        <w:t>.</w:t>
      </w:r>
    </w:p>
    <w:p w:rsidR="00F302F8" w:rsidRPr="00CA268A" w:rsidRDefault="00F302F8" w:rsidP="00F302F8">
      <w:pPr>
        <w:pStyle w:val="Ttulo2"/>
      </w:pPr>
      <w:bookmarkStart w:id="13" w:name="_Toc266984387"/>
      <w:r>
        <w:t xml:space="preserve">1.3) </w:t>
      </w:r>
      <w:r w:rsidRPr="00CA268A">
        <w:t>Modelado de la falla</w:t>
      </w:r>
      <w:bookmarkEnd w:id="13"/>
    </w:p>
    <w:p w:rsidR="00F302F8" w:rsidRPr="00CA268A" w:rsidRDefault="00F302F8" w:rsidP="00F302F8">
      <w:pPr>
        <w:pStyle w:val="Ttulo3"/>
      </w:pPr>
      <w:bookmarkStart w:id="14" w:name="_Toc266984388"/>
      <w:r>
        <w:t xml:space="preserve">1.3.1) </w:t>
      </w:r>
      <w:r w:rsidRPr="00CA268A">
        <w:t>Modelos utilizados</w:t>
      </w:r>
      <w:bookmarkEnd w:id="14"/>
    </w:p>
    <w:p w:rsidR="00F302F8" w:rsidRPr="00CA268A" w:rsidRDefault="00F302F8" w:rsidP="00F302F8">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sí. El transitorio puede ser modelado como una inyección de tipo doble exponencial de corriente, según </w:t>
      </w:r>
      <w:r w:rsidRPr="008F1A72">
        <w:rPr>
          <w:highlight w:val="yellow"/>
        </w:rPr>
        <w:t>[</w:t>
      </w:r>
      <w:r>
        <w:rPr>
          <w:rStyle w:val="Refdenotaalpie"/>
          <w:highlight w:val="yellow"/>
        </w:rPr>
        <w:footnoteReference w:id="15"/>
      </w:r>
      <w:r w:rsidRPr="008F1A72">
        <w:rPr>
          <w:highlight w:val="yellow"/>
        </w:rPr>
        <w:t>]</w:t>
      </w:r>
    </w:p>
    <w:p w:rsidR="00F302F8" w:rsidRPr="00CA268A" w:rsidRDefault="00F302F8" w:rsidP="00F302F8">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F302F8" w:rsidRPr="00CA268A" w:rsidRDefault="00F302F8" w:rsidP="00F302F8">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Pr="00CA268A">
        <w:t xml:space="preserve"> la constante de tiempo de la inicialmente establecida dirección del ion. Estas dos constantes dependen de varios factores relacionados con el proceso y por lo tanto con la tecnología. </w:t>
      </w:r>
    </w:p>
    <w:p w:rsidR="00F302F8" w:rsidRPr="008F1A72" w:rsidRDefault="00F302F8" w:rsidP="00F302F8">
      <w:pPr>
        <w:pStyle w:val="Ttulo3"/>
        <w:rPr>
          <w:highlight w:val="yellow"/>
        </w:rPr>
      </w:pPr>
      <w:bookmarkStart w:id="15" w:name="_Toc266984389"/>
      <w:r w:rsidRPr="008F1A72">
        <w:rPr>
          <w:highlight w:val="yellow"/>
        </w:rPr>
        <w:t>1.3.2) Modelo a utilizar</w:t>
      </w:r>
      <w:bookmarkEnd w:id="15"/>
    </w:p>
    <w:p w:rsidR="00F302F8" w:rsidRDefault="00F302F8" w:rsidP="00F302F8">
      <w:pPr>
        <w:pStyle w:val="ParrafoTESIS"/>
      </w:pPr>
      <w:r w:rsidRPr="008F1A72">
        <w:rPr>
          <w:highlight w:val="yellow"/>
        </w:rPr>
        <w:t xml:space="preserve">Como el modelo del transitorio de doble exponencial llevara mucho tiempo y procesamiento computacional complejo, optamos por reemplazar dicho modelo por </w:t>
      </w:r>
      <w:r>
        <w:rPr>
          <w:highlight w:val="yellow"/>
        </w:rPr>
        <w:t xml:space="preserve"> aproximaciones </w:t>
      </w:r>
      <w:r w:rsidRPr="008F1A72">
        <w:rPr>
          <w:highlight w:val="yellow"/>
        </w:rPr>
        <w:t>más simple.</w:t>
      </w:r>
    </w:p>
    <w:p w:rsidR="00F302F8" w:rsidRPr="00570E5C"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EXPONENCIAL</w:t>
      </w:r>
    </w:p>
    <w:p w:rsidR="00F302F8" w:rsidRDefault="00F302F8" w:rsidP="00F302F8">
      <w:pPr>
        <w:pStyle w:val="ParrafoTESIS"/>
        <w:rPr>
          <w:szCs w:val="18"/>
        </w:rPr>
      </w:pPr>
      <w:r>
        <w:t>Un modelo de menor complejidad que la doble exponencial es la exponencial simple (</w:t>
      </w:r>
      <w:r>
        <w:fldChar w:fldCharType="begin"/>
      </w:r>
      <w:r>
        <w:instrText xml:space="preserve"> REF _Ref266984405 \h </w:instrText>
      </w:r>
      <w:r>
        <w:fldChar w:fldCharType="separate"/>
      </w:r>
      <w:r>
        <w:t xml:space="preserve">Figura </w:t>
      </w:r>
      <w:r>
        <w:rPr>
          <w:noProof/>
        </w:rPr>
        <w:t>6</w:t>
      </w:r>
      <w:r>
        <w:fldChar w:fldCharType="end"/>
      </w:r>
      <w:r>
        <w:t xml:space="preserve">), que haciendo referencia a la </w:t>
      </w:r>
      <w:fldSimple w:instr=" REF _Ref266986213 \h  \* MERGEFORMAT ">
        <w:r w:rsidRPr="00F83B3A">
          <w:rPr>
            <w:b/>
            <w:color w:val="4F81BD" w:themeColor="accent1"/>
            <w:sz w:val="18"/>
            <w:szCs w:val="18"/>
          </w:rPr>
          <w:t xml:space="preserve">Figura </w:t>
        </w:r>
        <w:r w:rsidRPr="00F83B3A">
          <w:rPr>
            <w:b/>
            <w:noProof/>
            <w:color w:val="4F81BD" w:themeColor="accent1"/>
            <w:sz w:val="18"/>
            <w:szCs w:val="18"/>
          </w:rPr>
          <w:t>3</w:t>
        </w:r>
      </w:fldSimple>
      <w:r w:rsidRPr="00F83B3A">
        <w:rPr>
          <w:szCs w:val="18"/>
        </w:rPr>
        <w:t xml:space="preserve">, </w:t>
      </w:r>
      <w:r>
        <w:rPr>
          <w:szCs w:val="18"/>
        </w:rPr>
        <w:t xml:space="preserve">representa con gran semejanza el proceso de </w:t>
      </w:r>
      <w:r w:rsidRPr="00C322A8">
        <w:rPr>
          <w:b/>
          <w:i/>
          <w:szCs w:val="18"/>
        </w:rPr>
        <w:t>recolección de cargas</w:t>
      </w:r>
      <w:r>
        <w:rPr>
          <w:szCs w:val="18"/>
        </w:rPr>
        <w:t xml:space="preserve"> (de 2nS a 2.3nS de la </w:t>
      </w:r>
      <w:r>
        <w:fldChar w:fldCharType="begin"/>
      </w:r>
      <w:r>
        <w:instrText xml:space="preserve"> REF _Ref266984405 \h </w:instrText>
      </w:r>
      <w:r>
        <w:fldChar w:fldCharType="separate"/>
      </w:r>
      <w:r>
        <w:t xml:space="preserve">Figura </w:t>
      </w:r>
      <w:r>
        <w:rPr>
          <w:noProof/>
        </w:rPr>
        <w:t>6</w:t>
      </w:r>
      <w:r>
        <w:fldChar w:fldCharType="end"/>
      </w:r>
      <w:r>
        <w:rPr>
          <w:szCs w:val="18"/>
        </w:rPr>
        <w:t xml:space="preserve">). El proceso de </w:t>
      </w:r>
      <w:r w:rsidRPr="00C322A8">
        <w:rPr>
          <w:b/>
          <w:i/>
          <w:szCs w:val="18"/>
        </w:rPr>
        <w:t>difusión de cargas</w:t>
      </w:r>
      <w:r>
        <w:rPr>
          <w:szCs w:val="18"/>
        </w:rPr>
        <w:t xml:space="preserve"> no se asemeja a la referencia, ya que el tiempo y amplitud que se puede generar con la exponencial simple para este proceso nos imposibilita hacerlo.</w:t>
      </w:r>
    </w:p>
    <w:p w:rsidR="00F302F8" w:rsidRDefault="00F302F8" w:rsidP="00F302F8">
      <w:r>
        <w:t>La expresión matemática de la falla exponencial modelizada es:</w:t>
      </w:r>
    </w:p>
    <w:p w:rsidR="00F302F8" w:rsidRDefault="00F302F8" w:rsidP="00F302F8">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F302F8" w:rsidRDefault="00F302F8" w:rsidP="00F302F8">
      <w:r>
        <w:lastRenderedPageBreak/>
        <w:t>Su representación en SPICE es:</w:t>
      </w:r>
    </w:p>
    <w:p w:rsidR="00F302F8" w:rsidRPr="00894C61" w:rsidRDefault="00F302F8" w:rsidP="00F302F8">
      <w:pPr>
        <w:autoSpaceDE w:val="0"/>
        <w:autoSpaceDN w:val="0"/>
        <w:adjustRightInd w:val="0"/>
        <w:spacing w:after="0" w:line="240" w:lineRule="auto"/>
        <w:rPr>
          <w:rFonts w:cstheme="minorHAnsi"/>
        </w:rPr>
      </w:pPr>
      <w:r w:rsidRPr="00894C61">
        <w:rPr>
          <w:rFonts w:cstheme="minorHAnsi"/>
          <w:b/>
          <w:bCs/>
        </w:rPr>
        <w:t>Expresión general</w:t>
      </w:r>
      <w:r w:rsidRPr="00894C61">
        <w:rPr>
          <w:rFonts w:cstheme="minorHAnsi"/>
          <w:b/>
          <w:bCs/>
        </w:rPr>
        <w:tab/>
      </w:r>
      <w:r w:rsidRPr="00894C61">
        <w:rPr>
          <w:rFonts w:cstheme="minorHAnsi"/>
        </w:rPr>
        <w:t>EXP (&lt;i1&gt; &lt;i2&gt; &lt;td1&gt; &lt;tc1&gt; &lt;td2&gt; &lt;tc2&gt;)</w:t>
      </w:r>
    </w:p>
    <w:p w:rsidR="00F302F8" w:rsidRPr="00FC0A45" w:rsidRDefault="00F302F8" w:rsidP="00F302F8">
      <w:pPr>
        <w:autoSpaceDE w:val="0"/>
        <w:autoSpaceDN w:val="0"/>
        <w:adjustRightInd w:val="0"/>
        <w:spacing w:after="0" w:line="240" w:lineRule="auto"/>
        <w:rPr>
          <w:rFonts w:cstheme="minorHAnsi"/>
          <w:b/>
          <w:bCs/>
        </w:rPr>
      </w:pPr>
      <w:r w:rsidRPr="00FC0A45">
        <w:rPr>
          <w:rFonts w:cstheme="minorHAnsi"/>
          <w:b/>
          <w:bCs/>
        </w:rPr>
        <w:t>Par</w:t>
      </w:r>
      <w:r>
        <w:rPr>
          <w:rFonts w:cstheme="minorHAnsi"/>
          <w:b/>
          <w:bCs/>
        </w:rPr>
        <w:t>á</w:t>
      </w:r>
      <w:r w:rsidRPr="00FC0A45">
        <w:rPr>
          <w:rFonts w:cstheme="minorHAnsi"/>
          <w:b/>
          <w:bCs/>
        </w:rPr>
        <w:t>metros de forma de onda:</w:t>
      </w:r>
    </w:p>
    <w:tbl>
      <w:tblPr>
        <w:tblStyle w:val="Tablaconcuadrcula"/>
        <w:tblW w:w="0" w:type="auto"/>
        <w:jc w:val="center"/>
        <w:tblLook w:val="04A0"/>
      </w:tblPr>
      <w:tblGrid>
        <w:gridCol w:w="1319"/>
        <w:gridCol w:w="4064"/>
        <w:gridCol w:w="966"/>
      </w:tblGrid>
      <w:tr w:rsidR="00F302F8" w:rsidRPr="00FC0A45" w:rsidTr="00285E1D">
        <w:trPr>
          <w:jc w:val="center"/>
        </w:trPr>
        <w:tc>
          <w:tcPr>
            <w:tcW w:w="1319" w:type="dxa"/>
            <w:vAlign w:val="center"/>
          </w:tcPr>
          <w:p w:rsidR="00F302F8" w:rsidRDefault="00F302F8" w:rsidP="00285E1D">
            <w:pPr>
              <w:autoSpaceDE w:val="0"/>
              <w:autoSpaceDN w:val="0"/>
              <w:adjustRightInd w:val="0"/>
              <w:jc w:val="center"/>
              <w:rPr>
                <w:rFonts w:cstheme="minorHAnsi"/>
                <w:b/>
                <w:bCs/>
                <w:lang w:val="en-US"/>
              </w:rPr>
            </w:pPr>
            <w:r w:rsidRPr="00707401">
              <w:rPr>
                <w:rFonts w:cstheme="minorHAnsi"/>
                <w:b/>
                <w:bCs/>
              </w:rPr>
              <w:t>Parámetro</w:t>
            </w:r>
          </w:p>
        </w:tc>
        <w:tc>
          <w:tcPr>
            <w:tcW w:w="4064"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Descripción</w:t>
            </w:r>
          </w:p>
        </w:tc>
        <w:tc>
          <w:tcPr>
            <w:tcW w:w="966"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Unidad</w:t>
            </w:r>
          </w:p>
        </w:tc>
      </w:tr>
      <w:tr w:rsidR="00F302F8" w:rsidRPr="00FC0A45" w:rsidTr="00285E1D">
        <w:trPr>
          <w:jc w:val="center"/>
        </w:trPr>
        <w:tc>
          <w:tcPr>
            <w:tcW w:w="1319" w:type="dxa"/>
            <w:vAlign w:val="center"/>
          </w:tcPr>
          <w:p w:rsidR="00F302F8" w:rsidRDefault="00F302F8" w:rsidP="00285E1D">
            <w:pPr>
              <w:autoSpaceDE w:val="0"/>
              <w:autoSpaceDN w:val="0"/>
              <w:adjustRightInd w:val="0"/>
              <w:jc w:val="center"/>
              <w:rPr>
                <w:rFonts w:cstheme="minorHAnsi"/>
                <w:lang w:val="en-US"/>
              </w:rPr>
            </w:pPr>
            <w:r w:rsidRPr="00FC0A45">
              <w:rPr>
                <w:rFonts w:cstheme="minorHAnsi"/>
                <w:lang w:val="en-US"/>
              </w:rPr>
              <w:t>&lt;i1&gt;</w:t>
            </w:r>
          </w:p>
        </w:tc>
        <w:tc>
          <w:tcPr>
            <w:tcW w:w="406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Corriente inicial</w:t>
            </w:r>
          </w:p>
        </w:tc>
        <w:tc>
          <w:tcPr>
            <w:tcW w:w="966" w:type="dxa"/>
            <w:vAlign w:val="center"/>
          </w:tcPr>
          <w:p w:rsidR="00F302F8" w:rsidRDefault="00F302F8" w:rsidP="00285E1D">
            <w:pPr>
              <w:autoSpaceDE w:val="0"/>
              <w:autoSpaceDN w:val="0"/>
              <w:adjustRightInd w:val="0"/>
              <w:jc w:val="center"/>
              <w:rPr>
                <w:rFonts w:cstheme="minorHAnsi"/>
                <w:lang w:val="en-US"/>
              </w:rPr>
            </w:pPr>
            <w:r w:rsidRPr="00FC0A45">
              <w:rPr>
                <w:rFonts w:cstheme="minorHAnsi"/>
                <w:lang w:val="en-US"/>
              </w:rPr>
              <w:t>amp</w:t>
            </w:r>
          </w:p>
        </w:tc>
      </w:tr>
      <w:tr w:rsidR="00F302F8" w:rsidRPr="00FC0A45" w:rsidTr="00285E1D">
        <w:trPr>
          <w:jc w:val="center"/>
        </w:trPr>
        <w:tc>
          <w:tcPr>
            <w:tcW w:w="1319" w:type="dxa"/>
            <w:vAlign w:val="center"/>
          </w:tcPr>
          <w:p w:rsidR="00F302F8" w:rsidRDefault="00F302F8" w:rsidP="00285E1D">
            <w:pPr>
              <w:autoSpaceDE w:val="0"/>
              <w:autoSpaceDN w:val="0"/>
              <w:adjustRightInd w:val="0"/>
              <w:jc w:val="center"/>
              <w:rPr>
                <w:rFonts w:cstheme="minorHAnsi"/>
                <w:lang w:val="en-US"/>
              </w:rPr>
            </w:pPr>
            <w:r w:rsidRPr="00FC0A45">
              <w:rPr>
                <w:rFonts w:cstheme="minorHAnsi"/>
                <w:lang w:val="en-US"/>
              </w:rPr>
              <w:t>&lt;i2&gt;</w:t>
            </w:r>
          </w:p>
        </w:tc>
        <w:tc>
          <w:tcPr>
            <w:tcW w:w="406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Pico de corriente</w:t>
            </w:r>
          </w:p>
        </w:tc>
        <w:tc>
          <w:tcPr>
            <w:tcW w:w="966" w:type="dxa"/>
            <w:vAlign w:val="center"/>
          </w:tcPr>
          <w:p w:rsidR="00F302F8" w:rsidRDefault="00F302F8" w:rsidP="00285E1D">
            <w:pPr>
              <w:autoSpaceDE w:val="0"/>
              <w:autoSpaceDN w:val="0"/>
              <w:adjustRightInd w:val="0"/>
              <w:jc w:val="center"/>
              <w:rPr>
                <w:rFonts w:cstheme="minorHAnsi"/>
                <w:lang w:val="en-US"/>
              </w:rPr>
            </w:pPr>
            <w:r w:rsidRPr="00FC0A45">
              <w:rPr>
                <w:rFonts w:cstheme="minorHAnsi"/>
                <w:lang w:val="en-US"/>
              </w:rPr>
              <w:t>amp</w:t>
            </w:r>
          </w:p>
        </w:tc>
      </w:tr>
      <w:tr w:rsidR="00F302F8" w:rsidRPr="00FC0A45" w:rsidTr="00285E1D">
        <w:trPr>
          <w:jc w:val="center"/>
        </w:trPr>
        <w:tc>
          <w:tcPr>
            <w:tcW w:w="1319" w:type="dxa"/>
            <w:vAlign w:val="center"/>
          </w:tcPr>
          <w:p w:rsidR="00F302F8" w:rsidRDefault="00F302F8" w:rsidP="00285E1D">
            <w:pPr>
              <w:autoSpaceDE w:val="0"/>
              <w:autoSpaceDN w:val="0"/>
              <w:adjustRightInd w:val="0"/>
              <w:jc w:val="center"/>
              <w:rPr>
                <w:rFonts w:cstheme="minorHAnsi"/>
                <w:lang w:val="en-US"/>
              </w:rPr>
            </w:pPr>
            <w:r w:rsidRPr="00FC0A45">
              <w:rPr>
                <w:rFonts w:cstheme="minorHAnsi"/>
                <w:lang w:val="en-US"/>
              </w:rPr>
              <w:t>&lt;td1&gt;</w:t>
            </w:r>
          </w:p>
        </w:tc>
        <w:tc>
          <w:tcPr>
            <w:tcW w:w="406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Delay subida (bajada)</w:t>
            </w:r>
          </w:p>
        </w:tc>
        <w:tc>
          <w:tcPr>
            <w:tcW w:w="966" w:type="dxa"/>
            <w:vAlign w:val="center"/>
          </w:tcPr>
          <w:p w:rsidR="00F302F8" w:rsidRDefault="00F302F8" w:rsidP="00285E1D">
            <w:pPr>
              <w:autoSpaceDE w:val="0"/>
              <w:autoSpaceDN w:val="0"/>
              <w:adjustRightInd w:val="0"/>
              <w:jc w:val="center"/>
              <w:rPr>
                <w:rFonts w:cstheme="minorHAnsi"/>
                <w:lang w:val="en-US"/>
              </w:rPr>
            </w:pPr>
            <w:r w:rsidRPr="00FC0A45">
              <w:rPr>
                <w:rFonts w:cstheme="minorHAnsi"/>
                <w:lang w:val="en-US"/>
              </w:rPr>
              <w:t>sec</w:t>
            </w:r>
          </w:p>
        </w:tc>
      </w:tr>
      <w:tr w:rsidR="00F302F8" w:rsidRPr="00FC0A45" w:rsidTr="00285E1D">
        <w:trPr>
          <w:jc w:val="center"/>
        </w:trPr>
        <w:tc>
          <w:tcPr>
            <w:tcW w:w="1319" w:type="dxa"/>
            <w:vAlign w:val="center"/>
          </w:tcPr>
          <w:p w:rsidR="00F302F8" w:rsidRDefault="00F302F8" w:rsidP="00285E1D">
            <w:pPr>
              <w:autoSpaceDE w:val="0"/>
              <w:autoSpaceDN w:val="0"/>
              <w:adjustRightInd w:val="0"/>
              <w:jc w:val="center"/>
              <w:rPr>
                <w:rFonts w:cstheme="minorHAnsi"/>
                <w:i/>
                <w:iCs/>
                <w:lang w:val="en-US"/>
              </w:rPr>
            </w:pPr>
            <w:r w:rsidRPr="00FC0A45">
              <w:rPr>
                <w:rFonts w:cstheme="minorHAnsi"/>
                <w:lang w:val="en-US"/>
              </w:rPr>
              <w:t>&lt;tc1&gt;</w:t>
            </w:r>
          </w:p>
        </w:tc>
        <w:tc>
          <w:tcPr>
            <w:tcW w:w="4064" w:type="dxa"/>
            <w:vAlign w:val="center"/>
          </w:tcPr>
          <w:p w:rsidR="00F302F8" w:rsidRDefault="00F302F8" w:rsidP="00285E1D">
            <w:pPr>
              <w:autoSpaceDE w:val="0"/>
              <w:autoSpaceDN w:val="0"/>
              <w:adjustRightInd w:val="0"/>
              <w:jc w:val="center"/>
              <w:rPr>
                <w:rFonts w:cstheme="minorHAnsi"/>
              </w:rPr>
            </w:pPr>
            <w:r w:rsidRPr="00664E6D">
              <w:rPr>
                <w:rFonts w:cstheme="minorHAnsi"/>
              </w:rPr>
              <w:t>Constante de tiempo de subida (bajada)</w:t>
            </w:r>
          </w:p>
        </w:tc>
        <w:tc>
          <w:tcPr>
            <w:tcW w:w="966" w:type="dxa"/>
            <w:vAlign w:val="center"/>
          </w:tcPr>
          <w:p w:rsidR="00F302F8" w:rsidRDefault="00F302F8" w:rsidP="00285E1D">
            <w:pPr>
              <w:autoSpaceDE w:val="0"/>
              <w:autoSpaceDN w:val="0"/>
              <w:adjustRightInd w:val="0"/>
              <w:jc w:val="center"/>
              <w:rPr>
                <w:rFonts w:cstheme="minorHAnsi"/>
                <w:lang w:val="en-US"/>
              </w:rPr>
            </w:pPr>
            <w:r w:rsidRPr="00FC0A45">
              <w:rPr>
                <w:rFonts w:cstheme="minorHAnsi"/>
                <w:lang w:val="en-US"/>
              </w:rPr>
              <w:t>sec</w:t>
            </w:r>
          </w:p>
        </w:tc>
      </w:tr>
      <w:tr w:rsidR="00F302F8" w:rsidRPr="00FC0A45" w:rsidTr="00285E1D">
        <w:trPr>
          <w:jc w:val="center"/>
        </w:trPr>
        <w:tc>
          <w:tcPr>
            <w:tcW w:w="1319" w:type="dxa"/>
            <w:vAlign w:val="center"/>
          </w:tcPr>
          <w:p w:rsidR="00F302F8" w:rsidRDefault="00F302F8" w:rsidP="00285E1D">
            <w:pPr>
              <w:autoSpaceDE w:val="0"/>
              <w:autoSpaceDN w:val="0"/>
              <w:adjustRightInd w:val="0"/>
              <w:jc w:val="center"/>
              <w:rPr>
                <w:rFonts w:cstheme="minorHAnsi"/>
                <w:i/>
                <w:iCs/>
                <w:lang w:val="en-US"/>
              </w:rPr>
            </w:pPr>
            <w:r w:rsidRPr="00FC0A45">
              <w:rPr>
                <w:rFonts w:cstheme="minorHAnsi"/>
                <w:lang w:val="en-US"/>
              </w:rPr>
              <w:t>&lt;td2&gt;</w:t>
            </w:r>
          </w:p>
        </w:tc>
        <w:tc>
          <w:tcPr>
            <w:tcW w:w="406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Delay de bajada (subida)</w:t>
            </w:r>
          </w:p>
        </w:tc>
        <w:tc>
          <w:tcPr>
            <w:tcW w:w="966" w:type="dxa"/>
            <w:vAlign w:val="center"/>
          </w:tcPr>
          <w:p w:rsidR="00F302F8" w:rsidRDefault="00F302F8" w:rsidP="00285E1D">
            <w:pPr>
              <w:autoSpaceDE w:val="0"/>
              <w:autoSpaceDN w:val="0"/>
              <w:adjustRightInd w:val="0"/>
              <w:jc w:val="center"/>
              <w:rPr>
                <w:rFonts w:cstheme="minorHAnsi"/>
                <w:lang w:val="en-US"/>
              </w:rPr>
            </w:pPr>
            <w:r w:rsidRPr="00FC0A45">
              <w:rPr>
                <w:rFonts w:cstheme="minorHAnsi"/>
                <w:lang w:val="en-US"/>
              </w:rPr>
              <w:t>sec</w:t>
            </w:r>
          </w:p>
        </w:tc>
      </w:tr>
      <w:tr w:rsidR="00F302F8" w:rsidRPr="00FC0A45" w:rsidTr="00285E1D">
        <w:trPr>
          <w:jc w:val="center"/>
        </w:trPr>
        <w:tc>
          <w:tcPr>
            <w:tcW w:w="1319" w:type="dxa"/>
            <w:vAlign w:val="center"/>
          </w:tcPr>
          <w:p w:rsidR="00F302F8" w:rsidRDefault="00F302F8" w:rsidP="00285E1D">
            <w:pPr>
              <w:jc w:val="center"/>
              <w:rPr>
                <w:rFonts w:cstheme="minorHAnsi"/>
                <w:lang w:val="en-US"/>
              </w:rPr>
            </w:pPr>
            <w:r w:rsidRPr="00FC0A45">
              <w:rPr>
                <w:rFonts w:cstheme="minorHAnsi"/>
                <w:lang w:val="en-US"/>
              </w:rPr>
              <w:t>&lt;tc2&gt;</w:t>
            </w:r>
          </w:p>
        </w:tc>
        <w:tc>
          <w:tcPr>
            <w:tcW w:w="4064" w:type="dxa"/>
            <w:vAlign w:val="center"/>
          </w:tcPr>
          <w:p w:rsidR="00F302F8" w:rsidRDefault="00F302F8" w:rsidP="00285E1D">
            <w:pPr>
              <w:jc w:val="center"/>
              <w:rPr>
                <w:rFonts w:cstheme="minorHAnsi"/>
              </w:rPr>
            </w:pPr>
            <w:r w:rsidRPr="00664E6D">
              <w:rPr>
                <w:rFonts w:cstheme="minorHAnsi"/>
              </w:rPr>
              <w:t>Constante de tiempo de bajada (subida)</w:t>
            </w:r>
          </w:p>
        </w:tc>
        <w:tc>
          <w:tcPr>
            <w:tcW w:w="966" w:type="dxa"/>
            <w:vAlign w:val="center"/>
          </w:tcPr>
          <w:p w:rsidR="00F302F8" w:rsidRDefault="00F302F8" w:rsidP="00285E1D">
            <w:pPr>
              <w:jc w:val="center"/>
              <w:rPr>
                <w:rFonts w:cstheme="minorHAnsi"/>
                <w:lang w:val="en-US"/>
              </w:rPr>
            </w:pPr>
            <w:r w:rsidRPr="00FC0A45">
              <w:rPr>
                <w:rFonts w:cstheme="minorHAnsi"/>
                <w:lang w:val="en-US"/>
              </w:rPr>
              <w:t>sec</w:t>
            </w:r>
          </w:p>
        </w:tc>
      </w:tr>
    </w:tbl>
    <w:p w:rsidR="00F302F8" w:rsidRPr="00727432" w:rsidRDefault="00F302F8" w:rsidP="00F302F8">
      <w:pPr>
        <w:pStyle w:val="NormalWeb"/>
        <w:spacing w:before="0" w:beforeAutospacing="0" w:after="0" w:afterAutospacing="0"/>
        <w:rPr>
          <w:rFonts w:ascii="Calibri" w:hAnsi="Calibri" w:cs="Calibri"/>
          <w:i/>
          <w:sz w:val="22"/>
          <w:szCs w:val="22"/>
        </w:rPr>
      </w:pPr>
      <w:r w:rsidRPr="00664E6D">
        <w:rPr>
          <w:rFonts w:ascii="Calibri" w:hAnsi="Calibri" w:cs="Calibri"/>
          <w:i/>
          <w:sz w:val="22"/>
          <w:szCs w:val="22"/>
        </w:rPr>
        <w:t>I_INY1</w:t>
      </w:r>
      <w:r w:rsidRPr="00664E6D">
        <w:rPr>
          <w:rFonts w:ascii="Calibri" w:hAnsi="Calibri" w:cs="Calibri"/>
          <w:i/>
          <w:sz w:val="22"/>
          <w:szCs w:val="22"/>
        </w:rPr>
        <w:tab/>
      </w:r>
      <w:r w:rsidRPr="00664E6D">
        <w:rPr>
          <w:rFonts w:ascii="Calibri" w:hAnsi="Calibri" w:cs="Calibri"/>
          <w:i/>
          <w:sz w:val="22"/>
          <w:szCs w:val="22"/>
        </w:rPr>
        <w:tab/>
      </w:r>
      <w:r w:rsidRPr="00664E6D">
        <w:rPr>
          <w:rFonts w:ascii="Calibri" w:hAnsi="Calibri" w:cs="Calibri"/>
          <w:b/>
          <w:i/>
          <w:sz w:val="22"/>
          <w:szCs w:val="22"/>
        </w:rPr>
        <w:t>NODO</w:t>
      </w:r>
      <w:r w:rsidRPr="00664E6D">
        <w:rPr>
          <w:rFonts w:ascii="Calibri" w:hAnsi="Calibri" w:cs="Calibri"/>
          <w:i/>
          <w:sz w:val="22"/>
          <w:szCs w:val="22"/>
        </w:rPr>
        <w:t xml:space="preserve"> 0 DC 0Adc AC 0Aac </w:t>
      </w:r>
      <w:r w:rsidRPr="00727432">
        <w:rPr>
          <w:rFonts w:ascii="Calibri" w:hAnsi="Calibri" w:cs="Calibri"/>
          <w:i/>
          <w:sz w:val="22"/>
          <w:szCs w:val="22"/>
        </w:rPr>
        <w:t>(NODO: lugar de inyección con respecto a 0)</w:t>
      </w:r>
    </w:p>
    <w:p w:rsidR="00F302F8" w:rsidRPr="00AA28FE"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+EXP</w:t>
      </w:r>
      <w:r w:rsidRPr="00664E6D">
        <w:rPr>
          <w:rFonts w:ascii="Calibri" w:hAnsi="Calibri" w:cs="Calibri"/>
          <w:b/>
          <w:i/>
          <w:sz w:val="22"/>
          <w:szCs w:val="22"/>
        </w:rPr>
        <w:tab/>
      </w:r>
      <w:r w:rsidRPr="00664E6D">
        <w:rPr>
          <w:rFonts w:ascii="Calibri" w:hAnsi="Calibri" w:cs="Calibri"/>
          <w:b/>
          <w:i/>
          <w:sz w:val="22"/>
          <w:szCs w:val="22"/>
        </w:rPr>
        <w:tab/>
        <w:t>0 4m 2n 30p 2.2n 500p</w:t>
      </w:r>
    </w:p>
    <w:p w:rsidR="00F302F8" w:rsidRPr="00AA28FE" w:rsidRDefault="00F302F8" w:rsidP="00F302F8">
      <w:pPr>
        <w:pStyle w:val="Epgrafe"/>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2"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16" w:name="_Ref266984405"/>
      <w:bookmarkStart w:id="17" w:name="_Ref266984402"/>
      <w:r w:rsidRPr="00664E6D">
        <w:t xml:space="preserve"> </w:t>
      </w:r>
    </w:p>
    <w:p w:rsidR="00F302F8" w:rsidRPr="00AA28FE" w:rsidRDefault="00F302F8" w:rsidP="00F302F8">
      <w:pPr>
        <w:pStyle w:val="Epgrafe"/>
      </w:pPr>
      <w:r>
        <w:t xml:space="preserve">Figura </w:t>
      </w:r>
      <w:fldSimple w:instr=" SEQ Figura \* ARABIC ">
        <w:r>
          <w:rPr>
            <w:noProof/>
          </w:rPr>
          <w:t>6</w:t>
        </w:r>
      </w:fldSimple>
      <w:bookmarkEnd w:id="16"/>
      <w:r>
        <w:t>) Grafica del modelo de inyección exponencial.</w:t>
      </w:r>
      <w:bookmarkEnd w:id="17"/>
    </w:p>
    <w:p w:rsidR="00F302F8" w:rsidRPr="00570E5C"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RAMPA</w:t>
      </w:r>
    </w:p>
    <w:p w:rsidR="00F302F8" w:rsidRDefault="00F302F8" w:rsidP="00F302F8">
      <w:r>
        <w:t>Otra opción de modelado de la falla es a través de una rampa (</w:t>
      </w:r>
      <w:r>
        <w:fldChar w:fldCharType="begin"/>
      </w:r>
      <w:r>
        <w:instrText xml:space="preserve"> REF _Ref266990746 \h </w:instrText>
      </w:r>
      <w:r>
        <w:fldChar w:fldCharType="separate"/>
      </w:r>
      <w:r>
        <w:t xml:space="preserve">Figura </w:t>
      </w:r>
      <w:r>
        <w:rPr>
          <w:noProof/>
        </w:rPr>
        <w:t>7</w:t>
      </w:r>
      <w:r>
        <w:fldChar w:fldCharType="end"/>
      </w:r>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r>
        <w:fldChar w:fldCharType="begin"/>
      </w:r>
      <w:r>
        <w:instrText xml:space="preserve"> REF _Ref266986213 \h </w:instrText>
      </w:r>
      <w:r>
        <w:fldChar w:fldCharType="separate"/>
      </w:r>
      <w:r w:rsidRPr="0040462E">
        <w:t xml:space="preserve">Figura </w:t>
      </w:r>
      <w:r>
        <w:rPr>
          <w:noProof/>
        </w:rPr>
        <w:t>3</w:t>
      </w:r>
      <w:r>
        <w:fldChar w:fldCharType="end"/>
      </w:r>
      <w:r>
        <w:t>.</w:t>
      </w:r>
    </w:p>
    <w:p w:rsidR="00F302F8" w:rsidRDefault="00F302F8" w:rsidP="00F302F8">
      <w:r>
        <w:t>La representación en SPICE de la falla rampa modelizada es:</w:t>
      </w:r>
    </w:p>
    <w:p w:rsidR="00F302F8" w:rsidRPr="00746E38" w:rsidRDefault="00F302F8" w:rsidP="00F302F8">
      <w:pPr>
        <w:rPr>
          <w:rFonts w:cstheme="minorHAnsi"/>
          <w:lang w:val="en-US"/>
        </w:rPr>
      </w:pPr>
      <w:r>
        <w:rPr>
          <w:rFonts w:cstheme="minorHAnsi"/>
          <w:b/>
          <w:bCs/>
          <w:lang w:val="en-US"/>
        </w:rPr>
        <w:t>Expresion general</w:t>
      </w:r>
      <w:r>
        <w:rPr>
          <w:rFonts w:cstheme="minorHAnsi"/>
          <w:b/>
          <w:bCs/>
          <w:lang w:val="en-US"/>
        </w:rPr>
        <w:tab/>
      </w:r>
      <w:r w:rsidRPr="00664E6D">
        <w:rPr>
          <w:rFonts w:cstheme="minorHAnsi"/>
          <w:lang w:val="en-US"/>
        </w:rPr>
        <w:t>PULSE (&lt;i1&gt; &lt;i2&gt; &lt;td&gt; &lt;tr&gt; &lt;tf&gt; &lt;pw&gt; &lt;per&gt;)</w:t>
      </w:r>
    </w:p>
    <w:p w:rsidR="00F302F8" w:rsidRPr="00746E38" w:rsidRDefault="00F302F8" w:rsidP="00F302F8">
      <w:pPr>
        <w:autoSpaceDE w:val="0"/>
        <w:autoSpaceDN w:val="0"/>
        <w:adjustRightInd w:val="0"/>
        <w:spacing w:after="0" w:line="240" w:lineRule="auto"/>
        <w:rPr>
          <w:rFonts w:cstheme="minorHAnsi"/>
          <w:b/>
          <w:bCs/>
        </w:rPr>
      </w:pPr>
      <w:r w:rsidRPr="00664E6D">
        <w:rPr>
          <w:rFonts w:cstheme="minorHAnsi"/>
          <w:b/>
          <w:bCs/>
        </w:rPr>
        <w:t>Parametros de la forma de onda</w:t>
      </w:r>
    </w:p>
    <w:tbl>
      <w:tblPr>
        <w:tblStyle w:val="Tablaconcuadrcula"/>
        <w:tblW w:w="0" w:type="auto"/>
        <w:jc w:val="center"/>
        <w:tblLook w:val="04A0"/>
      </w:tblPr>
      <w:tblGrid>
        <w:gridCol w:w="1384"/>
        <w:gridCol w:w="2044"/>
        <w:gridCol w:w="993"/>
      </w:tblGrid>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Parámetros</w:t>
            </w:r>
          </w:p>
        </w:tc>
        <w:tc>
          <w:tcPr>
            <w:tcW w:w="2044"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Descripción</w:t>
            </w:r>
          </w:p>
        </w:tc>
        <w:tc>
          <w:tcPr>
            <w:tcW w:w="993"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Unidad</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&lt;i1&gt;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Corriente inicial</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amp</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lastRenderedPageBreak/>
              <w:t>&lt;i2&gt;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Corriente de pulso</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amp</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&lt;td&gt;</w:t>
            </w:r>
          </w:p>
        </w:tc>
        <w:tc>
          <w:tcPr>
            <w:tcW w:w="204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Delay</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&lt;tf&gt;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Tiempo de bajada</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&lt;tr&gt;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Tiempo de subida</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&lt;pw&gt;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Ancho de pulso</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jc w:val="center"/>
              <w:rPr>
                <w:rFonts w:cstheme="minorHAnsi"/>
              </w:rPr>
            </w:pPr>
            <w:r w:rsidRPr="00746E38">
              <w:rPr>
                <w:rFonts w:cstheme="minorHAnsi"/>
              </w:rPr>
              <w:t>&lt;per&gt;</w:t>
            </w:r>
          </w:p>
        </w:tc>
        <w:tc>
          <w:tcPr>
            <w:tcW w:w="2044" w:type="dxa"/>
            <w:vAlign w:val="center"/>
          </w:tcPr>
          <w:p w:rsidR="00F302F8" w:rsidRDefault="00F302F8" w:rsidP="00285E1D">
            <w:pPr>
              <w:jc w:val="center"/>
              <w:rPr>
                <w:rFonts w:cstheme="minorHAnsi"/>
              </w:rPr>
            </w:pPr>
            <w:r w:rsidRPr="00746E38">
              <w:rPr>
                <w:rFonts w:cstheme="minorHAnsi"/>
              </w:rPr>
              <w:t>Period</w:t>
            </w:r>
            <w:r>
              <w:rPr>
                <w:rFonts w:cstheme="minorHAnsi"/>
              </w:rPr>
              <w:t>o</w:t>
            </w:r>
          </w:p>
        </w:tc>
        <w:tc>
          <w:tcPr>
            <w:tcW w:w="993" w:type="dxa"/>
            <w:vAlign w:val="center"/>
          </w:tcPr>
          <w:p w:rsidR="00F302F8" w:rsidRDefault="00F302F8" w:rsidP="00285E1D">
            <w:pPr>
              <w:jc w:val="center"/>
              <w:rPr>
                <w:rFonts w:cstheme="minorHAnsi"/>
              </w:rPr>
            </w:pPr>
            <w:r w:rsidRPr="00746E38">
              <w:rPr>
                <w:rFonts w:cstheme="minorHAnsi"/>
              </w:rPr>
              <w:t>sec</w:t>
            </w:r>
          </w:p>
        </w:tc>
      </w:tr>
    </w:tbl>
    <w:p w:rsidR="00F302F8" w:rsidRPr="00727432" w:rsidRDefault="00F302F8" w:rsidP="00F302F8">
      <w:pPr>
        <w:pStyle w:val="NormalWeb"/>
        <w:spacing w:before="0" w:beforeAutospacing="0" w:after="0" w:afterAutospacing="0"/>
        <w:rPr>
          <w:rFonts w:ascii="Calibri" w:hAnsi="Calibri" w:cs="Calibri"/>
          <w:i/>
          <w:sz w:val="22"/>
          <w:szCs w:val="22"/>
        </w:rPr>
      </w:pPr>
      <w:r w:rsidRPr="00664E6D">
        <w:rPr>
          <w:rFonts w:ascii="Calibri" w:hAnsi="Calibri" w:cs="Calibri"/>
          <w:i/>
          <w:sz w:val="22"/>
          <w:szCs w:val="22"/>
        </w:rPr>
        <w:t>I_INY1</w:t>
      </w:r>
      <w:r w:rsidRPr="00664E6D">
        <w:rPr>
          <w:rFonts w:ascii="Calibri" w:hAnsi="Calibri" w:cs="Calibri"/>
          <w:i/>
          <w:sz w:val="22"/>
          <w:szCs w:val="22"/>
        </w:rPr>
        <w:tab/>
      </w:r>
      <w:r w:rsidRPr="00664E6D">
        <w:rPr>
          <w:rFonts w:ascii="Calibri" w:hAnsi="Calibri" w:cs="Calibri"/>
          <w:i/>
          <w:sz w:val="22"/>
          <w:szCs w:val="22"/>
        </w:rPr>
        <w:tab/>
      </w:r>
      <w:r w:rsidRPr="00664E6D">
        <w:rPr>
          <w:rFonts w:ascii="Calibri" w:hAnsi="Calibri" w:cs="Calibri"/>
          <w:b/>
          <w:i/>
          <w:sz w:val="22"/>
          <w:szCs w:val="22"/>
        </w:rPr>
        <w:t>NODO</w:t>
      </w:r>
      <w:r w:rsidRPr="00664E6D">
        <w:rPr>
          <w:rFonts w:ascii="Calibri" w:hAnsi="Calibri" w:cs="Calibri"/>
          <w:i/>
          <w:sz w:val="22"/>
          <w:szCs w:val="22"/>
        </w:rPr>
        <w:t xml:space="preserve"> 0 DC 0Adc AC 0Aac (NODO: lugar de inyección con respecto a 0)</w:t>
      </w:r>
    </w:p>
    <w:p w:rsidR="00F302F8" w:rsidRPr="00727432" w:rsidRDefault="00F302F8" w:rsidP="00F302F8">
      <w:pPr>
        <w:pStyle w:val="NormalWeb"/>
        <w:spacing w:before="0" w:beforeAutospacing="0" w:after="0" w:afterAutospacing="0"/>
        <w:rPr>
          <w:rFonts w:ascii="Calibri" w:hAnsi="Calibri" w:cs="Calibri"/>
          <w:b/>
          <w:i/>
          <w:sz w:val="22"/>
          <w:szCs w:val="22"/>
          <w:lang w:val="en-US"/>
        </w:rPr>
      </w:pPr>
      <w:r w:rsidRPr="00664E6D">
        <w:rPr>
          <w:rFonts w:ascii="Calibri" w:hAnsi="Calibri" w:cs="Calibri"/>
          <w:b/>
          <w:i/>
          <w:sz w:val="22"/>
          <w:szCs w:val="22"/>
          <w:lang w:val="en-US"/>
        </w:rPr>
        <w:t>+PULSE</w:t>
      </w:r>
      <w:r w:rsidRPr="00664E6D">
        <w:rPr>
          <w:rFonts w:ascii="Calibri" w:hAnsi="Calibri" w:cs="Calibri"/>
          <w:b/>
          <w:i/>
          <w:sz w:val="22"/>
          <w:szCs w:val="22"/>
          <w:lang w:val="en-US"/>
        </w:rPr>
        <w:tab/>
      </w:r>
      <w:r w:rsidRPr="00664E6D">
        <w:rPr>
          <w:rFonts w:ascii="Calibri" w:hAnsi="Calibri" w:cs="Calibri"/>
          <w:b/>
          <w:i/>
          <w:sz w:val="22"/>
          <w:szCs w:val="22"/>
          <w:lang w:val="en-US"/>
        </w:rPr>
        <w:tab/>
        <w:t>0 4m 2n 250p 250p 5n 0</w:t>
      </w:r>
    </w:p>
    <w:p w:rsidR="00F302F8" w:rsidRDefault="00F302F8" w:rsidP="00F302F8">
      <w:pPr>
        <w:pStyle w:val="Epgrafe"/>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3"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F302F8" w:rsidRDefault="00F302F8" w:rsidP="00F302F8">
      <w:pPr>
        <w:pStyle w:val="Epgrafe"/>
      </w:pPr>
      <w:bookmarkStart w:id="18" w:name="_Ref266990746"/>
      <w:r>
        <w:t xml:space="preserve">Figura </w:t>
      </w:r>
      <w:fldSimple w:instr=" SEQ Figura \* ARABIC ">
        <w:r>
          <w:rPr>
            <w:noProof/>
          </w:rPr>
          <w:t>7</w:t>
        </w:r>
      </w:fldSimple>
      <w:bookmarkEnd w:id="18"/>
      <w:r>
        <w:t>) Grafica del modelo de inyección rampa.</w:t>
      </w:r>
    </w:p>
    <w:p w:rsidR="00F302F8" w:rsidRDefault="00F302F8" w:rsidP="00F302F8">
      <w:r w:rsidRPr="00707401">
        <w:t xml:space="preserve">En ambos casos de modelado, </w:t>
      </w:r>
      <w:r>
        <w:t xml:space="preserve">las características de corriente máxima y tiempos de perturbación fueron elegidas en base a bibliografías </w:t>
      </w:r>
      <w:r w:rsidRPr="00707401">
        <w:rPr>
          <w:color w:val="FF0000"/>
          <w:highlight w:val="yellow"/>
        </w:rPr>
        <w:t>XXXXX</w:t>
      </w:r>
      <w:r w:rsidRPr="00707401">
        <w:rPr>
          <w:color w:val="FF0000"/>
        </w:rPr>
        <w:t xml:space="preserve"> </w:t>
      </w:r>
      <w:r>
        <w:t xml:space="preserve">que realizaron estudios similares. </w:t>
      </w:r>
    </w:p>
    <w:p w:rsidR="00FE774D" w:rsidRDefault="00F302F8">
      <w:r>
        <w:t>En los procesos de inyección, se deja un tiempo de reposo del circuito (sin perturbaciones) durante 2nS en los cuales el sistema se estabiliza. A diferencia del modelado exponencial, el modelo de falla tipo rampa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FE774D"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F10" w:rsidRDefault="00D14F10" w:rsidP="00F302F8">
      <w:pPr>
        <w:spacing w:after="0" w:line="240" w:lineRule="auto"/>
      </w:pPr>
      <w:r>
        <w:separator/>
      </w:r>
    </w:p>
  </w:endnote>
  <w:endnote w:type="continuationSeparator" w:id="0">
    <w:p w:rsidR="00D14F10" w:rsidRDefault="00D14F10"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F10" w:rsidRDefault="00D14F10" w:rsidP="00F302F8">
      <w:pPr>
        <w:spacing w:after="0" w:line="240" w:lineRule="auto"/>
      </w:pPr>
      <w:r>
        <w:separator/>
      </w:r>
    </w:p>
  </w:footnote>
  <w:footnote w:type="continuationSeparator" w:id="0">
    <w:p w:rsidR="00D14F10" w:rsidRDefault="00D14F10" w:rsidP="00F302F8">
      <w:pPr>
        <w:spacing w:after="0" w:line="240" w:lineRule="auto"/>
      </w:pPr>
      <w:r>
        <w:continuationSeparator/>
      </w:r>
    </w:p>
  </w:footnote>
  <w:footnote w:id="1">
    <w:p w:rsidR="00F302F8" w:rsidRPr="0021684E" w:rsidRDefault="00F302F8" w:rsidP="00F302F8">
      <w:pPr>
        <w:pStyle w:val="Textonotapie"/>
        <w:rPr>
          <w:lang w:val="en-US"/>
        </w:rPr>
      </w:pPr>
      <w:r>
        <w:rPr>
          <w:rStyle w:val="Refdenotaalpie"/>
        </w:rPr>
        <w:footnoteRef/>
      </w:r>
      <w:r w:rsidRPr="0021684E">
        <w:rPr>
          <w:lang w:val="en-US"/>
        </w:rPr>
        <w:t xml:space="preserve"> </w:t>
      </w:r>
      <w:r w:rsidRPr="0021684E">
        <w:rPr>
          <w:rFonts w:ascii="Arial" w:hAnsi="Arial" w:cs="Arial"/>
          <w:highlight w:val="yellow"/>
          <w:lang w:val="en-US"/>
        </w:rPr>
        <w:t>A. Taber and E. Normand, "Investigation and Characterization of SEU Effects and Hardening Strategies in Avionics", IBM Report 92-L75-020-2, August, 1992, republished as DNA-Report DNA-TR-94-123, DNA, Feb, 1995</w:t>
      </w:r>
    </w:p>
  </w:footnote>
  <w:footnote w:id="2">
    <w:p w:rsidR="00F302F8" w:rsidRPr="0021684E" w:rsidRDefault="00F302F8" w:rsidP="00F302F8">
      <w:pPr>
        <w:pStyle w:val="Textonotapie"/>
        <w:rPr>
          <w:lang w:val="en-US"/>
        </w:rPr>
      </w:pPr>
      <w:r>
        <w:rPr>
          <w:rStyle w:val="Refdenotaalpie"/>
        </w:rPr>
        <w:footnoteRef/>
      </w:r>
      <w:r w:rsidRPr="0021684E">
        <w:rPr>
          <w:lang w:val="en-US"/>
        </w:rPr>
        <w:t xml:space="preserve"> </w:t>
      </w:r>
      <w:r w:rsidRPr="0021684E">
        <w:rPr>
          <w:rFonts w:ascii="Arial" w:hAnsi="Arial" w:cs="Arial"/>
          <w:highlight w:val="yellow"/>
          <w:lang w:val="en-US"/>
        </w:rPr>
        <w:t xml:space="preserve">Single Event Upset at Ground Level Eugene Normand, </w:t>
      </w:r>
      <w:r w:rsidRPr="0021684E">
        <w:rPr>
          <w:rFonts w:ascii="Arial" w:hAnsi="Arial" w:cs="Arial"/>
          <w:iCs/>
          <w:highlight w:val="yellow"/>
          <w:lang w:val="en-US"/>
        </w:rPr>
        <w:t>Member, IEEE Boeing Defense &amp; Space Group, Seattle, WA 98124-2499</w:t>
      </w:r>
    </w:p>
  </w:footnote>
  <w:footnote w:id="3">
    <w:p w:rsidR="00F302F8" w:rsidRPr="009C5050" w:rsidRDefault="00F302F8" w:rsidP="00F302F8">
      <w:pPr>
        <w:pStyle w:val="Textonotapie"/>
        <w:rPr>
          <w:lang w:val="en-US"/>
        </w:rPr>
      </w:pPr>
      <w:r>
        <w:rPr>
          <w:rStyle w:val="Refdenotaalpie"/>
        </w:rPr>
        <w:footnoteRef/>
      </w:r>
      <w:r w:rsidRPr="009C5050">
        <w:rPr>
          <w:lang w:val="en-US"/>
        </w:rPr>
        <w:t xml:space="preserve"> </w:t>
      </w:r>
      <w:r w:rsidRPr="003A4E79">
        <w:rPr>
          <w:i/>
          <w:highlight w:val="yellow"/>
          <w:lang w:val="en-US" w:eastAsia="es-AR"/>
        </w:rPr>
        <w:t>JEDEC Standard JESD 89A, “Measurement and Reporting of Alpha Particle and Terrestrial Cosmic Ray-Induced Soft Errors in Semiconductor Devices”, 2006</w:t>
      </w:r>
      <w:r w:rsidRPr="003A4E79">
        <w:rPr>
          <w:b/>
          <w:i/>
          <w:highlight w:val="yellow"/>
          <w:lang w:val="en-US" w:eastAsia="es-AR"/>
        </w:rPr>
        <w:t>.</w:t>
      </w:r>
      <w:r w:rsidRPr="003A4E79">
        <w:rPr>
          <w:highlight w:val="yellow"/>
          <w:lang w:val="en-US"/>
        </w:rPr>
        <w:t>[/</w:t>
      </w:r>
    </w:p>
  </w:footnote>
  <w:footnote w:id="4">
    <w:p w:rsidR="00F302F8" w:rsidRPr="009C5050" w:rsidRDefault="00F302F8" w:rsidP="00F302F8">
      <w:pPr>
        <w:pStyle w:val="Textonotapie"/>
        <w:rPr>
          <w:lang w:val="en-US"/>
        </w:rPr>
      </w:pPr>
      <w:r>
        <w:rPr>
          <w:rStyle w:val="Refdenotaalpie"/>
        </w:rPr>
        <w:footnoteRef/>
      </w:r>
      <w:r w:rsidRPr="009C5050">
        <w:rPr>
          <w:lang w:val="en-US"/>
        </w:rPr>
        <w:t xml:space="preserve"> </w:t>
      </w:r>
      <w:r w:rsidRPr="00C96C1F">
        <w:rPr>
          <w:lang w:val="en-US"/>
        </w:rPr>
        <w:t>Space Environments &amp; Effects Program, NASA Marshall Space Flight Center</w:t>
      </w:r>
    </w:p>
  </w:footnote>
  <w:footnote w:id="5">
    <w:p w:rsidR="00F302F8" w:rsidRPr="009C5050" w:rsidRDefault="00F302F8" w:rsidP="00F302F8">
      <w:pPr>
        <w:pStyle w:val="Textonotapie"/>
        <w:rPr>
          <w:lang w:val="en-US"/>
        </w:rPr>
      </w:pPr>
      <w:r>
        <w:rPr>
          <w:rStyle w:val="Refdenotaalpie"/>
        </w:rPr>
        <w:footnoteRef/>
      </w:r>
      <w:r w:rsidRPr="009C5050">
        <w:rPr>
          <w:lang w:val="en-US"/>
        </w:rPr>
        <w:t xml:space="preserve"> </w:t>
      </w:r>
      <w:r w:rsidRPr="00FF52AF">
        <w:rPr>
          <w:rFonts w:ascii="Arial" w:hAnsi="Arial" w:cs="Arial"/>
          <w:sz w:val="18"/>
          <w:szCs w:val="18"/>
          <w:lang w:val="en-US"/>
        </w:rPr>
        <w:t xml:space="preserve">Robert Baumann. </w:t>
      </w:r>
      <w:r w:rsidRPr="00FF52AF">
        <w:rPr>
          <w:rFonts w:ascii="Arial" w:hAnsi="Arial" w:cs="Arial"/>
          <w:i/>
          <w:iCs/>
          <w:sz w:val="18"/>
          <w:szCs w:val="18"/>
          <w:lang w:val="en-US"/>
        </w:rPr>
        <w:t>Handbook of semiconductor manufacturing tecnology</w:t>
      </w:r>
      <w:r w:rsidRPr="00FF52AF">
        <w:rPr>
          <w:rFonts w:ascii="Arial" w:hAnsi="Arial" w:cs="Arial"/>
          <w:sz w:val="18"/>
          <w:szCs w:val="18"/>
          <w:lang w:val="en-US"/>
        </w:rPr>
        <w:t>, chapter chapter 31, pages 31–1 to 31–23. Taylor &amp; Francis Group, LCC, second edition, 2007.</w:t>
      </w:r>
    </w:p>
  </w:footnote>
  <w:footnote w:id="6">
    <w:p w:rsidR="00F302F8" w:rsidRPr="009C5050" w:rsidRDefault="00F302F8" w:rsidP="00F302F8">
      <w:pPr>
        <w:pStyle w:val="Textonotapie"/>
        <w:rPr>
          <w:lang w:val="en-US"/>
        </w:rPr>
      </w:pPr>
      <w:r>
        <w:rPr>
          <w:rStyle w:val="Refdenotaalpie"/>
        </w:rPr>
        <w:footnoteRef/>
      </w:r>
      <w:r w:rsidRPr="009C5050">
        <w:rPr>
          <w:lang w:val="en-US"/>
        </w:rPr>
        <w:t xml:space="preserve"> </w:t>
      </w:r>
      <w:r w:rsidRPr="00FF52AF">
        <w:rPr>
          <w:rFonts w:ascii="Arial" w:hAnsi="Arial" w:cs="Arial"/>
          <w:sz w:val="18"/>
          <w:szCs w:val="18"/>
          <w:lang w:val="en-US"/>
        </w:rPr>
        <w:t xml:space="preserve">L. W. Massengill P. E. Dodd. Basic mechanisms and modeling of singleevent upset in digital microelectronics. </w:t>
      </w:r>
      <w:r w:rsidRPr="00FF52AF">
        <w:rPr>
          <w:rFonts w:ascii="Arial" w:hAnsi="Arial" w:cs="Arial"/>
          <w:i/>
          <w:iCs/>
          <w:sz w:val="18"/>
          <w:szCs w:val="18"/>
          <w:lang w:val="en-US"/>
        </w:rPr>
        <w:t>IEEE Trans. Nucl. Sci.</w:t>
      </w:r>
      <w:r w:rsidRPr="00FF52AF">
        <w:rPr>
          <w:rFonts w:ascii="Arial" w:hAnsi="Arial" w:cs="Arial"/>
          <w:sz w:val="18"/>
          <w:szCs w:val="18"/>
          <w:lang w:val="en-US"/>
        </w:rPr>
        <w:t>, vol. 50(no. 3), June 2003.</w:t>
      </w:r>
    </w:p>
  </w:footnote>
  <w:footnote w:id="7">
    <w:p w:rsidR="00F302F8" w:rsidRPr="00CA1FFF" w:rsidRDefault="00F302F8" w:rsidP="00F302F8">
      <w:pPr>
        <w:pStyle w:val="Textonotapie"/>
        <w:rPr>
          <w:lang w:val="en-US"/>
        </w:rPr>
      </w:pPr>
      <w:r>
        <w:rPr>
          <w:rStyle w:val="Refdenotaalpie"/>
        </w:rPr>
        <w:footnoteRef/>
      </w:r>
      <w:r w:rsidRPr="00CA1FFF">
        <w:rPr>
          <w:lang w:val="en-US"/>
        </w:rPr>
        <w:t xml:space="preserve"> </w:t>
      </w:r>
      <w:r w:rsidRPr="00C42594">
        <w:rPr>
          <w:rFonts w:cstheme="minorHAnsi"/>
          <w:i/>
          <w:iCs/>
          <w:szCs w:val="22"/>
          <w:lang w:val="en-US"/>
        </w:rPr>
        <w:t>Spacecraft Anomalies due to Radiation Environment in Space</w:t>
      </w:r>
      <w:r w:rsidRPr="00C42594">
        <w:rPr>
          <w:rStyle w:val="apple-converted-space"/>
          <w:rFonts w:cstheme="minorHAnsi"/>
          <w:szCs w:val="22"/>
          <w:lang w:val="en-US"/>
        </w:rPr>
        <w:t> </w:t>
      </w:r>
      <w:r w:rsidRPr="00C42594">
        <w:rPr>
          <w:rFonts w:cstheme="minorHAnsi"/>
          <w:szCs w:val="22"/>
          <w:lang w:val="en-US"/>
        </w:rPr>
        <w:t>by Lauriente and Vampola</w:t>
      </w:r>
      <w:r>
        <w:rPr>
          <w:rFonts w:cstheme="minorHAnsi"/>
          <w:szCs w:val="22"/>
          <w:lang w:val="en-US"/>
        </w:rPr>
        <w:t>.</w:t>
      </w:r>
    </w:p>
  </w:footnote>
  <w:footnote w:id="8">
    <w:p w:rsidR="00F302F8" w:rsidRPr="00CA1FFF" w:rsidRDefault="00F302F8" w:rsidP="00F302F8">
      <w:pPr>
        <w:pStyle w:val="Textonotapie"/>
        <w:rPr>
          <w:lang w:val="en-US"/>
        </w:rPr>
      </w:pPr>
      <w:r>
        <w:rPr>
          <w:rStyle w:val="Refdenotaalpie"/>
        </w:rPr>
        <w:footnoteRef/>
      </w:r>
      <w:r w:rsidRPr="00CA1FFF">
        <w:rPr>
          <w:lang w:val="en-US"/>
        </w:rPr>
        <w:t xml:space="preserve"> </w:t>
      </w:r>
      <w:r w:rsidRPr="00CA1FFF">
        <w:rPr>
          <w:highlight w:val="yellow"/>
          <w:lang w:val="en-US" w:eastAsia="es-AR"/>
        </w:rPr>
        <w:t>NASA Thesaurus</w:t>
      </w:r>
    </w:p>
  </w:footnote>
  <w:footnote w:id="9">
    <w:p w:rsidR="00F302F8" w:rsidRPr="00790EA6" w:rsidRDefault="00F302F8" w:rsidP="00F302F8">
      <w:pPr>
        <w:pStyle w:val="Textonotapie"/>
        <w:rPr>
          <w:lang w:val="en-US"/>
        </w:rPr>
      </w:pPr>
      <w:r>
        <w:rPr>
          <w:rStyle w:val="Refdenotaalpie"/>
        </w:rPr>
        <w:footnoteRef/>
      </w:r>
      <w:r w:rsidRPr="00790EA6">
        <w:rPr>
          <w:lang w:val="en-US"/>
        </w:rPr>
        <w:t xml:space="preserve"> </w:t>
      </w:r>
      <w:r w:rsidRPr="00FF52AF">
        <w:rPr>
          <w:rStyle w:val="apple-style-span"/>
          <w:rFonts w:ascii="Arial" w:hAnsi="Arial" w:cs="Arial"/>
          <w:color w:val="000000"/>
          <w:sz w:val="18"/>
          <w:szCs w:val="18"/>
          <w:lang w:val="en-US"/>
        </w:rPr>
        <w:t>I. Mouret, M. Allenspach, R.D. Schrimpf, J.R. Brews, K.F. Galloway, P. Calvel, "Temperature and angular dependence of substrate response in SEGR,"</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41, no. 6, pp. 2216-2221, 1994.</w:t>
      </w:r>
    </w:p>
  </w:footnote>
  <w:footnote w:id="10">
    <w:p w:rsidR="00F302F8" w:rsidRPr="00790EA6" w:rsidRDefault="00F302F8" w:rsidP="00F302F8">
      <w:pPr>
        <w:pStyle w:val="Textonotapie"/>
        <w:rPr>
          <w:lang w:val="en-US"/>
        </w:rPr>
      </w:pPr>
      <w:r>
        <w:rPr>
          <w:rStyle w:val="Refdenotaalpie"/>
        </w:rPr>
        <w:footnoteRef/>
      </w:r>
      <w:r w:rsidRPr="00790EA6">
        <w:rPr>
          <w:lang w:val="en-US"/>
        </w:rPr>
        <w:t xml:space="preserve"> </w:t>
      </w:r>
      <w:r w:rsidRPr="00FF52AF">
        <w:rPr>
          <w:rStyle w:val="apple-style-span"/>
          <w:rFonts w:ascii="Arial" w:hAnsi="Arial" w:cs="Arial"/>
          <w:color w:val="000000"/>
          <w:sz w:val="18"/>
          <w:szCs w:val="18"/>
          <w:lang w:val="en-US"/>
        </w:rPr>
        <w:t>G.H. Johnson, R.D. Schrimpf, K.F. Galloway, R. Koga, "Temperature dependence of single-event burnout in n-channel power MOSFETs,"</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39, pp. 1605-1612, 1992.</w:t>
      </w:r>
    </w:p>
  </w:footnote>
  <w:footnote w:id="11">
    <w:p w:rsidR="00F302F8" w:rsidRPr="00790EA6" w:rsidRDefault="00F302F8" w:rsidP="00F302F8">
      <w:pPr>
        <w:pStyle w:val="Textonotapie"/>
        <w:rPr>
          <w:lang w:val="en-US"/>
        </w:rPr>
      </w:pPr>
      <w:r>
        <w:rPr>
          <w:rStyle w:val="Refdenotaalpie"/>
        </w:rPr>
        <w:footnoteRef/>
      </w:r>
      <w:r w:rsidRPr="00790EA6">
        <w:rPr>
          <w:lang w:val="en-US"/>
        </w:rPr>
        <w:t xml:space="preserve"> </w:t>
      </w:r>
      <w:hyperlink r:id="rId1" w:history="1">
        <w:r w:rsidRPr="00FF52AF">
          <w:rPr>
            <w:rStyle w:val="Hipervnculo"/>
            <w:rFonts w:ascii="Arial" w:hAnsi="Arial" w:cs="Arial"/>
            <w:sz w:val="18"/>
            <w:szCs w:val="18"/>
            <w:lang w:val="en-US"/>
          </w:rPr>
          <w:t>http://holbert.faculty.asu.edu/eee560/see.html</w:t>
        </w:r>
      </w:hyperlink>
    </w:p>
  </w:footnote>
  <w:footnote w:id="12">
    <w:p w:rsidR="00F302F8" w:rsidRPr="001B7718" w:rsidRDefault="00F302F8" w:rsidP="00F302F8">
      <w:pPr>
        <w:pStyle w:val="Textonotapie"/>
        <w:rPr>
          <w:lang w:val="en-US"/>
        </w:rPr>
      </w:pPr>
      <w:r>
        <w:rPr>
          <w:rStyle w:val="Refdenotaalpie"/>
        </w:rPr>
        <w:footnoteRef/>
      </w:r>
      <w:r w:rsidRPr="001B7718">
        <w:rPr>
          <w:lang w:val="en-US"/>
        </w:rPr>
        <w:t xml:space="preserve"> </w:t>
      </w:r>
      <w:r w:rsidRPr="00FF52AF">
        <w:rPr>
          <w:rStyle w:val="apple-style-span"/>
          <w:rFonts w:ascii="Arial" w:hAnsi="Arial" w:cs="Arial"/>
          <w:color w:val="000000"/>
          <w:sz w:val="18"/>
          <w:szCs w:val="18"/>
          <w:lang w:val="en-US"/>
        </w:rPr>
        <w:t>G.C. Messenger, M.S. Ash,</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The Effects of Radiation on Electronic Systems</w:t>
      </w:r>
      <w:r w:rsidRPr="00FF52AF">
        <w:rPr>
          <w:rStyle w:val="apple-style-span"/>
          <w:rFonts w:ascii="Arial" w:hAnsi="Arial" w:cs="Arial"/>
          <w:color w:val="000000"/>
          <w:sz w:val="18"/>
          <w:szCs w:val="18"/>
          <w:lang w:val="en-US"/>
        </w:rPr>
        <w:t>, 2nd edition, Van Nostrand Reinhold, NY, 1992.</w:t>
      </w:r>
    </w:p>
  </w:footnote>
  <w:footnote w:id="13">
    <w:p w:rsidR="00F302F8" w:rsidRPr="001B7718" w:rsidRDefault="00F302F8" w:rsidP="00F302F8">
      <w:pPr>
        <w:pStyle w:val="Textonotapie"/>
        <w:rPr>
          <w:lang w:val="en-US"/>
        </w:rPr>
      </w:pPr>
      <w:r>
        <w:rPr>
          <w:rStyle w:val="Refdenotaalpie"/>
        </w:rPr>
        <w:footnoteRef/>
      </w:r>
      <w:r w:rsidRPr="001B7718">
        <w:rPr>
          <w:lang w:val="en-US"/>
        </w:rPr>
        <w:t xml:space="preserve"> </w:t>
      </w:r>
      <w:r w:rsidRPr="00FF52AF">
        <w:rPr>
          <w:rStyle w:val="apple-style-span"/>
          <w:rFonts w:ascii="Arial" w:hAnsi="Arial" w:cs="Arial"/>
          <w:color w:val="000000"/>
          <w:sz w:val="18"/>
          <w:szCs w:val="18"/>
          <w:lang w:val="en-US"/>
        </w:rPr>
        <w:t>K. LaBel, "Single event effects specification,"</w:t>
      </w:r>
      <w:r w:rsidRPr="00FF52AF">
        <w:rPr>
          <w:rStyle w:val="apple-converted-space"/>
          <w:rFonts w:ascii="Arial" w:hAnsi="Arial" w:cs="Arial"/>
          <w:color w:val="000000"/>
          <w:sz w:val="18"/>
          <w:szCs w:val="18"/>
          <w:lang w:val="en-US"/>
        </w:rPr>
        <w:t> </w:t>
      </w:r>
      <w:hyperlink r:id="rId2" w:history="1">
        <w:r w:rsidRPr="00FF52AF">
          <w:rPr>
            <w:rStyle w:val="Hipervnculo"/>
            <w:rFonts w:ascii="Arial" w:hAnsi="Arial" w:cs="Arial"/>
            <w:sz w:val="18"/>
            <w:szCs w:val="18"/>
            <w:lang w:val="en-US"/>
          </w:rPr>
          <w:t>radhome.gsfc.nasa.gov/radhome/papers/seespec.htm</w:t>
        </w:r>
      </w:hyperlink>
      <w:r w:rsidRPr="00FF52AF">
        <w:rPr>
          <w:rStyle w:val="apple-style-span"/>
          <w:rFonts w:ascii="Arial" w:hAnsi="Arial" w:cs="Arial"/>
          <w:color w:val="000000"/>
          <w:sz w:val="18"/>
          <w:szCs w:val="18"/>
          <w:lang w:val="en-US"/>
        </w:rPr>
        <w:t>, 1993</w:t>
      </w:r>
      <w:r>
        <w:rPr>
          <w:rStyle w:val="apple-style-span"/>
          <w:rFonts w:ascii="Arial" w:hAnsi="Arial" w:cs="Arial"/>
          <w:color w:val="000000"/>
          <w:sz w:val="18"/>
          <w:szCs w:val="18"/>
          <w:lang w:val="en-US"/>
        </w:rPr>
        <w:t>.</w:t>
      </w:r>
    </w:p>
  </w:footnote>
  <w:footnote w:id="14">
    <w:p w:rsidR="00F302F8" w:rsidRPr="001B7718" w:rsidRDefault="00F302F8" w:rsidP="00F302F8">
      <w:pPr>
        <w:pStyle w:val="Textonotapie"/>
        <w:rPr>
          <w:lang w:val="en-US"/>
        </w:rPr>
      </w:pPr>
      <w:r>
        <w:rPr>
          <w:rStyle w:val="Refdenotaalpie"/>
        </w:rPr>
        <w:footnoteRef/>
      </w:r>
      <w:r w:rsidRPr="001B7718">
        <w:rPr>
          <w:lang w:val="en-US"/>
        </w:rPr>
        <w:t xml:space="preserve"> </w:t>
      </w:r>
      <w:hyperlink r:id="rId3" w:history="1">
        <w:r w:rsidRPr="00322859">
          <w:rPr>
            <w:rStyle w:val="Hipervnculo"/>
            <w:rFonts w:ascii="Arial" w:hAnsi="Arial" w:cs="Arial"/>
            <w:lang w:val="en-US"/>
          </w:rPr>
          <w:t>http://holbert.faculty.asu.edu/eee560/see.html</w:t>
        </w:r>
      </w:hyperlink>
      <w:r w:rsidRPr="001B7718">
        <w:rPr>
          <w:lang w:val="en-US"/>
        </w:rPr>
        <w:t>.</w:t>
      </w:r>
    </w:p>
  </w:footnote>
  <w:footnote w:id="15">
    <w:p w:rsidR="00F302F8" w:rsidRPr="00FA70FA" w:rsidRDefault="00F302F8" w:rsidP="00F302F8">
      <w:pPr>
        <w:pStyle w:val="Textonotapie"/>
        <w:rPr>
          <w:lang w:val="en-US"/>
        </w:rPr>
      </w:pPr>
      <w:r>
        <w:rPr>
          <w:rStyle w:val="Refdenotaalpie"/>
        </w:rPr>
        <w:footnoteRef/>
      </w:r>
      <w:r w:rsidRPr="00FA70FA">
        <w:rPr>
          <w:lang w:val="en-US"/>
        </w:rPr>
        <w:t xml:space="preserve"> </w:t>
      </w:r>
      <w:r w:rsidRPr="00FF52AF">
        <w:rPr>
          <w:rFonts w:ascii="Arial" w:hAnsi="Arial" w:cs="Arial"/>
          <w:sz w:val="18"/>
          <w:szCs w:val="18"/>
          <w:lang w:val="en-US"/>
        </w:rPr>
        <w:t xml:space="preserve">G. C. Messenger. Collection of charge on junction nodes from ion tracks. </w:t>
      </w:r>
      <w:r w:rsidRPr="00FA70FA">
        <w:rPr>
          <w:rFonts w:ascii="Arial" w:hAnsi="Arial" w:cs="Arial"/>
          <w:i/>
          <w:iCs/>
          <w:sz w:val="18"/>
          <w:szCs w:val="18"/>
          <w:lang w:val="en-US"/>
        </w:rPr>
        <w:t>IEEE Trans. Nucl. Sci.</w:t>
      </w:r>
      <w:r w:rsidRPr="00FA70FA">
        <w:rPr>
          <w:rFonts w:ascii="Arial" w:hAnsi="Arial" w:cs="Arial"/>
          <w:sz w:val="18"/>
          <w:szCs w:val="18"/>
          <w:lang w:val="en-US"/>
        </w:rPr>
        <w:t>, pages pp. 20024–2031, 1982.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F302F8"/>
    <w:rsid w:val="00781482"/>
    <w:rsid w:val="00D14F10"/>
    <w:rsid w:val="00F302F8"/>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302F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302F8"/>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302F8"/>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2916</Words>
  <Characters>16041</Characters>
  <Application>Microsoft Office Word</Application>
  <DocSecurity>0</DocSecurity>
  <Lines>133</Lines>
  <Paragraphs>37</Paragraphs>
  <ScaleCrop>false</ScaleCrop>
  <Company/>
  <LinksUpToDate>false</LinksUpToDate>
  <CharactersWithSpaces>18920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cp:revision>
  <dcterms:created xsi:type="dcterms:W3CDTF">2010-07-24T19:30:00Z</dcterms:created>
  <dcterms:modified xsi:type="dcterms:W3CDTF">2010-07-24T19:32:00Z</dcterms:modified>
</cp:coreProperties>
</file>