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DE714D" w:rsidRDefault="00F302F8" w:rsidP="00DE714D">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933B61">
            <w:rPr>
              <w:lang w:eastAsia="es-AR"/>
            </w:rPr>
            <w:fldChar w:fldCharType="begin"/>
          </w:r>
          <w:r w:rsidR="00E22568">
            <w:rPr>
              <w:lang w:eastAsia="es-AR"/>
            </w:rPr>
            <w:instrText xml:space="preserve"> CITATION JED06 \l 11274 </w:instrText>
          </w:r>
          <w:r w:rsidR="00933B61">
            <w:rPr>
              <w:lang w:eastAsia="es-AR"/>
            </w:rPr>
            <w:fldChar w:fldCharType="separate"/>
          </w:r>
          <w:r w:rsidR="00E22568">
            <w:rPr>
              <w:noProof/>
              <w:lang w:eastAsia="es-AR"/>
            </w:rPr>
            <w:t xml:space="preserve"> (3)</w:t>
          </w:r>
          <w:r w:rsidR="00933B61">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B0043A">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w:t>
      </w:r>
      <w:r w:rsidR="00F22B34">
        <w:t xml:space="preserve"> (</w:t>
      </w:r>
      <w:r w:rsidR="00933B61">
        <w:fldChar w:fldCharType="begin"/>
      </w:r>
      <w:r w:rsidR="008D175C">
        <w:instrText xml:space="preserve"> REF _Ref268963942 \h </w:instrText>
      </w:r>
      <w:r w:rsidR="00933B61">
        <w:fldChar w:fldCharType="separate"/>
      </w:r>
      <w:r w:rsidR="00F22B34" w:rsidRPr="009C5050">
        <w:t xml:space="preserve">Figura </w:t>
      </w:r>
      <w:r w:rsidR="00F22B34">
        <w:rPr>
          <w:noProof/>
        </w:rPr>
        <w:t>1</w:t>
      </w:r>
      <w:r w:rsidR="00933B61">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4" w:name="_Ref268963942"/>
      <w:r w:rsidRPr="009C5050">
        <w:t xml:space="preserve">Figura </w:t>
      </w:r>
      <w:r w:rsidR="00933B61">
        <w:fldChar w:fldCharType="begin"/>
      </w:r>
      <w:r w:rsidRPr="009C5050">
        <w:instrText xml:space="preserve"> SEQ Figura \* ARABIC </w:instrText>
      </w:r>
      <w:r w:rsidR="00933B61">
        <w:fldChar w:fldCharType="separate"/>
      </w:r>
      <w:r w:rsidR="00741B54">
        <w:rPr>
          <w:noProof/>
        </w:rPr>
        <w:t>1</w:t>
      </w:r>
      <w:r w:rsidR="00933B61">
        <w:fldChar w:fldCharType="end"/>
      </w:r>
      <w:bookmarkEnd w:id="4"/>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00385C7A"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933B61"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933B61"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933B61"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8" w:name="_Ref266986213"/>
      <w:r w:rsidRPr="0040462E">
        <w:t xml:space="preserve">Figura </w:t>
      </w:r>
      <w:fldSimple w:instr=" SEQ Figura \* ARABIC ">
        <w:r w:rsidR="00741B54">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 a lo largo de de su trayectoria mientras va perdiendo energía. Cuando toda la energía es liberada, la partícula descansa en el semiconductor, habiendo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w:t>
      </w:r>
      <w:r w:rsidRPr="00C42594">
        <w:lastRenderedPageBreak/>
        <w:t xml:space="preserve">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7457C4" w:rsidRPr="00385C7A" w:rsidRDefault="00F302F8" w:rsidP="00385C7A">
      <w:pPr>
        <w:jc w:val="center"/>
        <w:rPr>
          <w:b/>
          <w:color w:val="4F81BD" w:themeColor="accent1"/>
          <w:sz w:val="18"/>
        </w:rPr>
      </w:pPr>
      <w:bookmarkStart w:id="12" w:name="_Ref268964126"/>
      <w:r w:rsidRPr="00385C7A">
        <w:rPr>
          <w:b/>
          <w:color w:val="4F81BD" w:themeColor="accent1"/>
          <w:sz w:val="18"/>
        </w:rPr>
        <w:t xml:space="preserve">Figura </w:t>
      </w:r>
      <w:r w:rsidR="00933B61" w:rsidRPr="00385C7A">
        <w:rPr>
          <w:b/>
          <w:color w:val="4F81BD" w:themeColor="accent1"/>
          <w:sz w:val="18"/>
        </w:rPr>
        <w:fldChar w:fldCharType="begin"/>
      </w:r>
      <w:r w:rsidR="00933B61" w:rsidRPr="00385C7A">
        <w:rPr>
          <w:b/>
          <w:color w:val="4F81BD" w:themeColor="accent1"/>
          <w:sz w:val="18"/>
        </w:rPr>
        <w:instrText xml:space="preserve"> SEQ Figura \* ARABIC </w:instrText>
      </w:r>
      <w:r w:rsidR="00933B61" w:rsidRPr="00385C7A">
        <w:rPr>
          <w:b/>
          <w:color w:val="4F81BD" w:themeColor="accent1"/>
          <w:sz w:val="18"/>
        </w:rPr>
        <w:fldChar w:fldCharType="separate"/>
      </w:r>
      <w:r w:rsidR="00741B54" w:rsidRPr="00385C7A">
        <w:rPr>
          <w:b/>
          <w:noProof/>
          <w:color w:val="4F81BD" w:themeColor="accent1"/>
          <w:sz w:val="18"/>
        </w:rPr>
        <w:t>4</w:t>
      </w:r>
      <w:r w:rsidR="00933B61" w:rsidRPr="00385C7A">
        <w:rPr>
          <w:b/>
          <w:color w:val="4F81BD" w:themeColor="accent1"/>
          <w:sz w:val="18"/>
        </w:rPr>
        <w:fldChar w:fldCharType="end"/>
      </w:r>
      <w:bookmarkEnd w:id="10"/>
      <w:bookmarkEnd w:id="11"/>
      <w:bookmarkEnd w:id="12"/>
      <w:r w:rsidRPr="00385C7A">
        <w:rPr>
          <w:b/>
          <w:color w:val="4F81BD" w:themeColor="accent1"/>
          <w:sz w:val="18"/>
        </w:rPr>
        <w:t>) Curva de un ion de cloro de 210 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7457C4" w:rsidRDefault="00F302F8">
      <w:pPr>
        <w:pStyle w:val="ParrafoTESIS"/>
        <w:rPr>
          <w:b/>
        </w:rPr>
      </w:pPr>
      <w:r w:rsidRPr="00C42594">
        <w:t xml:space="preserve">Que la </w:t>
      </w:r>
      <w:r w:rsidR="00820E94" w:rsidRPr="00C42594">
        <w:t>colisión</w:t>
      </w:r>
      <w:r w:rsidRPr="00C42594">
        <w:t xml:space="preserve"> inelástica produzca un retroceso de Si,</w:t>
      </w:r>
    </w:p>
    <w:p w:rsidR="007457C4" w:rsidRDefault="00F302F8">
      <w:pPr>
        <w:pStyle w:val="ParrafoTESIS"/>
        <w:rPr>
          <w:b/>
        </w:rPr>
      </w:pPr>
      <w:r w:rsidRPr="00C42594">
        <w:t>La emisión de partículas alfa y gamma y el retroceso del núcleo hijo (ejemplo, Si emite partículas alfa y retroceso de un núcleo Mg),</w:t>
      </w:r>
    </w:p>
    <w:p w:rsidR="007457C4" w:rsidRDefault="00F302F8">
      <w:pPr>
        <w:pStyle w:val="ParrafoTESIS"/>
        <w:rPr>
          <w:b/>
        </w:rPr>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B0043A">
      <w:pPr>
        <w:pStyle w:val="ParrafoTESIS"/>
      </w:pPr>
      <w:r w:rsidRPr="00C42594">
        <w:t xml:space="preserve">El producto de estas colisiones inelásticas típicamente tiene poca energía y no viajan más allá del sitio de impacto de la partícula. También 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933B61">
            <w:rPr>
              <w:rFonts w:cstheme="minorHAnsi"/>
              <w:szCs w:val="22"/>
            </w:rPr>
            <w:fldChar w:fldCharType="begin"/>
          </w:r>
          <w:r w:rsidR="000B3E93">
            <w:rPr>
              <w:rFonts w:cstheme="minorHAnsi"/>
              <w:szCs w:val="22"/>
            </w:rPr>
            <w:instrText xml:space="preserve"> CITATION Bed96 \l 11274 </w:instrText>
          </w:r>
          <w:r w:rsidR="00933B61">
            <w:rPr>
              <w:rFonts w:cstheme="minorHAnsi"/>
              <w:szCs w:val="22"/>
            </w:rPr>
            <w:fldChar w:fldCharType="separate"/>
          </w:r>
          <w:r w:rsidR="000B3E93" w:rsidRPr="000B3E93">
            <w:rPr>
              <w:rFonts w:cstheme="minorHAnsi"/>
              <w:noProof/>
              <w:szCs w:val="22"/>
            </w:rPr>
            <w:t>(4)</w:t>
          </w:r>
          <w:r w:rsidR="00933B61">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245A33">
      <w:pPr>
        <w:pStyle w:val="ParrafoTESIS"/>
        <w:rPr>
          <w:lang w:eastAsia="es-AR"/>
        </w:rPr>
      </w:pPr>
      <w:r>
        <w:rPr>
          <w:lang w:eastAsia="es-AR"/>
        </w:rPr>
        <w:t>Los SEEs</w:t>
      </w:r>
      <w:r w:rsidR="00F05B83" w:rsidRPr="00C42594">
        <w:rPr>
          <w:lang w:eastAsia="es-AR"/>
        </w:rPr>
        <w:t xml:space="preserve"> pueden ser calificados en 3:</w:t>
      </w:r>
    </w:p>
    <w:p w:rsidR="00F05B83" w:rsidRPr="006C2467" w:rsidRDefault="00F05B83" w:rsidP="00245A33">
      <w:pPr>
        <w:pStyle w:val="ParrafoTESIS"/>
        <w:numPr>
          <w:ilvl w:val="0"/>
          <w:numId w:val="4"/>
        </w:numPr>
        <w:rPr>
          <w:rFonts w:eastAsia="Times New Roman"/>
          <w:lang w:eastAsia="es-AR"/>
        </w:rPr>
      </w:pPr>
      <w:r w:rsidRPr="006C2467">
        <w:rPr>
          <w:rFonts w:eastAsia="Times New Roman"/>
          <w:i/>
          <w:lang w:eastAsia="es-AR"/>
        </w:rPr>
        <w:t>Single Event Upset</w:t>
      </w:r>
      <w:r w:rsidRPr="006C2467">
        <w:rPr>
          <w:rFonts w:eastAsia="Times New Roman"/>
          <w:lang w:eastAsia="es-AR"/>
        </w:rPr>
        <w:t xml:space="preserve"> (erro</w:t>
      </w:r>
      <w:r>
        <w:rPr>
          <w:rFonts w:eastAsia="Times New Roman"/>
          <w:lang w:eastAsia="es-AR"/>
        </w:rPr>
        <w:t>re</w:t>
      </w:r>
      <w:r w:rsidRPr="006C2467">
        <w:rPr>
          <w:rFonts w:eastAsia="Times New Roman"/>
          <w:lang w:eastAsia="es-AR"/>
        </w:rPr>
        <w:t>s temporarios de funcionamiento)</w:t>
      </w:r>
    </w:p>
    <w:p w:rsidR="00F05B83" w:rsidRPr="003067E0" w:rsidRDefault="00F05B83" w:rsidP="00245A33">
      <w:pPr>
        <w:pStyle w:val="ParrafoTESIS"/>
        <w:numPr>
          <w:ilvl w:val="0"/>
          <w:numId w:val="4"/>
        </w:numPr>
        <w:rPr>
          <w:rFonts w:eastAsia="Times New Roman"/>
          <w:lang w:eastAsia="es-AR"/>
        </w:rPr>
      </w:pPr>
      <w:r w:rsidRPr="003067E0">
        <w:rPr>
          <w:rFonts w:eastAsia="Times New Roman"/>
          <w:i/>
          <w:lang w:eastAsia="es-AR"/>
        </w:rPr>
        <w:t>Single Event Latchup</w:t>
      </w:r>
      <w:r w:rsidRPr="003067E0">
        <w:rPr>
          <w:rFonts w:eastAsia="Times New Roman"/>
          <w:lang w:eastAsia="es-AR"/>
        </w:rPr>
        <w:t xml:space="preserve"> (error</w:t>
      </w:r>
      <w:r w:rsidR="003067E0" w:rsidRPr="003067E0">
        <w:rPr>
          <w:rFonts w:eastAsia="Times New Roman"/>
          <w:lang w:eastAsia="es-AR"/>
        </w:rPr>
        <w:t>e</w:t>
      </w:r>
      <w:r w:rsidRPr="003067E0">
        <w:rPr>
          <w:rFonts w:eastAsia="Times New Roman"/>
          <w:lang w:eastAsia="es-AR"/>
        </w:rPr>
        <w:t>s temporari</w:t>
      </w:r>
      <w:r w:rsidR="003067E0">
        <w:rPr>
          <w:rFonts w:eastAsia="Times New Roman"/>
          <w:lang w:eastAsia="es-AR"/>
        </w:rPr>
        <w:t>o</w:t>
      </w:r>
      <w:r w:rsidRPr="003067E0">
        <w:rPr>
          <w:rFonts w:eastAsia="Times New Roman"/>
          <w:lang w:eastAsia="es-AR"/>
        </w:rPr>
        <w:t>s o permanent</w:t>
      </w:r>
      <w:r w:rsidR="003067E0">
        <w:rPr>
          <w:rFonts w:eastAsia="Times New Roman"/>
          <w:lang w:eastAsia="es-AR"/>
        </w:rPr>
        <w:t>e</w:t>
      </w:r>
      <w:r w:rsidRPr="003067E0">
        <w:rPr>
          <w:rFonts w:eastAsia="Times New Roman"/>
          <w:lang w:eastAsia="es-AR"/>
        </w:rPr>
        <w:t>s de funcionamiento)</w:t>
      </w:r>
    </w:p>
    <w:p w:rsidR="00F05B83" w:rsidRPr="006C2467" w:rsidRDefault="00F05B83" w:rsidP="00245A33">
      <w:pPr>
        <w:pStyle w:val="ParrafoTESIS"/>
        <w:numPr>
          <w:ilvl w:val="0"/>
          <w:numId w:val="4"/>
        </w:numPr>
        <w:rPr>
          <w:rFonts w:eastAsia="Times New Roman"/>
          <w:lang w:val="en-US" w:eastAsia="es-AR"/>
        </w:rPr>
      </w:pPr>
      <w:r w:rsidRPr="006C2467">
        <w:rPr>
          <w:rFonts w:eastAsia="Times New Roman"/>
          <w:i/>
          <w:lang w:val="en-US" w:eastAsia="es-AR"/>
        </w:rPr>
        <w:t>Single Event Burnout</w:t>
      </w:r>
      <w:r w:rsidRPr="006C2467">
        <w:rPr>
          <w:rFonts w:eastAsia="Times New Roman"/>
          <w:lang w:val="en-US" w:eastAsia="es-AR"/>
        </w:rPr>
        <w:t xml:space="preserve"> (err</w:t>
      </w:r>
      <w:r>
        <w:rPr>
          <w:rFonts w:eastAsia="Times New Roman"/>
          <w:lang w:val="en-US" w:eastAsia="es-AR"/>
        </w:rPr>
        <w:t xml:space="preserve">or a </w:t>
      </w:r>
      <w:r w:rsidRPr="006B1E00">
        <w:rPr>
          <w:rFonts w:eastAsia="Times New Roman"/>
          <w:lang w:eastAsia="es-AR"/>
        </w:rPr>
        <w:t>nivel</w:t>
      </w:r>
      <w:r>
        <w:rPr>
          <w:rFonts w:eastAsia="Times New Roman"/>
          <w:lang w:val="en-US" w:eastAsia="es-AR"/>
        </w:rPr>
        <w:t xml:space="preserve"> hardware, </w:t>
      </w:r>
      <w:r w:rsidRPr="006B1E00">
        <w:rPr>
          <w:rFonts w:eastAsia="Times New Roman"/>
          <w:lang w:eastAsia="es-AR"/>
        </w:rPr>
        <w:t>destrucción</w:t>
      </w:r>
      <w:r w:rsidRPr="006C2467">
        <w:rPr>
          <w:rFonts w:eastAsia="Times New Roman"/>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933B61">
            <w:rPr>
              <w:lang w:eastAsia="es-AR"/>
            </w:rPr>
            <w:fldChar w:fldCharType="begin"/>
          </w:r>
          <w:r w:rsidR="000B3E93">
            <w:rPr>
              <w:lang w:eastAsia="es-AR"/>
            </w:rPr>
            <w:instrText xml:space="preserve"> CITATION LaB96 \l 11274 </w:instrText>
          </w:r>
          <w:r w:rsidR="00933B61">
            <w:rPr>
              <w:lang w:eastAsia="es-AR"/>
            </w:rPr>
            <w:fldChar w:fldCharType="separate"/>
          </w:r>
          <w:r w:rsidR="000B3E93">
            <w:rPr>
              <w:noProof/>
              <w:lang w:eastAsia="es-AR"/>
            </w:rPr>
            <w:t>(9)</w:t>
          </w:r>
          <w:r w:rsidR="00933B61">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w:t>
      </w:r>
      <w:r w:rsidRPr="00C42594">
        <w:rPr>
          <w:lang w:eastAsia="es-AR"/>
        </w:rPr>
        <w:lastRenderedPageBreak/>
        <w:t>problema para el sistema de detección y corrección de errores EDAC (error detection and correction).</w:t>
      </w:r>
    </w:p>
    <w:p w:rsidR="0010353A" w:rsidRDefault="00F302F8" w:rsidP="00B0043A">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 en el cual el SEU 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933B61">
            <w:rPr>
              <w:lang w:eastAsia="es-AR"/>
            </w:rPr>
            <w:fldChar w:fldCharType="begin"/>
          </w:r>
          <w:r w:rsidR="00235572">
            <w:rPr>
              <w:lang w:eastAsia="es-AR"/>
            </w:rPr>
            <w:instrText xml:space="preserve"> CITATION Mou94 \l 11274 </w:instrText>
          </w:r>
          <w:r w:rsidR="00933B61">
            <w:rPr>
              <w:lang w:eastAsia="es-AR"/>
            </w:rPr>
            <w:fldChar w:fldCharType="separate"/>
          </w:r>
          <w:r w:rsidR="00235572">
            <w:rPr>
              <w:noProof/>
              <w:lang w:eastAsia="es-AR"/>
            </w:rPr>
            <w:t>(10)</w:t>
          </w:r>
          <w:r w:rsidR="00933B61">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lastRenderedPageBreak/>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14" w:name="_Toc266984386"/>
      <w:r w:rsidRPr="006B611D">
        <w:t>1.2.4) Carga crítica</w:t>
      </w:r>
      <w:bookmarkEnd w:id="14"/>
    </w:p>
    <w:p w:rsidR="00B0043A" w:rsidRPr="002D53CD" w:rsidRDefault="00135215" w:rsidP="00E2125D">
      <w:pPr>
        <w:pStyle w:val="ParrafoTESIS"/>
        <w:rPr>
          <w:rStyle w:val="apple-style-span"/>
          <w:rFonts w:eastAsiaTheme="majorEastAsia"/>
          <w:shd w:val="clear" w:color="auto" w:fill="FFFFFF"/>
          <w:lang w:eastAsia="es-AR"/>
        </w:rPr>
      </w:pPr>
      <w:r w:rsidRPr="002D53CD">
        <w:t>Se define como “carga crítica”</w:t>
      </w:r>
      <w:r w:rsidR="002D53CD">
        <w:t xml:space="preserve"> </w:t>
      </w:r>
      <w:r w:rsidR="00225159" w:rsidRPr="002D53CD">
        <w:t>a</w:t>
      </w:r>
      <w:r w:rsidRPr="002D53CD">
        <w:t xml:space="preserve"> la carga necesaria para generar un cambio de estado binario en una memoria, siendo esta menor a la carga total almacenada en dicho componente.</w:t>
      </w:r>
      <w:r w:rsidRPr="002D53CD">
        <w:rPr>
          <w:rStyle w:val="Ttulo1Car"/>
          <w:rFonts w:asciiTheme="minorHAnsi" w:hAnsiTheme="minorHAnsi" w:cstheme="minorHAnsi"/>
          <w:sz w:val="22"/>
          <w:szCs w:val="22"/>
          <w:shd w:val="clear" w:color="auto" w:fill="FFFFFF"/>
          <w:lang w:eastAsia="es-AR"/>
        </w:rPr>
        <w:t xml:space="preserve"> </w:t>
      </w:r>
      <w:r w:rsidRPr="002D53CD">
        <w:rPr>
          <w:rStyle w:val="apple-style-span"/>
          <w:rFonts w:eastAsiaTheme="majorEastAsia"/>
          <w:shd w:val="clear" w:color="auto" w:fill="FFFFFF"/>
          <w:lang w:eastAsia="es-AR"/>
        </w:rPr>
        <w:t xml:space="preserve">Si consideramos un dispositivo cuadrado de tamaño característico L x L, la carga crítica para el cambio de estado del mismo es proporcional </w:t>
      </w:r>
      <w:r w:rsidR="00225159" w:rsidRPr="002D53CD">
        <w:rPr>
          <w:rStyle w:val="apple-style-span"/>
          <w:rFonts w:eastAsiaTheme="majorEastAsia"/>
          <w:shd w:val="clear" w:color="auto" w:fill="FFFFFF"/>
        </w:rPr>
        <w:t xml:space="preserve">a </w:t>
      </w:r>
      <w:r w:rsidRPr="002D53CD">
        <w:rPr>
          <w:rStyle w:val="apple-style-span"/>
          <w:rFonts w:eastAsiaTheme="majorEastAsia"/>
          <w:shd w:val="clear" w:color="auto" w:fill="FFFFFF"/>
          <w:lang w:eastAsia="es-AR"/>
        </w:rPr>
        <w:t xml:space="preserve">su </w:t>
      </w:r>
      <w:r w:rsidR="002D53CD" w:rsidRPr="002D53CD">
        <w:rPr>
          <w:rStyle w:val="apple-style-span"/>
          <w:rFonts w:eastAsiaTheme="majorEastAsia"/>
          <w:shd w:val="clear" w:color="auto" w:fill="FFFFFF"/>
        </w:rPr>
        <w:t>área</w:t>
      </w:r>
      <w:r w:rsidR="00225159" w:rsidRPr="002D53CD">
        <w:rPr>
          <w:rStyle w:val="apple-style-span"/>
          <w:rFonts w:eastAsiaTheme="majorEastAsia"/>
          <w:shd w:val="clear" w:color="auto" w:fill="FFFFFF"/>
        </w:rPr>
        <w:t xml:space="preserve"> </w:t>
      </w:r>
      <w:r w:rsidRPr="002D53CD">
        <w:rPr>
          <w:rStyle w:val="apple-style-span"/>
          <w:rFonts w:eastAsiaTheme="majorEastAsia"/>
          <w:shd w:val="clear" w:color="auto" w:fill="FFFFFF"/>
          <w:lang w:eastAsia="es-AR"/>
        </w:rPr>
        <w:t>(</w:t>
      </w:r>
      <m:oMath>
        <m:sSub>
          <m:sSubPr>
            <m:ctrlPr>
              <w:rPr>
                <w:rStyle w:val="apple-style-span"/>
                <w:rFonts w:ascii="Cambria Math" w:eastAsiaTheme="majorEastAsia"/>
                <w:i/>
                <w:shd w:val="clear" w:color="auto" w:fill="FFFFFF"/>
              </w:rPr>
            </m:ctrlPr>
          </m:sSubPr>
          <m:e>
            <m:r>
              <w:rPr>
                <w:rStyle w:val="apple-style-span"/>
                <w:rFonts w:ascii="Cambria Math" w:eastAsiaTheme="majorEastAsia" w:hAnsi="Cambria Math"/>
                <w:shd w:val="clear" w:color="auto" w:fill="FFFFFF"/>
                <w:lang w:eastAsia="es-AR"/>
              </w:rPr>
              <m:t>Q</m:t>
            </m:r>
          </m:e>
          <m:sub>
            <m:r>
              <w:rPr>
                <w:rStyle w:val="apple-style-span"/>
                <w:rFonts w:ascii="Cambria Math" w:eastAsiaTheme="majorEastAsia" w:hAnsi="Cambria Math"/>
                <w:shd w:val="clear" w:color="auto" w:fill="FFFFFF"/>
                <w:lang w:eastAsia="es-AR"/>
              </w:rPr>
              <m:t>crit</m:t>
            </m:r>
          </m:sub>
        </m:sSub>
        <m:r>
          <w:rPr>
            <w:rStyle w:val="apple-style-span"/>
            <w:rFonts w:ascii="Cambria Math" w:eastAsiaTheme="majorEastAsia"/>
            <w:shd w:val="clear" w:color="auto" w:fill="FFFFFF"/>
            <w:lang w:eastAsia="es-AR"/>
          </w:rPr>
          <m:t xml:space="preserve"> </m:t>
        </m:r>
        <m:r>
          <w:rPr>
            <w:rStyle w:val="apple-style-span"/>
            <w:rFonts w:ascii="Cambria Math" w:eastAsiaTheme="majorEastAsia" w:hAnsi="Cambria Math"/>
            <w:shd w:val="clear" w:color="auto" w:fill="FFFFFF"/>
            <w:lang w:eastAsia="es-AR"/>
          </w:rPr>
          <m:t>∝</m:t>
        </m:r>
        <m:r>
          <w:rPr>
            <w:rStyle w:val="apple-style-span"/>
            <w:rFonts w:ascii="Cambria Math" w:eastAsiaTheme="majorEastAsia"/>
            <w:shd w:val="clear" w:color="auto" w:fill="FFFFFF"/>
            <w:lang w:eastAsia="es-AR"/>
          </w:rPr>
          <m:t xml:space="preserve"> </m:t>
        </m:r>
        <m:sSup>
          <m:sSupPr>
            <m:ctrlPr>
              <w:rPr>
                <w:rStyle w:val="apple-style-span"/>
                <w:rFonts w:ascii="Cambria Math" w:eastAsiaTheme="majorEastAsia"/>
                <w:i/>
                <w:shd w:val="clear" w:color="auto" w:fill="FFFFFF"/>
              </w:rPr>
            </m:ctrlPr>
          </m:sSupPr>
          <m:e>
            <m:r>
              <w:rPr>
                <w:rStyle w:val="apple-style-span"/>
                <w:rFonts w:ascii="Cambria Math" w:eastAsiaTheme="majorEastAsia" w:hAnsi="Cambria Math"/>
                <w:shd w:val="clear" w:color="auto" w:fill="FFFFFF"/>
                <w:lang w:eastAsia="es-AR"/>
              </w:rPr>
              <m:t>L</m:t>
            </m:r>
          </m:e>
          <m:sup>
            <m:r>
              <w:rPr>
                <w:rStyle w:val="apple-style-span"/>
                <w:rFonts w:ascii="Cambria Math" w:eastAsiaTheme="majorEastAsia"/>
                <w:shd w:val="clear" w:color="auto" w:fill="FFFFFF"/>
                <w:lang w:eastAsia="es-AR"/>
              </w:rPr>
              <m:t>2</m:t>
            </m:r>
          </m:sup>
        </m:sSup>
      </m:oMath>
      <w:r w:rsidRPr="002D53CD">
        <w:rPr>
          <w:rStyle w:val="apple-style-span"/>
          <w:rFonts w:eastAsiaTheme="majorEastAsia"/>
          <w:shd w:val="clear" w:color="auto" w:fill="FFFFFF"/>
          <w:lang w:eastAsia="es-AR"/>
        </w:rPr>
        <w:t>).</w:t>
      </w:r>
    </w:p>
    <w:p w:rsidR="00B0043A" w:rsidRPr="002D53CD" w:rsidRDefault="00933B61" w:rsidP="00B0043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B0043A" w:rsidRPr="002D53CD" w:rsidRDefault="00135215" w:rsidP="00B0043A">
      <w:pPr>
        <w:pStyle w:val="ParrafoTESIS"/>
      </w:pPr>
      <w:r w:rsidRPr="002D53CD">
        <w:rPr>
          <w:rStyle w:val="apple-style-span"/>
        </w:rPr>
        <w:t>En concreto, Q</w:t>
      </w:r>
      <w:r w:rsidRPr="002D53CD">
        <w:rPr>
          <w:rStyle w:val="apple-style-span"/>
          <w:vertAlign w:val="subscript"/>
        </w:rPr>
        <w:t>crit</w:t>
      </w:r>
      <w:r w:rsidRPr="002D53CD">
        <w:rPr>
          <w:rStyle w:val="apple-style-span"/>
        </w:rPr>
        <w:t xml:space="preserve"> es entonces la diferencia entre la carga de nodo almacenada y la carga mínima requerida para que el amplificador de censado pueda leer correctamente el dato. En los circuitos de SRAM, Q</w:t>
      </w:r>
      <w:r w:rsidRPr="002D53CD">
        <w:rPr>
          <w:rStyle w:val="apple-style-span"/>
          <w:vertAlign w:val="subscript"/>
        </w:rPr>
        <w:t>crit</w:t>
      </w:r>
      <w:r w:rsidRPr="002D53CD">
        <w:rPr>
          <w:rStyle w:val="apple-style-span"/>
        </w:rPr>
        <w:t xml:space="preserve"> depende no sólo de los niveles de cargas acumulados, sino también de la forma temporal de los impulsos de corriente</w:t>
      </w:r>
      <w:r w:rsidR="00B0043A" w:rsidRPr="002D53CD">
        <w:t>.</w:t>
      </w:r>
    </w:p>
    <w:p w:rsidR="00F302F8" w:rsidRPr="006A1B63" w:rsidRDefault="006B611D" w:rsidP="00B0043A">
      <w:pPr>
        <w:pStyle w:val="ParrafoTESIS"/>
      </w:pPr>
      <w:r w:rsidRPr="002D53C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7457C4" w:rsidRDefault="00F05B83">
      <w:pPr>
        <w:pStyle w:val="ParrafoTESIS"/>
      </w:pPr>
      <w:r w:rsidRPr="006B611D">
        <w:rPr>
          <w:rStyle w:val="apple-style-span"/>
          <w:shd w:val="clear" w:color="auto" w:fill="FFFFFF"/>
        </w:rPr>
        <w:lastRenderedPageBreak/>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933B61">
            <w:rPr>
              <w:rStyle w:val="apple-style-span"/>
              <w:shd w:val="clear" w:color="auto" w:fill="FFFFFF"/>
            </w:rPr>
            <w:fldChar w:fldCharType="begin"/>
          </w:r>
          <w:r w:rsidR="00235572">
            <w:rPr>
              <w:rStyle w:val="apple-style-span"/>
              <w:shd w:val="clear" w:color="auto" w:fill="FFFFFF"/>
            </w:rPr>
            <w:instrText xml:space="preserve"> CITATION Hol06 \l 11274 </w:instrText>
          </w:r>
          <w:r w:rsidR="00933B61">
            <w:rPr>
              <w:rStyle w:val="apple-style-span"/>
              <w:shd w:val="clear" w:color="auto" w:fill="FFFFFF"/>
            </w:rPr>
            <w:fldChar w:fldCharType="separate"/>
          </w:r>
          <w:r w:rsidR="00235572" w:rsidRPr="00235572">
            <w:rPr>
              <w:noProof/>
              <w:shd w:val="clear" w:color="auto" w:fill="FFFFFF"/>
            </w:rPr>
            <w:t>(12)</w:t>
          </w:r>
          <w:r w:rsidR="00933B61">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15" w:name="_Toc266984387"/>
      <w:r>
        <w:t xml:space="preserve">1.3) </w:t>
      </w:r>
      <w:r w:rsidR="00385C7A" w:rsidRPr="00CA268A">
        <w:t>MODELADO DE LA FALLA</w:t>
      </w:r>
      <w:bookmarkEnd w:id="15"/>
    </w:p>
    <w:p w:rsidR="00F05B83" w:rsidRPr="00CA268A" w:rsidRDefault="00F05B83" w:rsidP="00F302F8">
      <w:pPr>
        <w:pStyle w:val="Ttulo3"/>
      </w:pPr>
      <w:bookmarkStart w:id="16" w:name="_Toc266984388"/>
      <w:r>
        <w:t xml:space="preserve">1.3.1) </w:t>
      </w:r>
      <w:r w:rsidRPr="00CA268A">
        <w:t>Modelos utilizados</w:t>
      </w:r>
      <w:bookmarkEnd w:id="16"/>
    </w:p>
    <w:p w:rsidR="00F302F8" w:rsidRPr="00CA268A" w:rsidRDefault="00F05B83" w:rsidP="00B0043A">
      <w:pPr>
        <w:pStyle w:val="ParrafoTESIS"/>
      </w:pPr>
      <w:r w:rsidRPr="00CA268A">
        <w:t xml:space="preserve">El impacto en el circuito depende de la sensibilidad a generar cargas. El efecto es difícil de simular debido a que el impacto </w:t>
      </w:r>
      <w:r w:rsidR="00C112B0">
        <w:t>en el</w:t>
      </w:r>
      <w:r w:rsidR="00C112B0" w:rsidRPr="00CA268A">
        <w:t xml:space="preserve"> </w:t>
      </w:r>
      <w:r w:rsidR="00D5108C">
        <w:t>mismo</w:t>
      </w:r>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933B61" w:rsidP="00B0043A">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7" w:name="_Toc266984389"/>
      <w:r w:rsidRPr="006B611D">
        <w:t>1.3.2) Modelo a utilizar</w:t>
      </w:r>
      <w:bookmarkEnd w:id="17"/>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MODELO EXPONENCIAL</w:t>
      </w:r>
    </w:p>
    <w:p w:rsidR="00741B54" w:rsidRPr="00AA28FE" w:rsidRDefault="00F302F8" w:rsidP="00B0043A">
      <w:pPr>
        <w:pStyle w:val="ParrafoTESIS"/>
      </w:pPr>
      <w:r>
        <w:t>Un modelo de menor complejidad que la doble exponencial es la exponencial simple (</w:t>
      </w:r>
      <w:r w:rsidR="00933B61">
        <w:fldChar w:fldCharType="begin"/>
      </w:r>
      <w:r w:rsidR="00A67305">
        <w:instrText xml:space="preserve"> REF _Ref266984405 \h  \* MERGEFORMAT </w:instrText>
      </w:r>
      <w:r w:rsidR="00933B61">
        <w:fldChar w:fldCharType="separate"/>
      </w:r>
    </w:p>
    <w:p w:rsidR="00F302F8" w:rsidRDefault="00741B54" w:rsidP="00B0043A">
      <w:pPr>
        <w:pStyle w:val="ParrafoTESIS"/>
      </w:pPr>
      <w:r>
        <w:t>Figura</w:t>
      </w:r>
      <w:r>
        <w:rPr>
          <w:noProof/>
        </w:rPr>
        <w:t xml:space="preserve"> 6</w:t>
      </w:r>
      <w:r w:rsidR="00933B61">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w:t>
      </w:r>
      <w:r w:rsidR="00D91BB6">
        <w:rPr>
          <w:szCs w:val="18"/>
        </w:rPr>
        <w:t xml:space="preserve"> </w:t>
      </w:r>
      <w:r w:rsidR="00933B61">
        <w:rPr>
          <w:szCs w:val="18"/>
        </w:rPr>
        <w:fldChar w:fldCharType="begin"/>
      </w:r>
      <w:r w:rsidR="00D91BB6">
        <w:rPr>
          <w:szCs w:val="18"/>
        </w:rPr>
        <w:instrText xml:space="preserve"> REF _Ref268967482 \h </w:instrText>
      </w:r>
      <w:r w:rsidR="00933B61">
        <w:rPr>
          <w:szCs w:val="18"/>
        </w:rPr>
      </w:r>
      <w:r w:rsidR="00933B61">
        <w:rPr>
          <w:szCs w:val="18"/>
        </w:rPr>
        <w:fldChar w:fldCharType="separate"/>
      </w:r>
      <w:r w:rsidR="00D91BB6">
        <w:t xml:space="preserve">Figura </w:t>
      </w:r>
      <w:r w:rsidR="00D91BB6">
        <w:rPr>
          <w:noProof/>
        </w:rPr>
        <w:t>6</w:t>
      </w:r>
      <w:r w:rsidR="00933B61">
        <w:rPr>
          <w:szCs w:val="18"/>
        </w:rPr>
        <w:fldChar w:fldCharType="end"/>
      </w:r>
      <w:r w:rsidR="00F302F8">
        <w:t xml:space="preserve">). El proceso de </w:t>
      </w:r>
      <w:r w:rsidR="006B611D" w:rsidRPr="006B611D">
        <w:rPr>
          <w:i/>
        </w:rPr>
        <w:t>difusión de cargas</w:t>
      </w:r>
      <w:r w:rsidR="00F302F8">
        <w:t xml:space="preserve"> no se asemeja a la referencia, ya que el tiempo y amplitud que se puede generar con la exponencial simple para este proceso nos imposibilita hacerlo.</w:t>
      </w:r>
    </w:p>
    <w:p w:rsidR="00F302F8" w:rsidRDefault="00F302F8" w:rsidP="00B0043A">
      <w:pPr>
        <w:pStyle w:val="ParrafoTESIS"/>
      </w:pPr>
      <w:r>
        <w:t>La expresión matemática de la falla exponencial modelizada es:</w:t>
      </w:r>
    </w:p>
    <w:p w:rsidR="002D53CD"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D53CD">
      <w:pPr>
        <w:pStyle w:val="ParrafoTESIS"/>
      </w:pPr>
      <w:bookmarkStart w:id="18" w:name="_Ref266984405"/>
      <w:bookmarkStart w:id="19" w:name="_Ref266984402"/>
      <w:r>
        <w:lastRenderedPageBreak/>
        <w:t>La representación en SPICE de la falla trapezoidal modelizada 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20" w:name="_Ref268967482"/>
      <w:r>
        <w:t xml:space="preserve">Figura </w:t>
      </w:r>
      <w:fldSimple w:instr=" SEQ Figura \* ARABIC ">
        <w:r w:rsidR="00741B54">
          <w:rPr>
            <w:noProof/>
          </w:rPr>
          <w:t>6</w:t>
        </w:r>
      </w:fldSimple>
      <w:bookmarkEnd w:id="18"/>
      <w:bookmarkEnd w:id="20"/>
      <w:r>
        <w:t>) Gr</w:t>
      </w:r>
      <w:r w:rsidR="00676042">
        <w:t>á</w:t>
      </w:r>
      <w:r>
        <w:t>fica del modelo de inyección exponencial.</w:t>
      </w:r>
      <w:bookmarkEnd w:id="19"/>
    </w:p>
    <w:p w:rsidR="00F302F8" w:rsidRPr="00570E5C" w:rsidRDefault="00F302F8" w:rsidP="00CC76A5">
      <w:pPr>
        <w:pStyle w:val="Ttulo4"/>
      </w:pPr>
      <w:r w:rsidRPr="00664E6D">
        <w:t xml:space="preserve">MODELO </w:t>
      </w:r>
      <w:r w:rsidR="00A276C9">
        <w:t>TRAPEZOIDAL</w:t>
      </w:r>
    </w:p>
    <w:p w:rsidR="002D53CD"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2D53CD" w:rsidRDefault="002D53CD">
      <w:pPr>
        <w:rPr>
          <w:rFonts w:cstheme="minorHAnsi"/>
          <w:shd w:val="clear" w:color="auto" w:fill="EBEFF9"/>
        </w:rPr>
      </w:pPr>
      <w:r>
        <w:br w:type="page"/>
      </w:r>
    </w:p>
    <w:p w:rsidR="00F302F8" w:rsidRDefault="00F302F8" w:rsidP="00B0043A">
      <w:pPr>
        <w:pStyle w:val="ParrafoTESIS"/>
      </w:pPr>
      <w:r>
        <w:lastRenderedPageBreak/>
        <w:t xml:space="preserve">La representación en SPICE de la falla </w:t>
      </w:r>
      <w:r w:rsidR="00A276C9">
        <w:t>trapezoidal</w:t>
      </w:r>
      <w:r>
        <w:t xml:space="preserve"> modelizada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1" w:name="_Ref266990746"/>
      <w:r>
        <w:t xml:space="preserve">Figura </w:t>
      </w:r>
      <w:fldSimple w:instr=" SEQ Figura \* ARABIC ">
        <w:r w:rsidR="00741B54">
          <w:rPr>
            <w:noProof/>
          </w:rPr>
          <w:t>7</w:t>
        </w:r>
      </w:fldSimple>
      <w:bookmarkEnd w:id="21"/>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t>En los procesos de inyección, se deja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1A3" w:rsidRDefault="00B271A3" w:rsidP="00F302F8">
      <w:pPr>
        <w:spacing w:after="0" w:line="240" w:lineRule="auto"/>
      </w:pPr>
      <w:r>
        <w:separator/>
      </w:r>
    </w:p>
  </w:endnote>
  <w:endnote w:type="continuationSeparator" w:id="0">
    <w:p w:rsidR="00B271A3" w:rsidRDefault="00B271A3"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1A3" w:rsidRDefault="00B271A3" w:rsidP="00F302F8">
      <w:pPr>
        <w:spacing w:after="0" w:line="240" w:lineRule="auto"/>
      </w:pPr>
      <w:r>
        <w:separator/>
      </w:r>
    </w:p>
  </w:footnote>
  <w:footnote w:type="continuationSeparator" w:id="0">
    <w:p w:rsidR="00B271A3" w:rsidRDefault="00B271A3"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3">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7651E"/>
    <w:rsid w:val="00096EDE"/>
    <w:rsid w:val="000B3E93"/>
    <w:rsid w:val="0010353A"/>
    <w:rsid w:val="00131FFE"/>
    <w:rsid w:val="00135215"/>
    <w:rsid w:val="001672BB"/>
    <w:rsid w:val="00196184"/>
    <w:rsid w:val="00196C82"/>
    <w:rsid w:val="001A25B4"/>
    <w:rsid w:val="00225159"/>
    <w:rsid w:val="00235572"/>
    <w:rsid w:val="00245A33"/>
    <w:rsid w:val="002D53CD"/>
    <w:rsid w:val="002D5649"/>
    <w:rsid w:val="003067E0"/>
    <w:rsid w:val="0031545D"/>
    <w:rsid w:val="0032585D"/>
    <w:rsid w:val="00334B73"/>
    <w:rsid w:val="00385C7A"/>
    <w:rsid w:val="00394FCC"/>
    <w:rsid w:val="00405E39"/>
    <w:rsid w:val="00471902"/>
    <w:rsid w:val="00475B8E"/>
    <w:rsid w:val="00483926"/>
    <w:rsid w:val="00536948"/>
    <w:rsid w:val="00545093"/>
    <w:rsid w:val="005B2EEA"/>
    <w:rsid w:val="006208DE"/>
    <w:rsid w:val="00666B9B"/>
    <w:rsid w:val="00676042"/>
    <w:rsid w:val="006840E6"/>
    <w:rsid w:val="00686625"/>
    <w:rsid w:val="006A1B63"/>
    <w:rsid w:val="006B1E00"/>
    <w:rsid w:val="006B611D"/>
    <w:rsid w:val="00704A66"/>
    <w:rsid w:val="00741B54"/>
    <w:rsid w:val="007457C4"/>
    <w:rsid w:val="00781482"/>
    <w:rsid w:val="007931E6"/>
    <w:rsid w:val="007D7A79"/>
    <w:rsid w:val="00820E94"/>
    <w:rsid w:val="00830FCD"/>
    <w:rsid w:val="008C6011"/>
    <w:rsid w:val="008D175C"/>
    <w:rsid w:val="008E24CD"/>
    <w:rsid w:val="00933B61"/>
    <w:rsid w:val="009E0BC2"/>
    <w:rsid w:val="00A209F2"/>
    <w:rsid w:val="00A276C9"/>
    <w:rsid w:val="00A655C9"/>
    <w:rsid w:val="00A67305"/>
    <w:rsid w:val="00AC2BB5"/>
    <w:rsid w:val="00AE4956"/>
    <w:rsid w:val="00B0043A"/>
    <w:rsid w:val="00B00962"/>
    <w:rsid w:val="00B271A3"/>
    <w:rsid w:val="00B27C2E"/>
    <w:rsid w:val="00B7627F"/>
    <w:rsid w:val="00B809B5"/>
    <w:rsid w:val="00B94184"/>
    <w:rsid w:val="00BE6BB2"/>
    <w:rsid w:val="00C112B0"/>
    <w:rsid w:val="00C12C04"/>
    <w:rsid w:val="00C65627"/>
    <w:rsid w:val="00C822B4"/>
    <w:rsid w:val="00CC29BC"/>
    <w:rsid w:val="00CC40DB"/>
    <w:rsid w:val="00CC76A5"/>
    <w:rsid w:val="00D14F10"/>
    <w:rsid w:val="00D16526"/>
    <w:rsid w:val="00D5108C"/>
    <w:rsid w:val="00D91BB6"/>
    <w:rsid w:val="00DE714D"/>
    <w:rsid w:val="00E2110A"/>
    <w:rsid w:val="00E2125D"/>
    <w:rsid w:val="00E22568"/>
    <w:rsid w:val="00E4539D"/>
    <w:rsid w:val="00E85D02"/>
    <w:rsid w:val="00E94075"/>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DE714D"/>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5258E17F-806A-4C69-8A7E-C02FCEAD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11</Pages>
  <Words>3030</Words>
  <Characters>16667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45</cp:revision>
  <dcterms:created xsi:type="dcterms:W3CDTF">2010-07-24T19:30:00Z</dcterms:created>
  <dcterms:modified xsi:type="dcterms:W3CDTF">2010-08-13T18:46:00Z</dcterms:modified>
</cp:coreProperties>
</file>