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9162E4" w:rsidRDefault="00F302F8" w:rsidP="00F302F8">
      <w:pPr>
        <w:pStyle w:val="Ttulo1"/>
        <w:rPr>
          <w:rStyle w:val="apple-style-span"/>
          <w:sz w:val="32"/>
        </w:rPr>
      </w:pPr>
      <w:bookmarkStart w:id="0" w:name="_Toc266984378"/>
      <w:r w:rsidRPr="009162E4">
        <w:rPr>
          <w:rStyle w:val="apple-style-span"/>
          <w:sz w:val="32"/>
        </w:rPr>
        <w:t>CAP</w:t>
      </w:r>
      <w:r>
        <w:rPr>
          <w:rStyle w:val="apple-style-span"/>
          <w:sz w:val="32"/>
        </w:rPr>
        <w:t>Í</w:t>
      </w:r>
      <w:r w:rsidRPr="009162E4">
        <w:rPr>
          <w:rStyle w:val="apple-style-span"/>
          <w:sz w:val="32"/>
        </w:rPr>
        <w:t>TULO 1: Evento transitorio único en estructuras analógicas</w:t>
      </w:r>
      <w:bookmarkEnd w:id="0"/>
      <w:r>
        <w:rPr>
          <w:rStyle w:val="apple-style-span"/>
          <w:sz w:val="32"/>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Pr="0032585D">
        <w:rPr>
          <w:rStyle w:val="Refdenotaalpie"/>
        </w:rPr>
        <w:footnoteReference w:id="1"/>
      </w:r>
      <w:r w:rsidRPr="0032585D">
        <w:t>] [</w:t>
      </w:r>
      <w:r w:rsidRPr="0032585D">
        <w:rPr>
          <w:rStyle w:val="Refdenotaalpie"/>
        </w:rPr>
        <w:footnoteReference w:id="2"/>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E86273">
        <w:rPr>
          <w:b w:val="0"/>
          <w:bCs w:val="0"/>
        </w:rPr>
        <w:t>1.</w:t>
      </w:r>
      <w:r>
        <w:t xml:space="preserve">1)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F302F8" w:rsidRPr="009C5050" w:rsidRDefault="00F302F8" w:rsidP="00F302F8">
      <w:pPr>
        <w:pStyle w:val="ParrafoTESIS"/>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lastRenderedPageBreak/>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Pr>
          <w:rStyle w:val="Refdenotaalpie"/>
          <w:i/>
          <w:lang w:eastAsia="es-AR"/>
        </w:rPr>
        <w:footnoteReference w:id="3"/>
      </w:r>
      <w:r>
        <w:rPr>
          <w:i/>
          <w:lang w:eastAsia="es-AR"/>
        </w:rPr>
        <w:t>].</w:t>
      </w:r>
    </w:p>
    <w:p w:rsidR="00F302F8" w:rsidRPr="0086269B" w:rsidRDefault="00F302F8" w:rsidP="00F302F8">
      <w:pPr>
        <w:pStyle w:val="Ttulo3"/>
      </w:pPr>
      <w:bookmarkStart w:id="3" w:name="_Toc266984381"/>
      <w:r>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6B611D">
        <w:fldChar w:fldCharType="begin"/>
      </w:r>
      <w:r w:rsidRPr="009C5050">
        <w:instrText xml:space="preserve"> SEQ Figura \* ARABIC </w:instrText>
      </w:r>
      <w:r w:rsidR="006B611D">
        <w:fldChar w:fldCharType="separate"/>
      </w:r>
      <w:r w:rsidRPr="009C5050">
        <w:rPr>
          <w:noProof/>
        </w:rPr>
        <w:t>1</w:t>
      </w:r>
      <w:r w:rsidR="006B611D">
        <w:fldChar w:fldCharType="end"/>
      </w:r>
      <w:r w:rsidRPr="009C5050">
        <w:t xml:space="preserve">) Representación de la </w:t>
      </w:r>
      <w:r w:rsidR="00096EDE">
        <w:t>m</w:t>
      </w:r>
      <w:r w:rsidRPr="009C5050">
        <w:t>agnetosfera Terrestre.</w:t>
      </w:r>
    </w:p>
    <w:p w:rsidR="00E4539D" w:rsidRDefault="00F302F8" w:rsidP="00F302F8">
      <w:pPr>
        <w:pStyle w:val="ParrafoTESIS"/>
      </w:pPr>
      <w:r>
        <w:lastRenderedPageBreak/>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que impactaban en los circuitos de las memorias ocasionando una tasa de errores muy alta. </w:t>
      </w:r>
      <w:r w:rsidRPr="00E4539D">
        <w:t>[</w:t>
      </w:r>
      <w:r w:rsidRPr="00E4539D">
        <w:rPr>
          <w:rStyle w:val="Refdenotaalpie"/>
        </w:rPr>
        <w:footnoteReference w:id="4"/>
      </w:r>
      <w:r w:rsidRPr="00E4539D">
        <w:t>]</w:t>
      </w:r>
      <w:r w:rsidR="00E4539D" w:rsidRPr="00E4539D">
        <w:t>[</w:t>
      </w:r>
      <w:r w:rsidR="00E4539D" w:rsidRPr="00E4539D">
        <w:rPr>
          <w:rStyle w:val="Refdenotaalpie"/>
        </w:rPr>
        <w:footnoteReference w:id="5"/>
      </w:r>
      <w:r w:rsidR="00E4539D" w:rsidRPr="00E4539D">
        <w:t>][</w:t>
      </w:r>
      <w:r w:rsidR="00E4539D" w:rsidRPr="00E4539D">
        <w:rPr>
          <w:rStyle w:val="Refdenotaalpie"/>
        </w:rPr>
        <w:footnoteReference w:id="6"/>
      </w:r>
      <w:r w:rsidR="00E4539D" w:rsidRPr="00E4539D">
        <w:t>]</w:t>
      </w:r>
      <w:r w:rsidR="00E4539D">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Pr="000061A0">
          <w:t xml:space="preserve">Figura </w:t>
        </w:r>
        <w:r w:rsidRPr="000061A0">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6B611D"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6B611D"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006B611D"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536948">
          <w:t xml:space="preserve">Figura </w:t>
        </w:r>
        <w:r w:rsidRPr="00536948">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eléctrico y generan un gran transitorio (corriente/voltaje) en el nodo </w:t>
      </w:r>
      <w:r w:rsidRPr="00536948">
        <w:t>(</w:t>
      </w:r>
      <w:fldSimple w:instr=" REF _Ref266985981 \h  \* MERGEFORMAT ">
        <w:r w:rsidRPr="00536948">
          <w:t xml:space="preserve">Figura </w:t>
        </w:r>
        <w:r w:rsidRPr="00536948">
          <w:rPr>
            <w:noProof/>
          </w:rPr>
          <w:t>2</w:t>
        </w:r>
      </w:fldSimple>
      <w:r w:rsidRPr="00536948">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536948">
          <w:t xml:space="preserve">Figura </w:t>
        </w:r>
        <w:r w:rsidRPr="00536948">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8E24CD">
          <w:t xml:space="preserve">Figura </w:t>
        </w:r>
        <w:r w:rsidRPr="008E24CD">
          <w:rPr>
            <w:noProof/>
          </w:rPr>
          <w:t>3</w:t>
        </w:r>
      </w:fldSimple>
      <w:r w:rsidRPr="004E1261">
        <w:t xml:space="preserve">. El primer pico indica la primera fase de frenado </w:t>
      </w:r>
      <w:r w:rsidRPr="004E1261">
        <w:lastRenderedPageBreak/>
        <w:t>(generación de pares electrón-hueco) y recolección mientras que el gradiente de la segunda parte resulta de la difusión de recolección de las cargas</w:t>
      </w:r>
      <w:r>
        <w:t xml:space="preserve"> </w:t>
      </w:r>
      <w:r w:rsidRPr="008E24CD">
        <w:t>[</w:t>
      </w:r>
      <w:r w:rsidRPr="008E24CD">
        <w:rPr>
          <w:rStyle w:val="Refdenotaalpie"/>
        </w:rPr>
        <w:footnoteReference w:id="7"/>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fldSimple w:instr=" REF _Ref267331794 \h  \* MERGEFORMAT ">
        <w:r w:rsidRPr="008E24CD">
          <w:t xml:space="preserve">Figura </w:t>
        </w:r>
        <w:r w:rsidRPr="008E24CD">
          <w:rPr>
            <w:noProof/>
          </w:rPr>
          <w:t>4</w:t>
        </w:r>
      </w:fldSimple>
      <w:r w:rsidRPr="00C42594">
        <w:t xml:space="preserve"> muestra una curva de un ion de cloro de 210 MeV viajando a través del silicio.</w:t>
      </w:r>
    </w:p>
    <w:p w:rsidR="00F302F8" w:rsidRPr="00C42594" w:rsidRDefault="00F302F8" w:rsidP="00F302F8">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F302F8">
      <w:pPr>
        <w:pStyle w:val="ParrafoTESIS"/>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F302F8">
      <w:pPr>
        <w:pStyle w:val="ParrafoTESIS"/>
        <w:rPr>
          <w:b/>
          <w:color w:val="4F81BD" w:themeColor="accent1"/>
          <w:sz w:val="18"/>
          <w:szCs w:val="18"/>
        </w:rPr>
      </w:pPr>
      <w:r w:rsidRPr="00967581">
        <w:rPr>
          <w:b/>
          <w:color w:val="4F81BD" w:themeColor="accent1"/>
          <w:sz w:val="18"/>
          <w:szCs w:val="18"/>
        </w:rPr>
        <w:t xml:space="preserve">Figura </w:t>
      </w:r>
      <w:r w:rsidR="006B611D"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6B611D" w:rsidRPr="00967581">
        <w:rPr>
          <w:b/>
          <w:color w:val="4F81BD" w:themeColor="accent1"/>
          <w:sz w:val="18"/>
          <w:szCs w:val="18"/>
        </w:rPr>
        <w:fldChar w:fldCharType="separate"/>
      </w:r>
      <w:r>
        <w:rPr>
          <w:b/>
          <w:noProof/>
          <w:color w:val="4F81BD" w:themeColor="accent1"/>
          <w:sz w:val="18"/>
          <w:szCs w:val="18"/>
        </w:rPr>
        <w:t>4</w:t>
      </w:r>
      <w:r w:rsidR="006B611D"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lastRenderedPageBreak/>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302F8" w:rsidRPr="00C42594" w:rsidRDefault="00F302F8" w:rsidP="00F302F8">
      <w:pPr>
        <w:pStyle w:val="ParrafoTESIS"/>
      </w:pPr>
      <w:r w:rsidRPr="00C42594">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Pr="00820E94">
        <w:rPr>
          <w:rStyle w:val="Refdenotaalpie"/>
        </w:rPr>
        <w:footnoteReference w:id="8"/>
      </w:r>
      <w:r w:rsidRPr="00820E94">
        <w:t>].</w:t>
      </w:r>
      <w:r w:rsidRPr="00C42594">
        <w:t xml:space="preserve"> </w:t>
      </w:r>
    </w:p>
    <w:p w:rsidR="00F302F8" w:rsidRDefault="00F302F8" w:rsidP="00F302F8">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302F8" w:rsidRPr="00820E94" w:rsidRDefault="00F302F8" w:rsidP="00820E94">
      <w:pPr>
        <w:pStyle w:val="Epgrafe"/>
        <w:jc w:val="center"/>
      </w:pPr>
      <w:r w:rsidRPr="00820E94">
        <w:t xml:space="preserve">Figura </w:t>
      </w:r>
      <w:r w:rsidR="006B611D" w:rsidRPr="00820E94">
        <w:fldChar w:fldCharType="begin"/>
      </w:r>
      <w:r w:rsidRPr="00820E94">
        <w:instrText xml:space="preserve"> SEQ Figura \* ARABIC </w:instrText>
      </w:r>
      <w:r w:rsidR="006B611D" w:rsidRPr="00820E94">
        <w:fldChar w:fldCharType="separate"/>
      </w:r>
      <w:r w:rsidRPr="00820E94">
        <w:rPr>
          <w:noProof/>
        </w:rPr>
        <w:t>5</w:t>
      </w:r>
      <w:r w:rsidR="006B611D" w:rsidRPr="00820E94">
        <w:fldChar w:fldCharType="end"/>
      </w:r>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pie"/>
          <w:rFonts w:cstheme="minorHAnsi"/>
          <w:szCs w:val="22"/>
        </w:rPr>
        <w:footnoteReference w:id="9"/>
      </w:r>
      <w:r w:rsidRPr="00820E94">
        <w:rPr>
          <w:rFonts w:cstheme="minorHAnsi"/>
          <w:szCs w:val="22"/>
        </w:rPr>
        <w:t>]</w:t>
      </w:r>
      <w:r w:rsidRPr="00820E94">
        <w:rPr>
          <w:rFonts w:cstheme="minorHAnsi"/>
          <w:i/>
          <w:szCs w:val="22"/>
        </w:rPr>
        <w:t>.</w:t>
      </w:r>
    </w:p>
    <w:p w:rsidR="00F302F8" w:rsidRPr="00C42594" w:rsidRDefault="00F302F8" w:rsidP="00F302F8">
      <w:pPr>
        <w:pStyle w:val="Ttulo3"/>
      </w:pPr>
      <w:bookmarkStart w:id="11" w:name="_Toc266984385"/>
      <w:r>
        <w:lastRenderedPageBreak/>
        <w:t xml:space="preserve">1.2.3) </w:t>
      </w:r>
      <w:r w:rsidRPr="00C42594">
        <w:t>Duración del evento</w:t>
      </w:r>
      <w:bookmarkEnd w:id="11"/>
    </w:p>
    <w:p w:rsidR="00F302F8" w:rsidRPr="00C42594" w:rsidRDefault="00F302F8" w:rsidP="00F302F8">
      <w:pPr>
        <w:pStyle w:val="ParrafoTESIS"/>
        <w:rPr>
          <w:lang w:eastAsia="es-AR"/>
        </w:rPr>
      </w:pPr>
      <w:r w:rsidRPr="00C42594">
        <w:rPr>
          <w:lang w:eastAsia="es-AR"/>
        </w:rPr>
        <w:t>Single Event Ef</w:t>
      </w:r>
      <w:r w:rsidR="00820E94">
        <w:rPr>
          <w:lang w:eastAsia="es-AR"/>
        </w:rPr>
        <w:t>f</w:t>
      </w:r>
      <w:r w:rsidRPr="00C42594">
        <w:rPr>
          <w:lang w:eastAsia="es-AR"/>
        </w:rPr>
        <w:t>ect (SEE</w:t>
      </w:r>
      <w:r w:rsidR="00820E94">
        <w:rPr>
          <w:lang w:eastAsia="es-AR"/>
        </w:rPr>
        <w:t xml:space="preserve"> – Evento de efecto único</w:t>
      </w:r>
      <w:r w:rsidRPr="00C42594">
        <w:rPr>
          <w:lang w:eastAsia="es-AR"/>
        </w:rPr>
        <w:t>) pueden ser calificados en 3 tipos de efecto dependiendo del orden de permanencia de cada uno: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sidR="00820E94">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302F8" w:rsidRPr="006C2467" w:rsidRDefault="00F302F8"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820E94">
        <w:rPr>
          <w:rFonts w:eastAsia="Times New Roman" w:cstheme="minorHAnsi"/>
          <w:lang w:val="en-US" w:eastAsia="es-AR"/>
        </w:rPr>
        <w:t>or a nivel hardware, destrucción</w:t>
      </w:r>
      <w:r w:rsidRPr="006C2467">
        <w:rPr>
          <w:rFonts w:eastAsia="Times New Roman" w:cstheme="minorHAnsi"/>
          <w:lang w:val="en-US" w:eastAsia="es-AR"/>
        </w:rPr>
        <w:t>)</w:t>
      </w:r>
    </w:p>
    <w:p w:rsidR="00F302F8" w:rsidRPr="004E5783" w:rsidRDefault="00F302F8" w:rsidP="00F302F8">
      <w:pPr>
        <w:pStyle w:val="Subttulo"/>
        <w:rPr>
          <w:rFonts w:eastAsia="Times New Roman"/>
          <w:lang w:eastAsia="es-AR"/>
        </w:rPr>
      </w:pPr>
      <w:r w:rsidRPr="00664E6D">
        <w:rPr>
          <w:rFonts w:eastAsia="Times New Roman"/>
          <w:lang w:eastAsia="es-AR"/>
        </w:rPr>
        <w:t>Single Event Upset</w:t>
      </w:r>
    </w:p>
    <w:p w:rsidR="00F302F8" w:rsidRPr="00C42594" w:rsidRDefault="00F302F8" w:rsidP="00F302F8">
      <w:pPr>
        <w:pStyle w:val="ParrafoTESIS"/>
        <w:rPr>
          <w:lang w:eastAsia="es-AR"/>
        </w:rPr>
      </w:pPr>
      <w:r w:rsidRPr="00664E6D">
        <w:rPr>
          <w:lang w:eastAsia="es-AR"/>
        </w:rPr>
        <w:t>Single Event Upset (SEU) es definido por la NASA como “</w:t>
      </w:r>
      <w:r w:rsidRPr="00820E94">
        <w:rPr>
          <w:i/>
          <w:lang w:eastAsia="es-AR"/>
        </w:rPr>
        <w:t xml:space="preserve">Errores inducidos por </w:t>
      </w:r>
      <w:r w:rsidR="00820E94" w:rsidRPr="00820E94">
        <w:rPr>
          <w:i/>
          <w:lang w:eastAsia="es-AR"/>
        </w:rPr>
        <w:t>radiación</w:t>
      </w:r>
      <w:r w:rsidRPr="00820E94">
        <w:rPr>
          <w:i/>
          <w:lang w:eastAsia="es-AR"/>
        </w:rPr>
        <w:t xml:space="preserve"> en circuitos </w:t>
      </w:r>
      <w:r w:rsidR="00820E94" w:rsidRPr="00820E94">
        <w:rPr>
          <w:i/>
          <w:lang w:eastAsia="es-AR"/>
        </w:rPr>
        <w:t>micro electrónicos</w:t>
      </w:r>
      <w:r w:rsidRPr="00820E94">
        <w:rPr>
          <w:i/>
          <w:lang w:eastAsia="es-AR"/>
        </w:rPr>
        <w:t xml:space="preserve"> causados por una particular cargada (usualmente proveniente del </w:t>
      </w:r>
      <w:r w:rsidR="00820E94" w:rsidRPr="00820E94">
        <w:rPr>
          <w:i/>
          <w:lang w:eastAsia="es-AR"/>
        </w:rPr>
        <w:t>cinturón</w:t>
      </w:r>
      <w:r w:rsidRPr="00820E94">
        <w:rPr>
          <w:i/>
          <w:lang w:eastAsia="es-AR"/>
        </w:rPr>
        <w:t xml:space="preserve"> de </w:t>
      </w:r>
      <w:r w:rsidR="00820E94" w:rsidRPr="00820E94">
        <w:rPr>
          <w:i/>
          <w:lang w:eastAsia="es-AR"/>
        </w:rPr>
        <w:t>radiación</w:t>
      </w:r>
      <w:r w:rsidRPr="00820E94">
        <w:rPr>
          <w:i/>
          <w:lang w:eastAsia="es-AR"/>
        </w:rPr>
        <w:t xml:space="preserve">  o de rayos </w:t>
      </w:r>
      <w:r w:rsidR="00820E94" w:rsidRPr="00820E94">
        <w:rPr>
          <w:i/>
          <w:lang w:eastAsia="es-AR"/>
        </w:rPr>
        <w:t>cósmicos</w:t>
      </w:r>
      <w:r w:rsidRPr="00820E94">
        <w:rPr>
          <w:i/>
          <w:lang w:eastAsia="es-AR"/>
        </w:rPr>
        <w:t>) que pierde energía mientras ioniza el medio que atraviesa, dejado en su recorrido un sendero de pares electr</w:t>
      </w:r>
      <w:r w:rsidR="00820E94">
        <w:rPr>
          <w:i/>
          <w:lang w:eastAsia="es-AR"/>
        </w:rPr>
        <w:t>ón-hueco”</w:t>
      </w:r>
      <w:r w:rsidRPr="00664E6D">
        <w:rPr>
          <w:lang w:eastAsia="es-AR"/>
        </w:rPr>
        <w:t xml:space="preserve"> </w:t>
      </w:r>
      <w:r w:rsidRPr="00820E94">
        <w:rPr>
          <w:lang w:eastAsia="es-AR"/>
        </w:rPr>
        <w:t>[</w:t>
      </w:r>
      <w:r w:rsidRPr="00820E94">
        <w:rPr>
          <w:rStyle w:val="Refdenotaalpie"/>
          <w:lang w:eastAsia="es-AR"/>
        </w:rPr>
        <w:footnoteReference w:id="10"/>
      </w:r>
      <w:r w:rsidRPr="00820E94">
        <w:rPr>
          <w:lang w:eastAsia="es-AR"/>
        </w:rPr>
        <w:t>]</w:t>
      </w:r>
      <w:r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10353A" w:rsidRDefault="0010353A">
      <w:pPr>
        <w:rPr>
          <w:rFonts w:cstheme="minorHAnsi"/>
          <w:lang w:eastAsia="es-AR"/>
        </w:rPr>
      </w:pPr>
      <w:r>
        <w:rPr>
          <w:lang w:eastAsia="es-AR"/>
        </w:rPr>
        <w:br w:type="page"/>
      </w:r>
    </w:p>
    <w:p w:rsidR="00F302F8" w:rsidRPr="001F1F48" w:rsidRDefault="00F302F8" w:rsidP="00F302F8">
      <w:pPr>
        <w:pStyle w:val="Subttulo"/>
        <w:rPr>
          <w:rFonts w:eastAsia="Times New Roman"/>
          <w:lang w:eastAsia="es-AR"/>
        </w:rPr>
      </w:pPr>
      <w:r w:rsidRPr="001F1F48">
        <w:rPr>
          <w:rFonts w:eastAsia="Times New Roman"/>
          <w:lang w:eastAsia="es-AR"/>
        </w:rPr>
        <w:lastRenderedPageBreak/>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302F8"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r w:rsidR="006B611D" w:rsidRPr="006B611D">
        <w:rPr>
          <w:lang w:eastAsia="es-AR"/>
        </w:rPr>
        <w:t>[</w:t>
      </w:r>
      <w:r w:rsidR="006B611D" w:rsidRPr="006B611D">
        <w:rPr>
          <w:rStyle w:val="Refdenotaalpie"/>
          <w:lang w:eastAsia="es-AR"/>
        </w:rPr>
        <w:footnoteReference w:id="11"/>
      </w:r>
      <w:r w:rsidR="006B611D" w:rsidRPr="006B611D">
        <w:rPr>
          <w:lang w:eastAsia="es-AR"/>
        </w:rPr>
        <w:t>]</w:t>
      </w:r>
      <w:r w:rsidRPr="00C42594">
        <w:rPr>
          <w:lang w:eastAsia="es-AR"/>
        </w:rPr>
        <w:t>.</w:t>
      </w:r>
    </w:p>
    <w:p w:rsidR="00F302F8" w:rsidRPr="001F1F48" w:rsidRDefault="00F302F8" w:rsidP="00F302F8">
      <w:pPr>
        <w:pStyle w:val="Subttulo"/>
        <w:rPr>
          <w:rFonts w:eastAsia="Times New Roman"/>
          <w:lang w:eastAsia="es-AR"/>
        </w:rPr>
      </w:pPr>
      <w:r w:rsidRPr="001F1F48">
        <w:rPr>
          <w:rFonts w:eastAsia="Times New Roman"/>
          <w:lang w:eastAsia="es-AR"/>
        </w:rPr>
        <w:t>Single Event Burnout</w:t>
      </w:r>
    </w:p>
    <w:p w:rsidR="00F302F8" w:rsidRPr="00C42594" w:rsidRDefault="00F302F8" w:rsidP="00F302F8">
      <w:pPr>
        <w:pStyle w:val="ParrafoTESIS"/>
      </w:pPr>
      <w:r w:rsidRPr="00C42594">
        <w:t>Single Event Burnout (SEB</w:t>
      </w:r>
      <w:r w:rsidR="00F52EB2">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006B611D" w:rsidRPr="006B611D">
        <w:rPr>
          <w:highlight w:val="yellow"/>
        </w:rPr>
        <w:t>CCDs (charge-couple devices).</w:t>
      </w:r>
      <w:r w:rsidRPr="00C42594">
        <w:t xml:space="preserve">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temperatura</w:t>
      </w:r>
      <w:r>
        <w:t xml:space="preserve"> </w:t>
      </w:r>
      <w:r w:rsidR="006B611D" w:rsidRPr="006B611D">
        <w:t>[</w:t>
      </w:r>
      <w:r w:rsidR="006B611D" w:rsidRPr="006B611D">
        <w:rPr>
          <w:rStyle w:val="Refdenotaalpie"/>
        </w:rPr>
        <w:footnoteReference w:id="12"/>
      </w:r>
      <w:r w:rsidR="006B611D" w:rsidRPr="006B611D">
        <w:t>]</w:t>
      </w:r>
      <w:r w:rsidRPr="00C42594">
        <w:t>.</w:t>
      </w:r>
    </w:p>
    <w:p w:rsidR="00F302F8" w:rsidRPr="00C42594" w:rsidRDefault="00F302F8" w:rsidP="00F302F8">
      <w:pPr>
        <w:pStyle w:val="ParrafoTESIS"/>
      </w:pPr>
      <w:r w:rsidRPr="00C42594">
        <w:t>Un MOSFET de potencia puede sufrir un Single Event Gate Rupture (SEGR</w:t>
      </w:r>
      <w:r w:rsidR="00334B73">
        <w:t xml:space="preserve"> – Evento único de ruptura de compuerta</w:t>
      </w:r>
      <w:r w:rsidRPr="00C42594">
        <w:t xml:space="preserve">) que es la formación de un camino conductor (ruptura dieléctrica localizada) en la </w:t>
      </w:r>
      <w:r w:rsidR="00334B73">
        <w:t>compuerta</w:t>
      </w:r>
      <w:r w:rsidRPr="00C42594">
        <w:t xml:space="preserve"> originando la destrucción del dispositivo</w:t>
      </w:r>
      <w:r>
        <w:t xml:space="preserve"> </w:t>
      </w:r>
      <w:r w:rsidR="006B611D" w:rsidRPr="006B611D">
        <w:t>[</w:t>
      </w:r>
      <w:r w:rsidR="006B611D" w:rsidRPr="006B611D">
        <w:rPr>
          <w:rStyle w:val="Refdenotaalpie"/>
        </w:rPr>
        <w:footnoteReference w:id="13"/>
      </w:r>
      <w:r w:rsidR="006B611D" w:rsidRPr="006B611D">
        <w:t>]</w:t>
      </w:r>
      <w:r w:rsidRPr="00C42594">
        <w:t>.</w:t>
      </w:r>
    </w:p>
    <w:p w:rsidR="00F302F8" w:rsidRPr="006A1B63" w:rsidRDefault="006B611D" w:rsidP="00F302F8">
      <w:pPr>
        <w:pStyle w:val="Ttulo3"/>
      </w:pPr>
      <w:bookmarkStart w:id="12" w:name="_Toc266984386"/>
      <w:r w:rsidRPr="006B611D">
        <w:t>1.2.4) Carga crítica</w:t>
      </w:r>
      <w:bookmarkEnd w:id="12"/>
    </w:p>
    <w:p w:rsidR="00F302F8" w:rsidRPr="006A1B63" w:rsidRDefault="006B611D" w:rsidP="00F302F8">
      <w:pPr>
        <w:pStyle w:val="ParrafoTESIS"/>
      </w:pPr>
      <w:r w:rsidRPr="006B611D">
        <w:lastRenderedPageBreak/>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6A1B63" w:rsidRDefault="006B611D" w:rsidP="00F302F8">
      <w:pPr>
        <w:pStyle w:val="Prrafodelista"/>
        <w:numPr>
          <w:ilvl w:val="0"/>
          <w:numId w:val="3"/>
        </w:numPr>
        <w:spacing w:after="0" w:line="240" w:lineRule="auto"/>
        <w:rPr>
          <w:rFonts w:cstheme="minorHAnsi"/>
        </w:rPr>
      </w:pPr>
      <w:r w:rsidRPr="006B611D">
        <w:rPr>
          <w:rFonts w:cstheme="minorHAnsi"/>
        </w:rPr>
        <w:t>CMOS/SOS (menos susceptibilidad)</w:t>
      </w:r>
    </w:p>
    <w:p w:rsidR="00F302F8" w:rsidRPr="006A1B63" w:rsidRDefault="006B611D" w:rsidP="00F302F8">
      <w:pPr>
        <w:pStyle w:val="Prrafodelista"/>
        <w:numPr>
          <w:ilvl w:val="0"/>
          <w:numId w:val="3"/>
        </w:numPr>
        <w:spacing w:after="0" w:line="240" w:lineRule="auto"/>
        <w:rPr>
          <w:rFonts w:cstheme="minorHAnsi"/>
        </w:rPr>
      </w:pPr>
      <w:r w:rsidRPr="006B611D">
        <w:rPr>
          <w:rFonts w:cstheme="minorHAnsi"/>
        </w:rPr>
        <w:t>CMOS</w:t>
      </w:r>
    </w:p>
    <w:p w:rsidR="00F302F8" w:rsidRPr="006A1B63" w:rsidRDefault="006B611D" w:rsidP="00F302F8">
      <w:pPr>
        <w:pStyle w:val="Prrafodelista"/>
        <w:numPr>
          <w:ilvl w:val="0"/>
          <w:numId w:val="3"/>
        </w:numPr>
        <w:spacing w:after="0" w:line="240" w:lineRule="auto"/>
        <w:rPr>
          <w:rFonts w:cstheme="minorHAnsi"/>
        </w:rPr>
      </w:pPr>
      <w:r w:rsidRPr="006B611D">
        <w:rPr>
          <w:rFonts w:cstheme="minorHAnsi"/>
        </w:rPr>
        <w:t>ESTÁNDAR BIPOLAR</w:t>
      </w:r>
    </w:p>
    <w:p w:rsidR="00F302F8" w:rsidRPr="006A1B63" w:rsidRDefault="006B611D" w:rsidP="00F302F8">
      <w:pPr>
        <w:pStyle w:val="Prrafodelista"/>
        <w:numPr>
          <w:ilvl w:val="0"/>
          <w:numId w:val="3"/>
        </w:numPr>
        <w:spacing w:after="0" w:line="240" w:lineRule="auto"/>
        <w:rPr>
          <w:rFonts w:cstheme="minorHAnsi"/>
        </w:rPr>
      </w:pPr>
      <w:r w:rsidRPr="006B611D">
        <w:rPr>
          <w:rFonts w:cstheme="minorHAnsi"/>
        </w:rPr>
        <w:t>BIPOLARES SCHOTTKY DE BAJAS TENSIONES</w:t>
      </w:r>
    </w:p>
    <w:p w:rsidR="00F302F8" w:rsidRPr="006A1B63" w:rsidRDefault="006B611D" w:rsidP="00F302F8">
      <w:pPr>
        <w:pStyle w:val="Prrafodelista"/>
        <w:numPr>
          <w:ilvl w:val="0"/>
          <w:numId w:val="3"/>
        </w:numPr>
        <w:spacing w:after="0" w:line="240" w:lineRule="auto"/>
        <w:rPr>
          <w:rFonts w:cstheme="minorHAnsi"/>
        </w:rPr>
      </w:pPr>
      <w:r w:rsidRPr="006B611D">
        <w:rPr>
          <w:rFonts w:cstheme="minorHAnsi"/>
        </w:rPr>
        <w:t>NMOS DRAMs (más susceptibles)</w:t>
      </w:r>
    </w:p>
    <w:p w:rsidR="00F302F8" w:rsidRPr="006A1B63" w:rsidRDefault="006B611D" w:rsidP="00F302F8">
      <w:pPr>
        <w:pStyle w:val="ParrafoTESIS"/>
      </w:pPr>
      <w:r w:rsidRPr="006B611D">
        <w:t>Latchup y destrucción de circuitos no suelen ocurrir cuando los dispositivos están fabricados con GaAs, pero su susceptibilidad a los SEUs aumenta en una pequeña proporción [</w:t>
      </w:r>
      <w:r w:rsidRPr="006B611D">
        <w:rPr>
          <w:rStyle w:val="Refdenotaalpie"/>
        </w:rPr>
        <w:footnoteReference w:id="14"/>
      </w:r>
      <w:r w:rsidRPr="006B611D">
        <w:t>].</w:t>
      </w:r>
    </w:p>
    <w:p w:rsidR="00F302F8" w:rsidRPr="006A1B63" w:rsidRDefault="006B611D" w:rsidP="00F302F8">
      <w:pPr>
        <w:pStyle w:val="ParrafoTESIS"/>
      </w:pPr>
      <w:r w:rsidRPr="006B611D">
        <w:t xml:space="preserve">La inmunidad del dispositivo está determinado por su </w:t>
      </w:r>
      <w:r w:rsidR="00196C82">
        <w:t>(</w:t>
      </w:r>
      <w:r w:rsidRPr="006B611D">
        <w:rPr>
          <w:i/>
        </w:rPr>
        <w:t>Linear Energy Transfer Threshold</w:t>
      </w:r>
      <w:r w:rsidRPr="006B611D">
        <w:t xml:space="preserve"> </w:t>
      </w:r>
      <w:r w:rsidR="00196C82">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r w:rsidRPr="006B611D">
        <w:rPr>
          <w:rStyle w:val="Refdenotaalpie"/>
        </w:rPr>
        <w:footnoteReference w:id="15"/>
      </w:r>
      <w:r w:rsidRPr="006B611D">
        <w:t>].</w:t>
      </w:r>
    </w:p>
    <w:p w:rsidR="00F302F8" w:rsidRPr="006A1B63" w:rsidRDefault="006B611D"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sidR="00545093">
        <w:rPr>
          <w:rStyle w:val="apple-style-span"/>
          <w:shd w:val="clear" w:color="auto" w:fill="FFFFFF"/>
        </w:rPr>
        <w:t>o</w:t>
      </w:r>
      <w:r w:rsidRPr="006B611D">
        <w:rPr>
          <w:rStyle w:val="apple-style-span"/>
          <w:shd w:val="clear" w:color="auto" w:fill="FFFFFF"/>
        </w:rPr>
        <w:t xml:space="preserve">lo </w:t>
      </w:r>
      <w:r w:rsidR="00545093"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302F8" w:rsidRPr="0026113D" w:rsidRDefault="006B611D"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00F302F8" w:rsidRPr="006A1B63">
        <w:rPr>
          <w:rStyle w:val="apple-style-span"/>
          <w:shd w:val="clear" w:color="auto" w:fill="FFFFFF"/>
        </w:rPr>
        <w:t xml:space="preserve"> </w:t>
      </w:r>
      <w:r w:rsidRPr="006B611D">
        <w:rPr>
          <w:rStyle w:val="apple-style-span"/>
          <w:shd w:val="clear" w:color="auto" w:fill="FFFFFF"/>
        </w:rPr>
        <w:t>[</w:t>
      </w:r>
      <w:r w:rsidRPr="006B611D">
        <w:rPr>
          <w:rStyle w:val="Refdenotaalpie"/>
          <w:shd w:val="clear" w:color="auto" w:fill="FFFFFF"/>
        </w:rPr>
        <w:footnoteReference w:id="16"/>
      </w:r>
      <w:r w:rsidRPr="006B611D">
        <w:rPr>
          <w:rStyle w:val="apple-style-span"/>
          <w:shd w:val="clear" w:color="auto" w:fill="FFFFFF"/>
        </w:rPr>
        <w:t>]</w:t>
      </w:r>
      <w:r w:rsidR="00F302F8" w:rsidRPr="006A1B63">
        <w:rPr>
          <w:rStyle w:val="apple-style-span"/>
          <w:shd w:val="clear" w:color="auto" w:fill="FFFFFF"/>
        </w:rPr>
        <w:t>.</w:t>
      </w:r>
    </w:p>
    <w:p w:rsidR="00F302F8" w:rsidRPr="00CA268A" w:rsidRDefault="00F302F8" w:rsidP="00F302F8">
      <w:pPr>
        <w:pStyle w:val="Ttulo2"/>
      </w:pPr>
      <w:bookmarkStart w:id="13" w:name="_Toc266984387"/>
      <w:r>
        <w:t xml:space="preserve">1.3) </w:t>
      </w:r>
      <w:r w:rsidRPr="00CA268A">
        <w:t>Modelado de la falla</w:t>
      </w:r>
      <w:bookmarkEnd w:id="13"/>
    </w:p>
    <w:p w:rsidR="00F302F8" w:rsidRPr="00CA268A" w:rsidRDefault="00F302F8" w:rsidP="00F302F8">
      <w:pPr>
        <w:pStyle w:val="Ttulo3"/>
      </w:pPr>
      <w:bookmarkStart w:id="14" w:name="_Toc266984388"/>
      <w:r>
        <w:t xml:space="preserve">1.3.1) </w:t>
      </w:r>
      <w:r w:rsidRPr="00CA268A">
        <w:t>Modelos utilizados</w:t>
      </w:r>
      <w:bookmarkEnd w:id="14"/>
    </w:p>
    <w:p w:rsidR="00F302F8" w:rsidRPr="00CA268A" w:rsidRDefault="00F302F8" w:rsidP="00F302F8">
      <w:pPr>
        <w:pStyle w:val="ParrafoTESIS"/>
      </w:pPr>
      <w:r w:rsidRPr="00CA268A">
        <w:t xml:space="preserve">El impacto en el circuito depende de la sensibilidad a generar cargas. El efecto es difícil de simular debido a que el impacto del circuito depende del pulso tanto como de la respuesta </w:t>
      </w:r>
      <w:r w:rsidRPr="00CA268A">
        <w:lastRenderedPageBreak/>
        <w:t xml:space="preserve">dinámica del circuito en sí. El transitorio puede ser modelado como una inyección de tipo doble exponencial de corriente, </w:t>
      </w:r>
      <w:r w:rsidRPr="00545093">
        <w:t xml:space="preserve">según </w:t>
      </w:r>
      <w:r w:rsidR="006B611D" w:rsidRPr="006B611D">
        <w:t>[</w:t>
      </w:r>
      <w:r w:rsidR="006B611D" w:rsidRPr="006B611D">
        <w:rPr>
          <w:rStyle w:val="Refdenotaalpie"/>
        </w:rPr>
        <w:footnoteReference w:id="17"/>
      </w:r>
      <w:r w:rsidR="006B611D" w:rsidRPr="006B611D">
        <w:t>]</w:t>
      </w:r>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6B611D"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EXPONENCIAL</w:t>
      </w:r>
    </w:p>
    <w:p w:rsidR="00F302F8" w:rsidRDefault="00F302F8" w:rsidP="00F302F8">
      <w:pPr>
        <w:pStyle w:val="ParrafoTESIS"/>
        <w:rPr>
          <w:szCs w:val="18"/>
        </w:rPr>
      </w:pPr>
      <w:r>
        <w:t>Un modelo de menor complejidad que la doble exponencial es la exponencial simple (</w:t>
      </w:r>
      <w:r w:rsidR="006B611D">
        <w:fldChar w:fldCharType="begin"/>
      </w:r>
      <w:r>
        <w:instrText xml:space="preserve"> REF _Ref266984405 \h </w:instrText>
      </w:r>
      <w:r w:rsidR="006B611D">
        <w:fldChar w:fldCharType="separate"/>
      </w:r>
      <w:r>
        <w:t xml:space="preserve">Figura </w:t>
      </w:r>
      <w:r>
        <w:rPr>
          <w:noProof/>
        </w:rPr>
        <w:t>6</w:t>
      </w:r>
      <w:r w:rsidR="006B611D">
        <w:fldChar w:fldCharType="end"/>
      </w:r>
      <w:r>
        <w:t xml:space="preserve">), que haciendo referencia a la </w:t>
      </w:r>
      <w:fldSimple w:instr=" REF _Ref266986213 \h  \* MERGEFORMAT ">
        <w:r w:rsidR="006B611D" w:rsidRPr="006B611D">
          <w:t xml:space="preserve">Figura </w:t>
        </w:r>
        <w:r w:rsidR="006B611D" w:rsidRPr="006B611D">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 </w:t>
      </w:r>
      <w:r w:rsidR="006B611D">
        <w:fldChar w:fldCharType="begin"/>
      </w:r>
      <w:r>
        <w:instrText xml:space="preserve"> REF _Ref266984405 \h </w:instrText>
      </w:r>
      <w:r w:rsidR="006B611D">
        <w:fldChar w:fldCharType="separate"/>
      </w:r>
      <w:r>
        <w:t xml:space="preserve">Figura </w:t>
      </w:r>
      <w:r>
        <w:rPr>
          <w:noProof/>
        </w:rPr>
        <w:t>6</w:t>
      </w:r>
      <w:r w:rsidR="006B611D">
        <w:fldChar w:fldCharType="end"/>
      </w:r>
      <w:r>
        <w:rPr>
          <w:szCs w:val="18"/>
        </w:rPr>
        <w:t xml:space="preserve">). El proceso de </w:t>
      </w:r>
      <w:r w:rsidR="006B611D" w:rsidRPr="006B611D">
        <w:rPr>
          <w:i/>
          <w:szCs w:val="18"/>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F302F8">
      <w:r>
        <w:t>La expresión matemática de la falla exponencial modelizada es:</w:t>
      </w:r>
    </w:p>
    <w:p w:rsidR="00F302F8" w:rsidRDefault="00F302F8" w:rsidP="00F302F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F302F8" w:rsidRDefault="00F302F8" w:rsidP="00F302F8">
      <w:r>
        <w:t>Su representación en SPICE es:</w:t>
      </w:r>
    </w:p>
    <w:p w:rsidR="00F302F8" w:rsidRPr="00894C61" w:rsidRDefault="00F302F8" w:rsidP="00F302F8">
      <w:pPr>
        <w:autoSpaceDE w:val="0"/>
        <w:autoSpaceDN w:val="0"/>
        <w:adjustRightInd w:val="0"/>
        <w:spacing w:after="0" w:line="240" w:lineRule="auto"/>
        <w:rPr>
          <w:rFonts w:cstheme="minorHAnsi"/>
        </w:rPr>
      </w:pPr>
      <w:r w:rsidRPr="00894C61">
        <w:rPr>
          <w:rFonts w:cstheme="minorHAnsi"/>
          <w:b/>
          <w:bCs/>
        </w:rPr>
        <w:t>Expresión general</w:t>
      </w:r>
      <w:r w:rsidRPr="00894C61">
        <w:rPr>
          <w:rFonts w:cstheme="minorHAnsi"/>
          <w:b/>
          <w:bCs/>
        </w:rPr>
        <w:tab/>
      </w:r>
      <w:r w:rsidRPr="00894C61">
        <w:rPr>
          <w:rFonts w:cstheme="minorHAnsi"/>
        </w:rPr>
        <w:t>EXP (&lt;i1&gt; &lt;i2&gt; &lt;td1&gt; &lt;tc1&gt; &lt;td2&gt; &lt;tc2&gt;)</w:t>
      </w:r>
    </w:p>
    <w:p w:rsidR="00545093" w:rsidRPr="00FC0A45" w:rsidRDefault="00F302F8" w:rsidP="00F302F8">
      <w:pPr>
        <w:autoSpaceDE w:val="0"/>
        <w:autoSpaceDN w:val="0"/>
        <w:adjustRightInd w:val="0"/>
        <w:spacing w:after="0" w:line="240" w:lineRule="auto"/>
        <w:rPr>
          <w:rFonts w:cstheme="minorHAnsi"/>
          <w:b/>
          <w:bCs/>
        </w:rPr>
      </w:pPr>
      <w:r w:rsidRPr="00FC0A45">
        <w:rPr>
          <w:rFonts w:cstheme="minorHAnsi"/>
          <w:b/>
          <w:bCs/>
        </w:rPr>
        <w:t>Par</w:t>
      </w:r>
      <w:r>
        <w:rPr>
          <w:rFonts w:cstheme="minorHAnsi"/>
          <w:b/>
          <w:bCs/>
        </w:rPr>
        <w:t>á</w:t>
      </w:r>
      <w:r w:rsidRPr="00FC0A45">
        <w:rPr>
          <w:rFonts w:cstheme="minorHAnsi"/>
          <w:b/>
          <w:bCs/>
        </w:rPr>
        <w:t>metros de forma de onda:</w:t>
      </w:r>
    </w:p>
    <w:tbl>
      <w:tblPr>
        <w:tblStyle w:val="Tablaconcuadrcula"/>
        <w:tblpPr w:leftFromText="141" w:rightFromText="141" w:vertAnchor="text" w:tblpY="1"/>
        <w:tblOverlap w:val="never"/>
        <w:tblW w:w="0" w:type="auto"/>
        <w:tblLook w:val="04A0"/>
      </w:tblPr>
      <w:tblGrid>
        <w:gridCol w:w="1319"/>
        <w:gridCol w:w="4064"/>
        <w:gridCol w:w="966"/>
      </w:tblGrid>
      <w:tr w:rsidR="00F302F8" w:rsidRPr="00FC0A45" w:rsidTr="00545093">
        <w:tc>
          <w:tcPr>
            <w:tcW w:w="1319" w:type="dxa"/>
            <w:vAlign w:val="center"/>
          </w:tcPr>
          <w:p w:rsidR="00000000" w:rsidRDefault="00F302F8">
            <w:pPr>
              <w:autoSpaceDE w:val="0"/>
              <w:autoSpaceDN w:val="0"/>
              <w:adjustRightInd w:val="0"/>
              <w:jc w:val="center"/>
              <w:rPr>
                <w:rFonts w:cstheme="minorHAnsi"/>
                <w:b/>
                <w:bCs/>
                <w:lang w:val="en-US"/>
              </w:rPr>
            </w:pPr>
            <w:r w:rsidRPr="00707401">
              <w:rPr>
                <w:rFonts w:cstheme="minorHAnsi"/>
                <w:b/>
                <w:bCs/>
              </w:rPr>
              <w:t>Parámetro</w:t>
            </w:r>
          </w:p>
        </w:tc>
        <w:tc>
          <w:tcPr>
            <w:tcW w:w="4064" w:type="dxa"/>
            <w:vAlign w:val="center"/>
          </w:tcPr>
          <w:p w:rsidR="00000000" w:rsidRDefault="00F302F8">
            <w:pPr>
              <w:autoSpaceDE w:val="0"/>
              <w:autoSpaceDN w:val="0"/>
              <w:adjustRightInd w:val="0"/>
              <w:jc w:val="center"/>
              <w:rPr>
                <w:rFonts w:cstheme="minorHAnsi"/>
                <w:b/>
                <w:bCs/>
                <w:lang w:val="en-US"/>
              </w:rPr>
            </w:pPr>
            <w:r>
              <w:rPr>
                <w:rFonts w:cstheme="minorHAnsi"/>
                <w:b/>
                <w:bCs/>
                <w:lang w:val="en-US"/>
              </w:rPr>
              <w:t>Descripción</w:t>
            </w:r>
          </w:p>
        </w:tc>
        <w:tc>
          <w:tcPr>
            <w:tcW w:w="966" w:type="dxa"/>
            <w:vAlign w:val="center"/>
          </w:tcPr>
          <w:p w:rsidR="00000000" w:rsidRDefault="00F302F8">
            <w:pPr>
              <w:autoSpaceDE w:val="0"/>
              <w:autoSpaceDN w:val="0"/>
              <w:adjustRightInd w:val="0"/>
              <w:jc w:val="center"/>
              <w:rPr>
                <w:rFonts w:cstheme="minorHAnsi"/>
                <w:b/>
                <w:bCs/>
                <w:lang w:val="en-US"/>
              </w:rPr>
            </w:pPr>
            <w:r>
              <w:rPr>
                <w:rFonts w:cstheme="minorHAnsi"/>
                <w:b/>
                <w:bCs/>
                <w:lang w:val="en-US"/>
              </w:rPr>
              <w:t>Unidad</w:t>
            </w:r>
          </w:p>
        </w:tc>
      </w:tr>
      <w:tr w:rsidR="00F302F8" w:rsidRPr="00FC0A45" w:rsidTr="00545093">
        <w:tc>
          <w:tcPr>
            <w:tcW w:w="1319"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&lt;i1&gt;</w:t>
            </w:r>
          </w:p>
        </w:tc>
        <w:tc>
          <w:tcPr>
            <w:tcW w:w="4064" w:type="dxa"/>
            <w:vAlign w:val="center"/>
          </w:tcPr>
          <w:p w:rsidR="00000000" w:rsidRDefault="00F302F8">
            <w:pPr>
              <w:autoSpaceDE w:val="0"/>
              <w:autoSpaceDN w:val="0"/>
              <w:adjustRightInd w:val="0"/>
              <w:jc w:val="center"/>
              <w:rPr>
                <w:rFonts w:cstheme="minorHAnsi"/>
                <w:lang w:val="en-US"/>
              </w:rPr>
            </w:pPr>
            <w:r>
              <w:rPr>
                <w:rFonts w:cstheme="minorHAnsi"/>
                <w:lang w:val="en-US"/>
              </w:rPr>
              <w:t>Corriente inicial</w:t>
            </w:r>
          </w:p>
        </w:tc>
        <w:tc>
          <w:tcPr>
            <w:tcW w:w="966"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amp</w:t>
            </w:r>
          </w:p>
        </w:tc>
      </w:tr>
      <w:tr w:rsidR="00F302F8" w:rsidRPr="00FC0A45" w:rsidTr="00545093">
        <w:tc>
          <w:tcPr>
            <w:tcW w:w="1319"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&lt;i2&gt;</w:t>
            </w:r>
          </w:p>
        </w:tc>
        <w:tc>
          <w:tcPr>
            <w:tcW w:w="4064" w:type="dxa"/>
            <w:vAlign w:val="center"/>
          </w:tcPr>
          <w:p w:rsidR="00000000" w:rsidRDefault="00F302F8">
            <w:pPr>
              <w:autoSpaceDE w:val="0"/>
              <w:autoSpaceDN w:val="0"/>
              <w:adjustRightInd w:val="0"/>
              <w:jc w:val="center"/>
              <w:rPr>
                <w:rFonts w:cstheme="minorHAnsi"/>
                <w:lang w:val="en-US"/>
              </w:rPr>
            </w:pPr>
            <w:r>
              <w:rPr>
                <w:rFonts w:cstheme="minorHAnsi"/>
                <w:lang w:val="en-US"/>
              </w:rPr>
              <w:t>Pico de corriente</w:t>
            </w:r>
          </w:p>
        </w:tc>
        <w:tc>
          <w:tcPr>
            <w:tcW w:w="966"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amp</w:t>
            </w:r>
          </w:p>
        </w:tc>
      </w:tr>
      <w:tr w:rsidR="00F302F8" w:rsidRPr="00FC0A45" w:rsidTr="00545093">
        <w:tc>
          <w:tcPr>
            <w:tcW w:w="1319"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&lt;td1&gt;</w:t>
            </w:r>
          </w:p>
        </w:tc>
        <w:tc>
          <w:tcPr>
            <w:tcW w:w="4064" w:type="dxa"/>
            <w:vAlign w:val="center"/>
          </w:tcPr>
          <w:p w:rsidR="00000000" w:rsidRDefault="00F302F8">
            <w:pPr>
              <w:autoSpaceDE w:val="0"/>
              <w:autoSpaceDN w:val="0"/>
              <w:adjustRightInd w:val="0"/>
              <w:jc w:val="center"/>
              <w:rPr>
                <w:rFonts w:cstheme="minorHAnsi"/>
                <w:lang w:val="en-US"/>
              </w:rPr>
            </w:pPr>
            <w:r>
              <w:rPr>
                <w:rFonts w:cstheme="minorHAnsi"/>
                <w:lang w:val="en-US"/>
              </w:rPr>
              <w:t>Delay subida (bajada)</w:t>
            </w:r>
          </w:p>
        </w:tc>
        <w:tc>
          <w:tcPr>
            <w:tcW w:w="966"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sec</w:t>
            </w:r>
          </w:p>
        </w:tc>
      </w:tr>
      <w:tr w:rsidR="00F302F8" w:rsidRPr="00FC0A45" w:rsidTr="00545093">
        <w:tc>
          <w:tcPr>
            <w:tcW w:w="1319" w:type="dxa"/>
            <w:vAlign w:val="center"/>
          </w:tcPr>
          <w:p w:rsidR="00000000" w:rsidRDefault="00F302F8">
            <w:pPr>
              <w:autoSpaceDE w:val="0"/>
              <w:autoSpaceDN w:val="0"/>
              <w:adjustRightInd w:val="0"/>
              <w:jc w:val="center"/>
              <w:rPr>
                <w:rFonts w:cstheme="minorHAnsi"/>
                <w:i/>
                <w:iCs/>
                <w:lang w:val="en-US"/>
              </w:rPr>
            </w:pPr>
            <w:r w:rsidRPr="00FC0A45">
              <w:rPr>
                <w:rFonts w:cstheme="minorHAnsi"/>
                <w:lang w:val="en-US"/>
              </w:rPr>
              <w:t>&lt;tc1&gt;</w:t>
            </w:r>
          </w:p>
        </w:tc>
        <w:tc>
          <w:tcPr>
            <w:tcW w:w="4064" w:type="dxa"/>
            <w:vAlign w:val="center"/>
          </w:tcPr>
          <w:p w:rsidR="00000000" w:rsidRDefault="00F302F8">
            <w:pPr>
              <w:autoSpaceDE w:val="0"/>
              <w:autoSpaceDN w:val="0"/>
              <w:adjustRightInd w:val="0"/>
              <w:jc w:val="center"/>
              <w:rPr>
                <w:rFonts w:cstheme="minorHAnsi"/>
              </w:rPr>
            </w:pPr>
            <w:r w:rsidRPr="00664E6D">
              <w:rPr>
                <w:rFonts w:cstheme="minorHAnsi"/>
              </w:rPr>
              <w:t>Constante de tiempo de subida (bajada)</w:t>
            </w:r>
          </w:p>
        </w:tc>
        <w:tc>
          <w:tcPr>
            <w:tcW w:w="966"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sec</w:t>
            </w:r>
          </w:p>
        </w:tc>
      </w:tr>
      <w:tr w:rsidR="00F302F8" w:rsidRPr="00FC0A45" w:rsidTr="00545093">
        <w:tc>
          <w:tcPr>
            <w:tcW w:w="1319" w:type="dxa"/>
            <w:vAlign w:val="center"/>
          </w:tcPr>
          <w:p w:rsidR="00000000" w:rsidRDefault="00F302F8">
            <w:pPr>
              <w:autoSpaceDE w:val="0"/>
              <w:autoSpaceDN w:val="0"/>
              <w:adjustRightInd w:val="0"/>
              <w:jc w:val="center"/>
              <w:rPr>
                <w:rFonts w:cstheme="minorHAnsi"/>
                <w:i/>
                <w:iCs/>
                <w:lang w:val="en-US"/>
              </w:rPr>
            </w:pPr>
            <w:r w:rsidRPr="00FC0A45">
              <w:rPr>
                <w:rFonts w:cstheme="minorHAnsi"/>
                <w:lang w:val="en-US"/>
              </w:rPr>
              <w:t>&lt;td2&gt;</w:t>
            </w:r>
          </w:p>
        </w:tc>
        <w:tc>
          <w:tcPr>
            <w:tcW w:w="4064" w:type="dxa"/>
            <w:vAlign w:val="center"/>
          </w:tcPr>
          <w:p w:rsidR="00000000" w:rsidRDefault="00F302F8">
            <w:pPr>
              <w:autoSpaceDE w:val="0"/>
              <w:autoSpaceDN w:val="0"/>
              <w:adjustRightInd w:val="0"/>
              <w:jc w:val="center"/>
              <w:rPr>
                <w:rFonts w:cstheme="minorHAnsi"/>
                <w:lang w:val="en-US"/>
              </w:rPr>
            </w:pPr>
            <w:r>
              <w:rPr>
                <w:rFonts w:cstheme="minorHAnsi"/>
                <w:lang w:val="en-US"/>
              </w:rPr>
              <w:t>Delay de bajada (subida)</w:t>
            </w:r>
          </w:p>
        </w:tc>
        <w:tc>
          <w:tcPr>
            <w:tcW w:w="966" w:type="dxa"/>
            <w:vAlign w:val="center"/>
          </w:tcPr>
          <w:p w:rsidR="00000000" w:rsidRDefault="00F302F8">
            <w:pPr>
              <w:autoSpaceDE w:val="0"/>
              <w:autoSpaceDN w:val="0"/>
              <w:adjustRightInd w:val="0"/>
              <w:jc w:val="center"/>
              <w:rPr>
                <w:rFonts w:cstheme="minorHAnsi"/>
                <w:lang w:val="en-US"/>
              </w:rPr>
            </w:pPr>
            <w:r w:rsidRPr="00FC0A45">
              <w:rPr>
                <w:rFonts w:cstheme="minorHAnsi"/>
                <w:lang w:val="en-US"/>
              </w:rPr>
              <w:t>sec</w:t>
            </w:r>
          </w:p>
        </w:tc>
      </w:tr>
      <w:tr w:rsidR="00F302F8" w:rsidRPr="00FC0A45" w:rsidTr="00545093">
        <w:tc>
          <w:tcPr>
            <w:tcW w:w="1319" w:type="dxa"/>
            <w:vAlign w:val="center"/>
          </w:tcPr>
          <w:p w:rsidR="00000000" w:rsidRDefault="00F302F8">
            <w:pPr>
              <w:jc w:val="center"/>
              <w:rPr>
                <w:rFonts w:cstheme="minorHAnsi"/>
                <w:lang w:val="en-US"/>
              </w:rPr>
            </w:pPr>
            <w:r w:rsidRPr="00FC0A45">
              <w:rPr>
                <w:rFonts w:cstheme="minorHAnsi"/>
                <w:lang w:val="en-US"/>
              </w:rPr>
              <w:t>&lt;tc2&gt;</w:t>
            </w:r>
          </w:p>
        </w:tc>
        <w:tc>
          <w:tcPr>
            <w:tcW w:w="4064" w:type="dxa"/>
            <w:vAlign w:val="center"/>
          </w:tcPr>
          <w:p w:rsidR="00000000" w:rsidRDefault="00F302F8">
            <w:pPr>
              <w:jc w:val="center"/>
              <w:rPr>
                <w:rFonts w:cstheme="minorHAnsi"/>
              </w:rPr>
            </w:pPr>
            <w:r w:rsidRPr="00664E6D">
              <w:rPr>
                <w:rFonts w:cstheme="minorHAnsi"/>
              </w:rPr>
              <w:t>Constante de tiempo de bajada (subida)</w:t>
            </w:r>
          </w:p>
        </w:tc>
        <w:tc>
          <w:tcPr>
            <w:tcW w:w="966" w:type="dxa"/>
            <w:vAlign w:val="center"/>
          </w:tcPr>
          <w:p w:rsidR="00000000" w:rsidRDefault="00F302F8">
            <w:pPr>
              <w:jc w:val="center"/>
              <w:rPr>
                <w:rFonts w:cstheme="minorHAnsi"/>
                <w:lang w:val="en-US"/>
              </w:rPr>
            </w:pPr>
            <w:r w:rsidRPr="00FC0A45">
              <w:rPr>
                <w:rFonts w:cstheme="minorHAnsi"/>
                <w:lang w:val="en-US"/>
              </w:rPr>
              <w:t>sec</w:t>
            </w:r>
          </w:p>
        </w:tc>
      </w:tr>
    </w:tbl>
    <w:p w:rsidR="00F302F8" w:rsidRPr="00727432" w:rsidRDefault="00545093" w:rsidP="00F302F8">
      <w:pPr>
        <w:pStyle w:val="NormalWeb"/>
        <w:spacing w:before="0" w:beforeAutospacing="0" w:after="0" w:afterAutospacing="0"/>
        <w:rPr>
          <w:rFonts w:ascii="Calibri" w:hAnsi="Calibri" w:cs="Calibri"/>
          <w:i/>
          <w:sz w:val="22"/>
          <w:szCs w:val="22"/>
        </w:rPr>
      </w:pPr>
      <w:r>
        <w:rPr>
          <w:rFonts w:ascii="Calibri" w:hAnsi="Calibri" w:cs="Calibri"/>
          <w:i/>
          <w:sz w:val="22"/>
          <w:szCs w:val="22"/>
        </w:rPr>
        <w:br w:type="textWrapping" w:clear="all"/>
      </w:r>
      <w:r w:rsidR="00F302F8" w:rsidRPr="00664E6D">
        <w:rPr>
          <w:rFonts w:ascii="Calibri" w:hAnsi="Calibri" w:cs="Calibri"/>
          <w:i/>
          <w:sz w:val="22"/>
          <w:szCs w:val="22"/>
        </w:rPr>
        <w:t>I_INY1</w:t>
      </w:r>
      <w:r w:rsidR="00F302F8" w:rsidRPr="00664E6D">
        <w:rPr>
          <w:rFonts w:ascii="Calibri" w:hAnsi="Calibri" w:cs="Calibri"/>
          <w:i/>
          <w:sz w:val="22"/>
          <w:szCs w:val="22"/>
        </w:rPr>
        <w:tab/>
      </w:r>
      <w:r w:rsidR="00F302F8" w:rsidRPr="00664E6D">
        <w:rPr>
          <w:rFonts w:ascii="Calibri" w:hAnsi="Calibri" w:cs="Calibri"/>
          <w:i/>
          <w:sz w:val="22"/>
          <w:szCs w:val="22"/>
        </w:rPr>
        <w:tab/>
      </w:r>
      <w:r w:rsidR="00F302F8" w:rsidRPr="00664E6D">
        <w:rPr>
          <w:rFonts w:ascii="Calibri" w:hAnsi="Calibri" w:cs="Calibri"/>
          <w:b/>
          <w:i/>
          <w:sz w:val="22"/>
          <w:szCs w:val="22"/>
        </w:rPr>
        <w:t>NODO</w:t>
      </w:r>
      <w:r w:rsidR="00F302F8" w:rsidRPr="00664E6D">
        <w:rPr>
          <w:rFonts w:ascii="Calibri" w:hAnsi="Calibri" w:cs="Calibri"/>
          <w:i/>
          <w:sz w:val="22"/>
          <w:szCs w:val="22"/>
        </w:rPr>
        <w:t xml:space="preserve"> 0 DC 0Adc AC 0Aac </w:t>
      </w:r>
      <w:r w:rsidR="00F302F8" w:rsidRPr="00727432">
        <w:rPr>
          <w:rFonts w:ascii="Calibri" w:hAnsi="Calibri" w:cs="Calibri"/>
          <w:i/>
          <w:sz w:val="22"/>
          <w:szCs w:val="22"/>
        </w:rPr>
        <w:t>(NODO: lugar de inyección con respecto a 0)</w:t>
      </w:r>
    </w:p>
    <w:p w:rsidR="00F302F8" w:rsidRPr="00AA28FE"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+EXP</w:t>
      </w:r>
      <w:r w:rsidRPr="00664E6D">
        <w:rPr>
          <w:rFonts w:ascii="Calibri" w:hAnsi="Calibri" w:cs="Calibri"/>
          <w:b/>
          <w:i/>
          <w:sz w:val="22"/>
          <w:szCs w:val="22"/>
        </w:rPr>
        <w:tab/>
      </w:r>
      <w:r w:rsidRPr="00664E6D">
        <w:rPr>
          <w:rFonts w:ascii="Calibri" w:hAnsi="Calibri" w:cs="Calibri"/>
          <w:b/>
          <w:i/>
          <w:sz w:val="22"/>
          <w:szCs w:val="22"/>
        </w:rPr>
        <w:tab/>
        <w:t>0 4m 2n 30p 2.2n 500p</w:t>
      </w:r>
    </w:p>
    <w:p w:rsidR="00F302F8" w:rsidRPr="00AA28FE" w:rsidRDefault="00F302F8" w:rsidP="00F302F8">
      <w:pPr>
        <w:pStyle w:val="Epgrafe"/>
      </w:pPr>
      <w:r>
        <w:rPr>
          <w:noProof/>
          <w:lang w:eastAsia="es-AR"/>
        </w:rPr>
        <w:lastRenderedPageBreak/>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r w:rsidRPr="00664E6D">
        <w:t xml:space="preserve"> </w:t>
      </w:r>
    </w:p>
    <w:p w:rsidR="00F302F8" w:rsidRPr="00AA28FE" w:rsidRDefault="00F302F8" w:rsidP="00F302F8">
      <w:pPr>
        <w:pStyle w:val="Epgrafe"/>
      </w:pPr>
      <w:r>
        <w:t xml:space="preserve">Figura </w:t>
      </w:r>
      <w:fldSimple w:instr=" SEQ Figura \* ARABIC ">
        <w:r>
          <w:rPr>
            <w:noProof/>
          </w:rPr>
          <w:t>6</w:t>
        </w:r>
      </w:fldSimple>
      <w:bookmarkEnd w:id="16"/>
      <w:r>
        <w:t>) Gr</w:t>
      </w:r>
      <w:r w:rsidR="00676042">
        <w:t>á</w:t>
      </w:r>
      <w:r>
        <w:t>fica del modelo de inyección exponencial.</w:t>
      </w:r>
      <w:bookmarkEnd w:id="17"/>
    </w:p>
    <w:p w:rsidR="00F302F8" w:rsidRPr="00570E5C" w:rsidRDefault="00F302F8" w:rsidP="00F302F8">
      <w:pPr>
        <w:pStyle w:val="NormalWeb"/>
        <w:spacing w:before="0" w:beforeAutospacing="0" w:after="0" w:afterAutospacing="0"/>
        <w:rPr>
          <w:rFonts w:ascii="Calibri" w:hAnsi="Calibri" w:cs="Calibri"/>
          <w:b/>
          <w:i/>
          <w:sz w:val="22"/>
          <w:szCs w:val="22"/>
        </w:rPr>
      </w:pPr>
      <w:r w:rsidRPr="00664E6D">
        <w:rPr>
          <w:rFonts w:ascii="Calibri" w:hAnsi="Calibri" w:cs="Calibri"/>
          <w:b/>
          <w:i/>
          <w:sz w:val="22"/>
          <w:szCs w:val="22"/>
        </w:rPr>
        <w:t>MODELO RAMPA</w:t>
      </w:r>
    </w:p>
    <w:p w:rsidR="00F302F8" w:rsidRDefault="00F302F8" w:rsidP="00F302F8">
      <w:r>
        <w:t>Otra opción de modelado de la falla es a través de una rampa (</w:t>
      </w:r>
      <w:r w:rsidR="006B611D">
        <w:fldChar w:fldCharType="begin"/>
      </w:r>
      <w:r>
        <w:instrText xml:space="preserve"> REF _Ref266990746 \h </w:instrText>
      </w:r>
      <w:r w:rsidR="006B611D">
        <w:fldChar w:fldCharType="separate"/>
      </w:r>
      <w:r>
        <w:t xml:space="preserve">Figura </w:t>
      </w:r>
      <w:r>
        <w:rPr>
          <w:noProof/>
        </w:rPr>
        <w:t>7</w:t>
      </w:r>
      <w:r w:rsidR="006B611D">
        <w:fldChar w:fldCharType="end"/>
      </w:r>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r w:rsidR="006B611D">
        <w:fldChar w:fldCharType="begin"/>
      </w:r>
      <w:r>
        <w:instrText xml:space="preserve"> REF _Ref266986213 \h </w:instrText>
      </w:r>
      <w:r w:rsidR="006B611D">
        <w:fldChar w:fldCharType="separate"/>
      </w:r>
      <w:r w:rsidRPr="0040462E">
        <w:t xml:space="preserve">Figura </w:t>
      </w:r>
      <w:r>
        <w:rPr>
          <w:noProof/>
        </w:rPr>
        <w:t>3</w:t>
      </w:r>
      <w:r w:rsidR="006B611D">
        <w:fldChar w:fldCharType="end"/>
      </w:r>
      <w:r>
        <w:t>.</w:t>
      </w:r>
    </w:p>
    <w:p w:rsidR="00F302F8" w:rsidRDefault="00F302F8" w:rsidP="00F302F8">
      <w:r>
        <w:t>La representación en SPICE de la falla rampa modelizada es:</w:t>
      </w:r>
    </w:p>
    <w:p w:rsidR="00F302F8" w:rsidRPr="00746E38" w:rsidRDefault="00F302F8" w:rsidP="00F302F8">
      <w:pPr>
        <w:rPr>
          <w:rFonts w:cstheme="minorHAnsi"/>
          <w:lang w:val="en-US"/>
        </w:rPr>
      </w:pPr>
      <w:r>
        <w:rPr>
          <w:rFonts w:cstheme="minorHAnsi"/>
          <w:b/>
          <w:bCs/>
          <w:lang w:val="en-US"/>
        </w:rPr>
        <w:t>Expresi</w:t>
      </w:r>
      <w:r w:rsidR="00676042">
        <w:rPr>
          <w:rFonts w:cstheme="minorHAnsi"/>
          <w:b/>
          <w:bCs/>
          <w:lang w:val="en-US"/>
        </w:rPr>
        <w:t>ó</w:t>
      </w:r>
      <w:r>
        <w:rPr>
          <w:rFonts w:cstheme="minorHAnsi"/>
          <w:b/>
          <w:bCs/>
          <w:lang w:val="en-US"/>
        </w:rPr>
        <w:t>n general</w:t>
      </w:r>
      <w:r>
        <w:rPr>
          <w:rFonts w:cstheme="minorHAnsi"/>
          <w:b/>
          <w:bCs/>
          <w:lang w:val="en-US"/>
        </w:rPr>
        <w:tab/>
      </w:r>
      <w:r w:rsidRPr="00664E6D">
        <w:rPr>
          <w:rFonts w:cstheme="minorHAnsi"/>
          <w:lang w:val="en-US"/>
        </w:rPr>
        <w:t>PULSE (&lt;i1&gt; &lt;i2&gt; &lt;td&gt; &lt;tr&gt; &lt;tf&gt; &lt;pw&gt; &lt;per&gt;)</w:t>
      </w:r>
    </w:p>
    <w:p w:rsidR="00F302F8" w:rsidRPr="00746E38" w:rsidRDefault="00F302F8" w:rsidP="00F302F8">
      <w:pPr>
        <w:autoSpaceDE w:val="0"/>
        <w:autoSpaceDN w:val="0"/>
        <w:adjustRightInd w:val="0"/>
        <w:spacing w:after="0" w:line="240" w:lineRule="auto"/>
        <w:rPr>
          <w:rFonts w:cstheme="minorHAnsi"/>
          <w:b/>
          <w:bCs/>
        </w:rPr>
      </w:pPr>
      <w:r w:rsidRPr="00664E6D">
        <w:rPr>
          <w:rFonts w:cstheme="minorHAnsi"/>
          <w:b/>
          <w:bCs/>
        </w:rPr>
        <w:t>Par</w:t>
      </w:r>
      <w:r w:rsidR="00676042">
        <w:rPr>
          <w:rFonts w:cstheme="minorHAnsi"/>
          <w:b/>
          <w:bCs/>
        </w:rPr>
        <w:t>á</w:t>
      </w:r>
      <w:r w:rsidRPr="00664E6D">
        <w:rPr>
          <w:rFonts w:cstheme="minorHAnsi"/>
          <w:b/>
          <w:bCs/>
        </w:rPr>
        <w:t>metros de la forma de onda</w:t>
      </w:r>
    </w:p>
    <w:tbl>
      <w:tblPr>
        <w:tblStyle w:val="Tablaconcuadrcula"/>
        <w:tblW w:w="0" w:type="auto"/>
        <w:jc w:val="center"/>
        <w:tblLook w:val="04A0"/>
      </w:tblPr>
      <w:tblGrid>
        <w:gridCol w:w="1384"/>
        <w:gridCol w:w="2044"/>
        <w:gridCol w:w="993"/>
      </w:tblGrid>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Parámetros</w:t>
            </w:r>
          </w:p>
        </w:tc>
        <w:tc>
          <w:tcPr>
            <w:tcW w:w="2044"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Descripción</w:t>
            </w:r>
          </w:p>
        </w:tc>
        <w:tc>
          <w:tcPr>
            <w:tcW w:w="993" w:type="dxa"/>
            <w:vAlign w:val="center"/>
          </w:tcPr>
          <w:p w:rsidR="00F302F8" w:rsidRDefault="00F302F8" w:rsidP="00285E1D">
            <w:pPr>
              <w:autoSpaceDE w:val="0"/>
              <w:autoSpaceDN w:val="0"/>
              <w:adjustRightInd w:val="0"/>
              <w:jc w:val="center"/>
              <w:rPr>
                <w:rFonts w:cstheme="minorHAnsi"/>
                <w:b/>
                <w:bCs/>
                <w:lang w:val="en-US"/>
              </w:rPr>
            </w:pPr>
            <w:r>
              <w:rPr>
                <w:rFonts w:cstheme="minorHAnsi"/>
                <w:b/>
                <w:bCs/>
                <w:lang w:val="en-US"/>
              </w:rPr>
              <w:t>Unidad</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&lt;i1&gt;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inicial</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&lt;i2&gt;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Corriente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amp</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&lt;td&gt;</w:t>
            </w:r>
          </w:p>
        </w:tc>
        <w:tc>
          <w:tcPr>
            <w:tcW w:w="2044"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Delay</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&lt;tf&gt;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bajada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&lt;tr&gt;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Tiempo de subida</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autoSpaceDE w:val="0"/>
              <w:autoSpaceDN w:val="0"/>
              <w:adjustRightInd w:val="0"/>
              <w:jc w:val="center"/>
              <w:rPr>
                <w:rFonts w:cstheme="minorHAnsi"/>
                <w:i/>
                <w:iCs/>
                <w:lang w:val="en-US"/>
              </w:rPr>
            </w:pPr>
            <w:r w:rsidRPr="00746E38">
              <w:rPr>
                <w:rFonts w:cstheme="minorHAnsi"/>
                <w:lang w:val="en-US"/>
              </w:rPr>
              <w:t>&lt;pw&gt;</w:t>
            </w:r>
          </w:p>
        </w:tc>
        <w:tc>
          <w:tcPr>
            <w:tcW w:w="2044" w:type="dxa"/>
            <w:vAlign w:val="center"/>
          </w:tcPr>
          <w:p w:rsidR="00F302F8" w:rsidRDefault="00F302F8" w:rsidP="00285E1D">
            <w:pPr>
              <w:autoSpaceDE w:val="0"/>
              <w:autoSpaceDN w:val="0"/>
              <w:adjustRightInd w:val="0"/>
              <w:jc w:val="center"/>
              <w:rPr>
                <w:rFonts w:cstheme="minorHAnsi"/>
                <w:lang w:val="en-US"/>
              </w:rPr>
            </w:pPr>
            <w:r>
              <w:rPr>
                <w:rFonts w:cstheme="minorHAnsi"/>
                <w:lang w:val="en-US"/>
              </w:rPr>
              <w:t>Ancho de pulso</w:t>
            </w:r>
          </w:p>
        </w:tc>
        <w:tc>
          <w:tcPr>
            <w:tcW w:w="993" w:type="dxa"/>
            <w:vAlign w:val="center"/>
          </w:tcPr>
          <w:p w:rsidR="00F302F8" w:rsidRDefault="00F302F8" w:rsidP="00285E1D">
            <w:pPr>
              <w:autoSpaceDE w:val="0"/>
              <w:autoSpaceDN w:val="0"/>
              <w:adjustRightInd w:val="0"/>
              <w:jc w:val="center"/>
              <w:rPr>
                <w:rFonts w:cstheme="minorHAnsi"/>
                <w:lang w:val="en-US"/>
              </w:rPr>
            </w:pPr>
            <w:r w:rsidRPr="00746E38">
              <w:rPr>
                <w:rFonts w:cstheme="minorHAnsi"/>
                <w:lang w:val="en-US"/>
              </w:rPr>
              <w:t>sec</w:t>
            </w:r>
          </w:p>
        </w:tc>
      </w:tr>
      <w:tr w:rsidR="00F302F8" w:rsidRPr="00746E38" w:rsidTr="00285E1D">
        <w:trPr>
          <w:jc w:val="center"/>
        </w:trPr>
        <w:tc>
          <w:tcPr>
            <w:tcW w:w="1384" w:type="dxa"/>
            <w:vAlign w:val="center"/>
          </w:tcPr>
          <w:p w:rsidR="00F302F8" w:rsidRDefault="00F302F8" w:rsidP="00285E1D">
            <w:pPr>
              <w:jc w:val="center"/>
              <w:rPr>
                <w:rFonts w:cstheme="minorHAnsi"/>
              </w:rPr>
            </w:pPr>
            <w:r w:rsidRPr="00746E38">
              <w:rPr>
                <w:rFonts w:cstheme="minorHAnsi"/>
              </w:rPr>
              <w:t>&lt;per&gt;</w:t>
            </w:r>
          </w:p>
        </w:tc>
        <w:tc>
          <w:tcPr>
            <w:tcW w:w="2044" w:type="dxa"/>
            <w:vAlign w:val="center"/>
          </w:tcPr>
          <w:p w:rsidR="00F302F8" w:rsidRDefault="00F302F8" w:rsidP="00285E1D">
            <w:pPr>
              <w:jc w:val="center"/>
              <w:rPr>
                <w:rFonts w:cstheme="minorHAnsi"/>
              </w:rPr>
            </w:pPr>
            <w:r w:rsidRPr="00746E38">
              <w:rPr>
                <w:rFonts w:cstheme="minorHAnsi"/>
              </w:rPr>
              <w:t>Period</w:t>
            </w:r>
            <w:r>
              <w:rPr>
                <w:rFonts w:cstheme="minorHAnsi"/>
              </w:rPr>
              <w:t>o</w:t>
            </w:r>
          </w:p>
        </w:tc>
        <w:tc>
          <w:tcPr>
            <w:tcW w:w="993" w:type="dxa"/>
            <w:vAlign w:val="center"/>
          </w:tcPr>
          <w:p w:rsidR="00F302F8" w:rsidRDefault="00F302F8" w:rsidP="00285E1D">
            <w:pPr>
              <w:jc w:val="center"/>
              <w:rPr>
                <w:rFonts w:cstheme="minorHAnsi"/>
              </w:rPr>
            </w:pPr>
            <w:r w:rsidRPr="00746E38">
              <w:rPr>
                <w:rFonts w:cstheme="minorHAnsi"/>
              </w:rPr>
              <w:t>sec</w:t>
            </w:r>
          </w:p>
        </w:tc>
      </w:tr>
    </w:tbl>
    <w:p w:rsidR="00F302F8" w:rsidRPr="00727432" w:rsidRDefault="00F302F8" w:rsidP="00F302F8">
      <w:pPr>
        <w:pStyle w:val="NormalWeb"/>
        <w:spacing w:before="0" w:beforeAutospacing="0" w:after="0" w:afterAutospacing="0"/>
        <w:rPr>
          <w:rFonts w:ascii="Calibri" w:hAnsi="Calibri" w:cs="Calibri"/>
          <w:i/>
          <w:sz w:val="22"/>
          <w:szCs w:val="22"/>
        </w:rPr>
      </w:pPr>
      <w:r w:rsidRPr="00664E6D">
        <w:rPr>
          <w:rFonts w:ascii="Calibri" w:hAnsi="Calibri" w:cs="Calibri"/>
          <w:i/>
          <w:sz w:val="22"/>
          <w:szCs w:val="22"/>
        </w:rPr>
        <w:t>I_INY1</w:t>
      </w:r>
      <w:r w:rsidRPr="00664E6D">
        <w:rPr>
          <w:rFonts w:ascii="Calibri" w:hAnsi="Calibri" w:cs="Calibri"/>
          <w:i/>
          <w:sz w:val="22"/>
          <w:szCs w:val="22"/>
        </w:rPr>
        <w:tab/>
      </w:r>
      <w:r w:rsidRPr="00664E6D">
        <w:rPr>
          <w:rFonts w:ascii="Calibri" w:hAnsi="Calibri" w:cs="Calibri"/>
          <w:i/>
          <w:sz w:val="22"/>
          <w:szCs w:val="22"/>
        </w:rPr>
        <w:tab/>
      </w:r>
      <w:r w:rsidRPr="00664E6D">
        <w:rPr>
          <w:rFonts w:ascii="Calibri" w:hAnsi="Calibri" w:cs="Calibri"/>
          <w:b/>
          <w:i/>
          <w:sz w:val="22"/>
          <w:szCs w:val="22"/>
        </w:rPr>
        <w:t>NODO</w:t>
      </w:r>
      <w:r w:rsidRPr="00664E6D">
        <w:rPr>
          <w:rFonts w:ascii="Calibri" w:hAnsi="Calibri" w:cs="Calibri"/>
          <w:i/>
          <w:sz w:val="22"/>
          <w:szCs w:val="22"/>
        </w:rPr>
        <w:t xml:space="preserve"> 0 DC 0Adc AC 0Aac (NODO: lugar de inyección con respecto a 0)</w:t>
      </w:r>
    </w:p>
    <w:p w:rsidR="00F302F8" w:rsidRPr="00727432" w:rsidRDefault="00F302F8" w:rsidP="00F302F8">
      <w:pPr>
        <w:pStyle w:val="NormalWeb"/>
        <w:spacing w:before="0" w:beforeAutospacing="0" w:after="0" w:afterAutospacing="0"/>
        <w:rPr>
          <w:rFonts w:ascii="Calibri" w:hAnsi="Calibri" w:cs="Calibri"/>
          <w:b/>
          <w:i/>
          <w:sz w:val="22"/>
          <w:szCs w:val="22"/>
          <w:lang w:val="en-US"/>
        </w:rPr>
      </w:pPr>
      <w:r w:rsidRPr="00664E6D">
        <w:rPr>
          <w:rFonts w:ascii="Calibri" w:hAnsi="Calibri" w:cs="Calibri"/>
          <w:b/>
          <w:i/>
          <w:sz w:val="22"/>
          <w:szCs w:val="22"/>
          <w:lang w:val="en-US"/>
        </w:rPr>
        <w:t>+PULSE</w:t>
      </w:r>
      <w:r w:rsidRPr="00664E6D">
        <w:rPr>
          <w:rFonts w:ascii="Calibri" w:hAnsi="Calibri" w:cs="Calibri"/>
          <w:b/>
          <w:i/>
          <w:sz w:val="22"/>
          <w:szCs w:val="22"/>
          <w:lang w:val="en-US"/>
        </w:rPr>
        <w:tab/>
      </w:r>
      <w:r w:rsidRPr="00664E6D">
        <w:rPr>
          <w:rFonts w:ascii="Calibri" w:hAnsi="Calibri" w:cs="Calibri"/>
          <w:b/>
          <w:i/>
          <w:sz w:val="22"/>
          <w:szCs w:val="22"/>
          <w:lang w:val="en-US"/>
        </w:rPr>
        <w:tab/>
        <w:t>0 4m 2n 250p 250p 5n 0</w:t>
      </w:r>
    </w:p>
    <w:p w:rsidR="00F302F8" w:rsidRDefault="00F302F8" w:rsidP="00F302F8">
      <w:pPr>
        <w:pStyle w:val="Epgrafe"/>
      </w:pPr>
      <w:r>
        <w:rPr>
          <w:noProof/>
          <w:lang w:eastAsia="es-AR"/>
        </w:rPr>
        <w:lastRenderedPageBreak/>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F302F8">
      <w:pPr>
        <w:pStyle w:val="Epgrafe"/>
      </w:pPr>
      <w:bookmarkStart w:id="18" w:name="_Ref266990746"/>
      <w:r>
        <w:t xml:space="preserve">Figura </w:t>
      </w:r>
      <w:fldSimple w:instr=" SEQ Figura \* ARABIC ">
        <w:r>
          <w:rPr>
            <w:noProof/>
          </w:rPr>
          <w:t>7</w:t>
        </w:r>
      </w:fldSimple>
      <w:bookmarkEnd w:id="18"/>
      <w:r>
        <w:t>) Grafica del modelo de inyección rampa.</w:t>
      </w:r>
    </w:p>
    <w:p w:rsidR="00F302F8" w:rsidRDefault="00F302F8" w:rsidP="00F302F8">
      <w:r w:rsidRPr="00707401">
        <w:t xml:space="preserve">En ambos casos de modelado, </w:t>
      </w:r>
      <w:r>
        <w:t xml:space="preserve">las características de corriente máxima y tiempos de perturbación fueron elegidas en base a bibliografías </w:t>
      </w:r>
      <w:r w:rsidR="00676042">
        <w:rPr>
          <w:color w:val="FF0000"/>
        </w:rPr>
        <w:t xml:space="preserve"> [</w:t>
      </w:r>
      <w:r w:rsidR="00676042">
        <w:rPr>
          <w:rStyle w:val="Refdenotaalpie"/>
          <w:color w:val="FF0000"/>
        </w:rPr>
        <w:footnoteReference w:id="18"/>
      </w:r>
      <w:r w:rsidR="00676042">
        <w:rPr>
          <w:color w:val="FF0000"/>
        </w:rPr>
        <w:t>] [</w:t>
      </w:r>
      <w:r w:rsidR="00676042">
        <w:rPr>
          <w:rStyle w:val="Refdenotaalpie"/>
          <w:color w:val="FF0000"/>
        </w:rPr>
        <w:footnoteReference w:id="19"/>
      </w:r>
      <w:r w:rsidR="00676042">
        <w:rPr>
          <w:color w:val="FF0000"/>
        </w:rPr>
        <w:t>] [</w:t>
      </w:r>
      <w:r w:rsidR="00676042">
        <w:rPr>
          <w:rStyle w:val="Refdenotaalpie"/>
          <w:color w:val="FF0000"/>
        </w:rPr>
        <w:footnoteReference w:id="20"/>
      </w:r>
      <w:r w:rsidR="00676042">
        <w:rPr>
          <w:color w:val="FF0000"/>
        </w:rPr>
        <w:t xml:space="preserve">] </w:t>
      </w:r>
      <w:r>
        <w:t xml:space="preserve">que realizaron estudios similares. </w:t>
      </w:r>
    </w:p>
    <w:p w:rsidR="00FE774D" w:rsidRDefault="00F302F8">
      <w:r>
        <w:t>En los procesos de inyección, se deja un tiempo de reposo del circuito (sin perturbaciones) durante 2nS</w:t>
      </w:r>
      <w:r w:rsidR="00676042">
        <w:t>,</w:t>
      </w:r>
      <w:r>
        <w:t xml:space="preserve"> en los cuales el sistema se estabiliza. A diferencia del modelado exponencial, el 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926" w:rsidRDefault="00483926" w:rsidP="00F302F8">
      <w:pPr>
        <w:spacing w:after="0" w:line="240" w:lineRule="auto"/>
      </w:pPr>
      <w:r>
        <w:separator/>
      </w:r>
    </w:p>
  </w:endnote>
  <w:endnote w:type="continuationSeparator" w:id="0">
    <w:p w:rsidR="00483926" w:rsidRDefault="00483926"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926" w:rsidRDefault="00483926" w:rsidP="00F302F8">
      <w:pPr>
        <w:spacing w:after="0" w:line="240" w:lineRule="auto"/>
      </w:pPr>
      <w:r>
        <w:separator/>
      </w:r>
    </w:p>
  </w:footnote>
  <w:footnote w:type="continuationSeparator" w:id="0">
    <w:p w:rsidR="00483926" w:rsidRDefault="00483926" w:rsidP="00F302F8">
      <w:pPr>
        <w:spacing w:after="0" w:line="240" w:lineRule="auto"/>
      </w:pPr>
      <w:r>
        <w:continuationSeparator/>
      </w:r>
    </w:p>
  </w:footnote>
  <w:footnote w:id="1">
    <w:p w:rsidR="00F302F8" w:rsidRPr="00EA6C99" w:rsidRDefault="00F302F8" w:rsidP="00F302F8">
      <w:pPr>
        <w:pStyle w:val="Textonotapie"/>
        <w:rPr>
          <w:sz w:val="14"/>
          <w:lang w:val="en-US"/>
        </w:rPr>
      </w:pPr>
      <w:r w:rsidRPr="00EA6C99">
        <w:rPr>
          <w:rStyle w:val="Refdenotaalpie"/>
          <w:sz w:val="14"/>
        </w:rPr>
        <w:footnoteRef/>
      </w:r>
      <w:r w:rsidRPr="00EA6C99">
        <w:rPr>
          <w:sz w:val="14"/>
          <w:lang w:val="en-US"/>
        </w:rPr>
        <w:t xml:space="preserve"> </w:t>
      </w:r>
      <w:r w:rsidRPr="00EA6C99">
        <w:rPr>
          <w:rFonts w:ascii="Arial" w:hAnsi="Arial" w:cs="Arial"/>
          <w:sz w:val="14"/>
          <w:lang w:val="en-US"/>
        </w:rPr>
        <w:t>A. Taber and E. Normand, "Investigation and Characterization of SEU Effects and Hardening Strategies in Avionics", IBM Report 92-L75-020-2, August, 1992, republished as DNA-Report DNA-TR-94-123, DNA, Feb, 1995</w:t>
      </w:r>
    </w:p>
  </w:footnote>
  <w:footnote w:id="2">
    <w:p w:rsidR="00F302F8" w:rsidRPr="00EA6C99" w:rsidRDefault="00F302F8" w:rsidP="00F302F8">
      <w:pPr>
        <w:pStyle w:val="Textonotapie"/>
        <w:rPr>
          <w:sz w:val="14"/>
          <w:lang w:val="en-US"/>
        </w:rPr>
      </w:pPr>
      <w:r w:rsidRPr="00EA6C99">
        <w:rPr>
          <w:rStyle w:val="Refdenotaalpie"/>
          <w:sz w:val="14"/>
        </w:rPr>
        <w:footnoteRef/>
      </w:r>
      <w:r w:rsidRPr="00EA6C99">
        <w:rPr>
          <w:sz w:val="14"/>
          <w:lang w:val="en-US"/>
        </w:rPr>
        <w:t xml:space="preserve"> </w:t>
      </w:r>
      <w:r w:rsidRPr="00EA6C99">
        <w:rPr>
          <w:rFonts w:ascii="Arial" w:hAnsi="Arial" w:cs="Arial"/>
          <w:sz w:val="14"/>
          <w:lang w:val="en-US"/>
        </w:rPr>
        <w:t xml:space="preserve">Single Event Upset at Ground Level Eugene Normand, </w:t>
      </w:r>
      <w:r w:rsidRPr="00EA6C99">
        <w:rPr>
          <w:rFonts w:ascii="Arial" w:hAnsi="Arial" w:cs="Arial"/>
          <w:iCs/>
          <w:sz w:val="14"/>
          <w:lang w:val="en-US"/>
        </w:rPr>
        <w:t>Member, IEEE Boeing Defense &amp; Space Group, Seattle, WA 98124-2499</w:t>
      </w:r>
    </w:p>
  </w:footnote>
  <w:footnote w:id="3">
    <w:p w:rsidR="00F302F8" w:rsidRPr="00096EDE" w:rsidRDefault="00F302F8" w:rsidP="00F302F8">
      <w:pPr>
        <w:pStyle w:val="Textonotapie"/>
        <w:rPr>
          <w:sz w:val="16"/>
          <w:lang w:val="en-US"/>
        </w:rPr>
      </w:pPr>
      <w:r w:rsidRPr="00096EDE">
        <w:rPr>
          <w:rStyle w:val="Refdenotaalpie"/>
          <w:sz w:val="16"/>
        </w:rPr>
        <w:footnoteRef/>
      </w:r>
      <w:r w:rsidRPr="00096EDE">
        <w:rPr>
          <w:sz w:val="16"/>
          <w:lang w:val="en-US"/>
        </w:rPr>
        <w:t xml:space="preserve"> </w:t>
      </w:r>
      <w:r w:rsidRPr="00096EDE">
        <w:rPr>
          <w:i/>
          <w:sz w:val="16"/>
          <w:lang w:val="en-US" w:eastAsia="es-AR"/>
        </w:rPr>
        <w:t>JEDEC Standard JESD 89A, “Measurement and Reporting of Alpha Particle and Terrestrial Cosmic Ray-Induced Soft Errors in Semiconductor Devices”, 2006</w:t>
      </w:r>
      <w:r w:rsidRPr="00096EDE">
        <w:rPr>
          <w:b/>
          <w:i/>
          <w:sz w:val="16"/>
          <w:lang w:val="en-US" w:eastAsia="es-AR"/>
        </w:rPr>
        <w:t>.</w:t>
      </w:r>
      <w:r w:rsidRPr="00096EDE">
        <w:rPr>
          <w:sz w:val="16"/>
          <w:lang w:val="en-US"/>
        </w:rPr>
        <w:t>[/</w:t>
      </w:r>
    </w:p>
  </w:footnote>
  <w:footnote w:id="4">
    <w:p w:rsidR="00F302F8" w:rsidRPr="00E4539D" w:rsidRDefault="00F302F8" w:rsidP="00F302F8">
      <w:pPr>
        <w:pStyle w:val="Textonotapie"/>
        <w:rPr>
          <w:sz w:val="16"/>
          <w:lang w:val="en-US"/>
        </w:rPr>
      </w:pPr>
      <w:r w:rsidRPr="00E4539D">
        <w:rPr>
          <w:rStyle w:val="Refdenotaalpie"/>
          <w:sz w:val="16"/>
        </w:rPr>
        <w:footnoteRef/>
      </w:r>
      <w:r w:rsidRPr="00E4539D">
        <w:rPr>
          <w:sz w:val="16"/>
          <w:lang w:val="en-US"/>
        </w:rPr>
        <w:t xml:space="preserve"> Space Environments &amp; Effects Program, NASA Marshall Space Flight Center</w:t>
      </w:r>
    </w:p>
  </w:footnote>
  <w:footnote w:id="5">
    <w:p w:rsidR="00E4539D" w:rsidRPr="00E4539D" w:rsidRDefault="00E4539D" w:rsidP="00E4539D">
      <w:pPr>
        <w:autoSpaceDE w:val="0"/>
        <w:autoSpaceDN w:val="0"/>
        <w:adjustRightInd w:val="0"/>
        <w:spacing w:after="0" w:line="240" w:lineRule="auto"/>
        <w:rPr>
          <w:sz w:val="16"/>
          <w:szCs w:val="16"/>
          <w:lang w:val="en-US"/>
        </w:rPr>
      </w:pPr>
      <w:r w:rsidRPr="00E4539D">
        <w:rPr>
          <w:rStyle w:val="Refdenotaalpie"/>
          <w:sz w:val="16"/>
          <w:szCs w:val="16"/>
        </w:rPr>
        <w:footnoteRef/>
      </w:r>
      <w:r w:rsidRPr="00E4539D">
        <w:rPr>
          <w:sz w:val="16"/>
          <w:szCs w:val="16"/>
          <w:lang w:val="en-US"/>
        </w:rPr>
        <w:t xml:space="preserve"> </w:t>
      </w:r>
      <w:r w:rsidRPr="00E4539D">
        <w:rPr>
          <w:rFonts w:cstheme="minorHAnsi"/>
          <w:sz w:val="16"/>
          <w:szCs w:val="16"/>
          <w:lang w:val="en-US"/>
        </w:rPr>
        <w:t>Neutron-Induced Single Event Upsets in Static RAMS Observed at 10 KM Flight Altitude (</w:t>
      </w:r>
      <w:r w:rsidRPr="00E4539D">
        <w:rPr>
          <w:rFonts w:cstheme="minorHAnsi"/>
          <w:b/>
          <w:bCs/>
          <w:sz w:val="16"/>
          <w:szCs w:val="16"/>
          <w:lang w:val="en-US"/>
        </w:rPr>
        <w:t xml:space="preserve">J. </w:t>
      </w:r>
      <w:r w:rsidRPr="00E4539D">
        <w:rPr>
          <w:rFonts w:cstheme="minorHAnsi"/>
          <w:sz w:val="16"/>
          <w:szCs w:val="16"/>
          <w:lang w:val="en-US"/>
        </w:rPr>
        <w:t xml:space="preserve">Olsen, P. E. </w:t>
      </w:r>
      <w:r w:rsidRPr="00E4539D">
        <w:rPr>
          <w:rFonts w:cstheme="minorHAnsi"/>
          <w:b/>
          <w:bCs/>
          <w:sz w:val="16"/>
          <w:szCs w:val="16"/>
          <w:lang w:val="en-US"/>
        </w:rPr>
        <w:t xml:space="preserve">Becher, </w:t>
      </w:r>
      <w:r w:rsidRPr="00E4539D">
        <w:rPr>
          <w:rFonts w:cstheme="minorHAnsi"/>
          <w:sz w:val="16"/>
          <w:szCs w:val="16"/>
          <w:lang w:val="en-US"/>
        </w:rPr>
        <w:t xml:space="preserve">P. </w:t>
      </w:r>
      <w:r w:rsidRPr="00E4539D">
        <w:rPr>
          <w:rFonts w:cstheme="minorHAnsi"/>
          <w:b/>
          <w:bCs/>
          <w:sz w:val="16"/>
          <w:szCs w:val="16"/>
          <w:lang w:val="en-US"/>
        </w:rPr>
        <w:t xml:space="preserve">B. </w:t>
      </w:r>
      <w:r w:rsidRPr="00E4539D">
        <w:rPr>
          <w:rFonts w:cstheme="minorHAnsi"/>
          <w:sz w:val="16"/>
          <w:szCs w:val="16"/>
          <w:lang w:val="en-US"/>
        </w:rPr>
        <w:t xml:space="preserve">Fynbo, </w:t>
      </w:r>
      <w:r w:rsidRPr="00E4539D">
        <w:rPr>
          <w:rFonts w:cstheme="minorHAnsi"/>
          <w:b/>
          <w:bCs/>
          <w:sz w:val="16"/>
          <w:szCs w:val="16"/>
          <w:lang w:val="en-US"/>
        </w:rPr>
        <w:t xml:space="preserve">P. </w:t>
      </w:r>
      <w:r w:rsidRPr="00E4539D">
        <w:rPr>
          <w:rFonts w:cstheme="minorHAnsi"/>
          <w:sz w:val="16"/>
          <w:szCs w:val="16"/>
          <w:lang w:val="en-US"/>
        </w:rPr>
        <w:t xml:space="preserve">Raaby, and </w:t>
      </w:r>
      <w:r w:rsidRPr="00E4539D">
        <w:rPr>
          <w:rFonts w:cstheme="minorHAnsi"/>
          <w:bCs/>
          <w:sz w:val="16"/>
          <w:szCs w:val="16"/>
          <w:lang w:val="en-US"/>
        </w:rPr>
        <w:t>J. Schultz)</w:t>
      </w:r>
    </w:p>
  </w:footnote>
  <w:footnote w:id="6">
    <w:p w:rsidR="00E4539D" w:rsidRPr="00E4539D" w:rsidRDefault="00E4539D" w:rsidP="00E4539D">
      <w:pPr>
        <w:autoSpaceDE w:val="0"/>
        <w:autoSpaceDN w:val="0"/>
        <w:adjustRightInd w:val="0"/>
        <w:spacing w:after="0" w:line="240" w:lineRule="auto"/>
        <w:rPr>
          <w:rFonts w:cstheme="minorHAnsi"/>
          <w:sz w:val="16"/>
          <w:szCs w:val="16"/>
          <w:lang w:val="en-US"/>
        </w:rPr>
      </w:pPr>
      <w:r w:rsidRPr="00E4539D">
        <w:rPr>
          <w:rStyle w:val="Refdenotaalpie"/>
          <w:rFonts w:cstheme="minorHAnsi"/>
          <w:sz w:val="16"/>
          <w:szCs w:val="16"/>
        </w:rPr>
        <w:footnoteRef/>
      </w:r>
      <w:r w:rsidRPr="00E4539D">
        <w:rPr>
          <w:rFonts w:cstheme="minorHAnsi"/>
          <w:sz w:val="16"/>
          <w:szCs w:val="16"/>
          <w:lang w:val="en-US"/>
        </w:rPr>
        <w:t xml:space="preserve"> Single-event upset in geostationary transfer orbit during</w:t>
      </w:r>
      <w:r>
        <w:rPr>
          <w:rFonts w:cstheme="minorHAnsi"/>
          <w:sz w:val="16"/>
          <w:szCs w:val="16"/>
          <w:lang w:val="en-US"/>
        </w:rPr>
        <w:t xml:space="preserve"> </w:t>
      </w:r>
      <w:r w:rsidRPr="00E4539D">
        <w:rPr>
          <w:rFonts w:cstheme="minorHAnsi"/>
          <w:sz w:val="16"/>
          <w:szCs w:val="16"/>
          <w:lang w:val="en-US"/>
        </w:rPr>
        <w:t>solar-activity maximum period measured by the Tsubasa satellite</w:t>
      </w:r>
      <w:r>
        <w:rPr>
          <w:rFonts w:cstheme="minorHAnsi"/>
          <w:sz w:val="16"/>
          <w:szCs w:val="16"/>
          <w:lang w:val="en-US"/>
        </w:rPr>
        <w:t>(</w:t>
      </w:r>
      <w:r w:rsidRPr="00E4539D">
        <w:rPr>
          <w:rFonts w:cstheme="minorHAnsi"/>
          <w:sz w:val="16"/>
          <w:szCs w:val="16"/>
          <w:lang w:val="en-US"/>
        </w:rPr>
        <w:t>H. Koshiishi *, H. Matsumoto, T. Goka) - Japan Aerospace Exploration Agency, 2-1-1 Sengen, Tsukuba 305-8505, Japan</w:t>
      </w:r>
    </w:p>
  </w:footnote>
  <w:footnote w:id="7">
    <w:p w:rsidR="00F302F8" w:rsidRPr="00FC133C" w:rsidRDefault="00F302F8" w:rsidP="00F302F8">
      <w:pPr>
        <w:pStyle w:val="Textonotapie"/>
        <w:rPr>
          <w:sz w:val="16"/>
          <w:szCs w:val="16"/>
          <w:lang w:val="en-US"/>
        </w:rPr>
      </w:pPr>
      <w:r w:rsidRPr="00FC133C">
        <w:rPr>
          <w:rStyle w:val="Refdenotaalpie"/>
          <w:sz w:val="16"/>
          <w:szCs w:val="16"/>
        </w:rPr>
        <w:footnoteRef/>
      </w:r>
      <w:r w:rsidRPr="00FC133C">
        <w:rPr>
          <w:sz w:val="16"/>
          <w:szCs w:val="16"/>
          <w:lang w:val="en-US"/>
        </w:rPr>
        <w:t xml:space="preserve"> </w:t>
      </w:r>
      <w:r w:rsidRPr="00FC133C">
        <w:rPr>
          <w:rFonts w:ascii="Arial" w:hAnsi="Arial" w:cs="Arial"/>
          <w:sz w:val="16"/>
          <w:szCs w:val="16"/>
          <w:lang w:val="en-US"/>
        </w:rPr>
        <w:t xml:space="preserve">Robert Baumann. </w:t>
      </w:r>
      <w:r w:rsidRPr="00FC133C">
        <w:rPr>
          <w:rFonts w:ascii="Arial" w:hAnsi="Arial" w:cs="Arial"/>
          <w:i/>
          <w:iCs/>
          <w:sz w:val="16"/>
          <w:szCs w:val="16"/>
          <w:lang w:val="en-US"/>
        </w:rPr>
        <w:t>Handbook of semiconductor manufacturing tecnology</w:t>
      </w:r>
      <w:r w:rsidRPr="00FC133C">
        <w:rPr>
          <w:rFonts w:ascii="Arial" w:hAnsi="Arial" w:cs="Arial"/>
          <w:sz w:val="16"/>
          <w:szCs w:val="16"/>
          <w:lang w:val="en-US"/>
        </w:rPr>
        <w:t>, chapter chapter 31, pages 31–1 to 31–23. Taylor &amp; Francis Group, LCC, second edition, 2007.</w:t>
      </w:r>
    </w:p>
  </w:footnote>
  <w:footnote w:id="8">
    <w:p w:rsidR="00F302F8" w:rsidRPr="00820E94" w:rsidRDefault="00F302F8" w:rsidP="00F302F8">
      <w:pPr>
        <w:pStyle w:val="Textonotapie"/>
        <w:rPr>
          <w:rFonts w:cstheme="minorHAnsi"/>
          <w:sz w:val="16"/>
          <w:szCs w:val="16"/>
          <w:lang w:val="en-US"/>
        </w:rPr>
      </w:pPr>
      <w:r w:rsidRPr="00820E94">
        <w:rPr>
          <w:rStyle w:val="Refdenotaalpie"/>
          <w:rFonts w:cstheme="minorHAnsi"/>
          <w:sz w:val="16"/>
          <w:szCs w:val="16"/>
        </w:rPr>
        <w:footnoteRef/>
      </w:r>
      <w:r w:rsidRPr="00820E94">
        <w:rPr>
          <w:rFonts w:cstheme="minorHAnsi"/>
          <w:sz w:val="16"/>
          <w:szCs w:val="16"/>
          <w:lang w:val="en-US"/>
        </w:rPr>
        <w:t xml:space="preserve"> L. W. Massengill P. E. Dodd. Basic mechanisms and modeling of single</w:t>
      </w:r>
      <w:r w:rsidR="00820E94" w:rsidRPr="00820E94">
        <w:rPr>
          <w:rFonts w:cstheme="minorHAnsi"/>
          <w:sz w:val="16"/>
          <w:szCs w:val="16"/>
          <w:lang w:val="en-US"/>
        </w:rPr>
        <w:t xml:space="preserve"> </w:t>
      </w:r>
      <w:r w:rsidRPr="00820E94">
        <w:rPr>
          <w:rFonts w:cstheme="minorHAnsi"/>
          <w:sz w:val="16"/>
          <w:szCs w:val="16"/>
          <w:lang w:val="en-US"/>
        </w:rPr>
        <w:t xml:space="preserve">event upset in digital microelectronics. </w:t>
      </w:r>
      <w:r w:rsidRPr="00820E94">
        <w:rPr>
          <w:rFonts w:cstheme="minorHAnsi"/>
          <w:i/>
          <w:iCs/>
          <w:sz w:val="16"/>
          <w:szCs w:val="16"/>
          <w:lang w:val="en-US"/>
        </w:rPr>
        <w:t>IEEE Trans. Nucl. Sci.</w:t>
      </w:r>
      <w:r w:rsidRPr="00820E94">
        <w:rPr>
          <w:rFonts w:cstheme="minorHAnsi"/>
          <w:sz w:val="16"/>
          <w:szCs w:val="16"/>
          <w:lang w:val="en-US"/>
        </w:rPr>
        <w:t>, vol. 50(no. 3), June 2003.</w:t>
      </w:r>
    </w:p>
  </w:footnote>
  <w:footnote w:id="9">
    <w:p w:rsidR="00F302F8" w:rsidRPr="00820E94" w:rsidRDefault="00F302F8" w:rsidP="00F302F8">
      <w:pPr>
        <w:pStyle w:val="Textonotapie"/>
        <w:rPr>
          <w:rFonts w:cstheme="minorHAnsi"/>
          <w:sz w:val="16"/>
          <w:szCs w:val="16"/>
          <w:lang w:val="en-US"/>
        </w:rPr>
      </w:pPr>
      <w:r w:rsidRPr="00820E94">
        <w:rPr>
          <w:rStyle w:val="Refdenotaalpie"/>
          <w:rFonts w:cstheme="minorHAnsi"/>
          <w:sz w:val="16"/>
          <w:szCs w:val="16"/>
        </w:rPr>
        <w:footnoteRef/>
      </w:r>
      <w:r w:rsidRPr="00820E94">
        <w:rPr>
          <w:rFonts w:cstheme="minorHAnsi"/>
          <w:sz w:val="16"/>
          <w:szCs w:val="16"/>
          <w:lang w:val="en-US"/>
        </w:rPr>
        <w:t xml:space="preserve"> </w:t>
      </w:r>
      <w:r w:rsidRPr="00820E94">
        <w:rPr>
          <w:rFonts w:cstheme="minorHAnsi"/>
          <w:i/>
          <w:iCs/>
          <w:sz w:val="16"/>
          <w:szCs w:val="16"/>
          <w:lang w:val="en-US"/>
        </w:rPr>
        <w:t>Spacecraft Anomalies due to Radiation Environment in Space</w:t>
      </w:r>
      <w:r w:rsidRPr="00820E94">
        <w:rPr>
          <w:rStyle w:val="apple-converted-space"/>
          <w:rFonts w:cstheme="minorHAnsi"/>
          <w:sz w:val="16"/>
          <w:szCs w:val="16"/>
          <w:lang w:val="en-US"/>
        </w:rPr>
        <w:t> </w:t>
      </w:r>
      <w:r w:rsidRPr="00820E94">
        <w:rPr>
          <w:rFonts w:cstheme="minorHAnsi"/>
          <w:sz w:val="16"/>
          <w:szCs w:val="16"/>
          <w:lang w:val="en-US"/>
        </w:rPr>
        <w:t>by Lauriente and Vampola.</w:t>
      </w:r>
    </w:p>
  </w:footnote>
  <w:footnote w:id="10">
    <w:p w:rsidR="00F302F8" w:rsidRPr="0010353A" w:rsidRDefault="00F302F8" w:rsidP="00F302F8">
      <w:pPr>
        <w:pStyle w:val="Textonotapie"/>
        <w:rPr>
          <w:sz w:val="16"/>
          <w:lang w:val="en-US"/>
        </w:rPr>
      </w:pPr>
      <w:r w:rsidRPr="0010353A">
        <w:rPr>
          <w:rStyle w:val="Refdenotaalpie"/>
          <w:sz w:val="16"/>
        </w:rPr>
        <w:footnoteRef/>
      </w:r>
      <w:r w:rsidRPr="0010353A">
        <w:rPr>
          <w:sz w:val="16"/>
          <w:lang w:val="en-US"/>
        </w:rPr>
        <w:t xml:space="preserve"> </w:t>
      </w:r>
      <w:r w:rsidRPr="0010353A">
        <w:rPr>
          <w:sz w:val="16"/>
          <w:lang w:val="en-US" w:eastAsia="es-AR"/>
        </w:rPr>
        <w:t>NASA Thesaurus</w:t>
      </w:r>
    </w:p>
  </w:footnote>
  <w:footnote w:id="11">
    <w:p w:rsidR="00F302F8" w:rsidRPr="00666B9B" w:rsidRDefault="006B611D" w:rsidP="00F302F8">
      <w:pPr>
        <w:pStyle w:val="Textonotapie"/>
        <w:rPr>
          <w:sz w:val="16"/>
          <w:szCs w:val="16"/>
          <w:lang w:val="en-US"/>
        </w:rPr>
      </w:pPr>
      <w:r w:rsidRPr="006B611D">
        <w:rPr>
          <w:rStyle w:val="Refdenotaalpie"/>
          <w:sz w:val="16"/>
          <w:szCs w:val="16"/>
        </w:rPr>
        <w:footnoteRef/>
      </w:r>
      <w:r w:rsidRPr="006B611D">
        <w:rPr>
          <w:sz w:val="16"/>
          <w:szCs w:val="16"/>
          <w:lang w:val="en-US"/>
        </w:rPr>
        <w:t xml:space="preserve"> </w:t>
      </w:r>
      <w:r w:rsidRPr="006B611D">
        <w:rPr>
          <w:rStyle w:val="apple-style-span"/>
          <w:rFonts w:ascii="Arial" w:hAnsi="Arial" w:cs="Arial"/>
          <w:sz w:val="16"/>
          <w:szCs w:val="16"/>
          <w:lang w:val="en-US"/>
        </w:rPr>
        <w:t>I. Mouret, M. Allenspach, R.D. Schrimpf, J.R. Brews, K.F. Galloway, P. Calvel, "Temperature and angular dependence of substrate response in SEGR,"</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41, no. 6, pp. 2216-2221, 1994.</w:t>
      </w:r>
    </w:p>
  </w:footnote>
  <w:footnote w:id="12">
    <w:p w:rsidR="00F302F8" w:rsidRPr="00666B9B" w:rsidRDefault="006B611D" w:rsidP="00F302F8">
      <w:pPr>
        <w:pStyle w:val="Textonotapie"/>
        <w:rPr>
          <w:sz w:val="16"/>
          <w:szCs w:val="16"/>
          <w:lang w:val="en-US"/>
        </w:rPr>
      </w:pPr>
      <w:r w:rsidRPr="006B611D">
        <w:rPr>
          <w:rStyle w:val="Refdenotaalpie"/>
          <w:sz w:val="16"/>
          <w:szCs w:val="16"/>
        </w:rPr>
        <w:footnoteRef/>
      </w:r>
      <w:r w:rsidRPr="006B611D">
        <w:rPr>
          <w:sz w:val="16"/>
          <w:szCs w:val="16"/>
          <w:lang w:val="en-US"/>
        </w:rPr>
        <w:t xml:space="preserve"> </w:t>
      </w:r>
      <w:r w:rsidRPr="006B611D">
        <w:rPr>
          <w:rStyle w:val="apple-style-span"/>
          <w:rFonts w:ascii="Arial" w:hAnsi="Arial" w:cs="Arial"/>
          <w:sz w:val="16"/>
          <w:szCs w:val="16"/>
          <w:lang w:val="en-US"/>
        </w:rPr>
        <w:t>G.H. Johnson, R.D. Schrimpf, K.F. Galloway, R. Koga, "Temperature dependence of single-event burnout in n-channel power MOSFETs,"</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39, pp. 1605-1612, 1992.</w:t>
      </w:r>
    </w:p>
  </w:footnote>
  <w:footnote w:id="13">
    <w:p w:rsidR="00F302F8" w:rsidRPr="00790EA6" w:rsidRDefault="006B611D" w:rsidP="00F302F8">
      <w:pPr>
        <w:pStyle w:val="Textonotapie"/>
        <w:rPr>
          <w:lang w:val="en-US"/>
        </w:rPr>
      </w:pPr>
      <w:r w:rsidRPr="006B611D">
        <w:rPr>
          <w:rStyle w:val="Refdenotaalpie"/>
          <w:sz w:val="16"/>
          <w:szCs w:val="16"/>
        </w:rPr>
        <w:footnoteRef/>
      </w:r>
      <w:r w:rsidRPr="006B611D">
        <w:rPr>
          <w:sz w:val="16"/>
          <w:szCs w:val="16"/>
          <w:lang w:val="en-US"/>
        </w:rPr>
        <w:t xml:space="preserve"> </w:t>
      </w:r>
      <w:hyperlink r:id="rId1" w:history="1">
        <w:r w:rsidRPr="006B611D">
          <w:rPr>
            <w:rStyle w:val="Hipervnculo"/>
            <w:rFonts w:ascii="Arial" w:hAnsi="Arial" w:cs="Arial"/>
            <w:color w:val="auto"/>
            <w:sz w:val="16"/>
            <w:szCs w:val="16"/>
            <w:lang w:val="en-US"/>
          </w:rPr>
          <w:t>http://holbert.faculty.asu.edu/eee560/see.html</w:t>
        </w:r>
      </w:hyperlink>
    </w:p>
  </w:footnote>
  <w:footnote w:id="14">
    <w:p w:rsidR="00F302F8" w:rsidRPr="00545093" w:rsidRDefault="006B611D" w:rsidP="00F302F8">
      <w:pPr>
        <w:pStyle w:val="Textonotapie"/>
        <w:rPr>
          <w:sz w:val="16"/>
          <w:szCs w:val="16"/>
          <w:lang w:val="en-US"/>
        </w:rPr>
      </w:pPr>
      <w:r w:rsidRPr="006B611D">
        <w:rPr>
          <w:rStyle w:val="Refdenotaalpie"/>
          <w:sz w:val="16"/>
          <w:szCs w:val="16"/>
        </w:rPr>
        <w:footnoteRef/>
      </w:r>
      <w:r w:rsidRPr="006B611D">
        <w:rPr>
          <w:sz w:val="16"/>
          <w:szCs w:val="16"/>
          <w:lang w:val="en-US"/>
        </w:rPr>
        <w:t xml:space="preserve"> </w:t>
      </w:r>
      <w:r w:rsidRPr="006B611D">
        <w:rPr>
          <w:rStyle w:val="apple-style-span"/>
          <w:rFonts w:ascii="Arial" w:hAnsi="Arial" w:cs="Arial"/>
          <w:sz w:val="16"/>
          <w:szCs w:val="16"/>
          <w:lang w:val="en-US"/>
        </w:rPr>
        <w:t>G.C. Messenger, M.S. Ash,</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The Effects of Radiation on Electronic Systems</w:t>
      </w:r>
      <w:r w:rsidRPr="006B611D">
        <w:rPr>
          <w:rStyle w:val="apple-style-span"/>
          <w:rFonts w:ascii="Arial" w:hAnsi="Arial" w:cs="Arial"/>
          <w:sz w:val="16"/>
          <w:szCs w:val="16"/>
          <w:lang w:val="en-US"/>
        </w:rPr>
        <w:t>, 2nd edition, Van Nostrand Reinhold, NY, 1992.</w:t>
      </w:r>
    </w:p>
  </w:footnote>
  <w:footnote w:id="15">
    <w:p w:rsidR="00F302F8" w:rsidRPr="00545093" w:rsidRDefault="006B611D" w:rsidP="00F302F8">
      <w:pPr>
        <w:pStyle w:val="Textonotapie"/>
        <w:rPr>
          <w:sz w:val="16"/>
          <w:szCs w:val="16"/>
          <w:lang w:val="en-US"/>
        </w:rPr>
      </w:pPr>
      <w:r w:rsidRPr="006B611D">
        <w:rPr>
          <w:rStyle w:val="Refdenotaalpie"/>
          <w:sz w:val="16"/>
          <w:szCs w:val="16"/>
        </w:rPr>
        <w:footnoteRef/>
      </w:r>
      <w:r w:rsidRPr="006B611D">
        <w:rPr>
          <w:sz w:val="16"/>
          <w:szCs w:val="16"/>
          <w:lang w:val="en-US"/>
        </w:rPr>
        <w:t xml:space="preserve"> </w:t>
      </w:r>
      <w:r w:rsidRPr="006B611D">
        <w:rPr>
          <w:rStyle w:val="apple-style-span"/>
          <w:rFonts w:ascii="Arial" w:hAnsi="Arial" w:cs="Arial"/>
          <w:sz w:val="16"/>
          <w:szCs w:val="16"/>
          <w:lang w:val="en-US"/>
        </w:rPr>
        <w:t>K. LaBel, "Single event effects specification,"</w:t>
      </w:r>
      <w:r w:rsidRPr="006B611D">
        <w:rPr>
          <w:rStyle w:val="apple-converted-space"/>
          <w:rFonts w:ascii="Arial" w:hAnsi="Arial" w:cs="Arial"/>
          <w:sz w:val="16"/>
          <w:szCs w:val="16"/>
          <w:lang w:val="en-US"/>
        </w:rPr>
        <w:t> </w:t>
      </w:r>
      <w:hyperlink r:id="rId2" w:history="1">
        <w:r w:rsidRPr="006B611D">
          <w:rPr>
            <w:rStyle w:val="Hipervnculo"/>
            <w:rFonts w:ascii="Arial" w:hAnsi="Arial" w:cs="Arial"/>
            <w:color w:val="auto"/>
            <w:sz w:val="16"/>
            <w:szCs w:val="16"/>
            <w:lang w:val="en-US"/>
          </w:rPr>
          <w:t>radhome.gsfc.nasa.gov/radhome/papers/seespec.htm</w:t>
        </w:r>
      </w:hyperlink>
      <w:r w:rsidRPr="006B611D">
        <w:rPr>
          <w:rStyle w:val="apple-style-span"/>
          <w:rFonts w:ascii="Arial" w:hAnsi="Arial" w:cs="Arial"/>
          <w:sz w:val="16"/>
          <w:szCs w:val="16"/>
          <w:lang w:val="en-US"/>
        </w:rPr>
        <w:t>, 1993.</w:t>
      </w:r>
    </w:p>
  </w:footnote>
  <w:footnote w:id="16">
    <w:p w:rsidR="00F302F8" w:rsidRPr="00545093" w:rsidRDefault="006B611D" w:rsidP="00F302F8">
      <w:pPr>
        <w:pStyle w:val="Textonotapie"/>
        <w:rPr>
          <w:sz w:val="16"/>
          <w:szCs w:val="16"/>
          <w:lang w:val="en-US"/>
        </w:rPr>
      </w:pPr>
      <w:r w:rsidRPr="006B611D">
        <w:rPr>
          <w:rStyle w:val="Refdenotaalpie"/>
          <w:sz w:val="16"/>
          <w:szCs w:val="16"/>
        </w:rPr>
        <w:footnoteRef/>
      </w:r>
      <w:r w:rsidRPr="006B611D">
        <w:rPr>
          <w:sz w:val="16"/>
          <w:szCs w:val="16"/>
          <w:lang w:val="en-US"/>
        </w:rPr>
        <w:t xml:space="preserve"> </w:t>
      </w:r>
      <w:hyperlink r:id="rId3" w:history="1">
        <w:r w:rsidRPr="006B611D">
          <w:rPr>
            <w:rStyle w:val="Hipervnculo"/>
            <w:rFonts w:ascii="Arial" w:hAnsi="Arial" w:cs="Arial"/>
            <w:color w:val="auto"/>
            <w:sz w:val="16"/>
            <w:szCs w:val="16"/>
            <w:lang w:val="en-US"/>
          </w:rPr>
          <w:t>http://holbert.faculty.asu.edu/eee560/see.html</w:t>
        </w:r>
      </w:hyperlink>
      <w:r w:rsidRPr="006B611D">
        <w:rPr>
          <w:sz w:val="16"/>
          <w:szCs w:val="16"/>
          <w:lang w:val="en-US"/>
        </w:rPr>
        <w:t>.</w:t>
      </w:r>
    </w:p>
  </w:footnote>
  <w:footnote w:id="17">
    <w:p w:rsidR="00F302F8" w:rsidRPr="00676042" w:rsidRDefault="006B611D" w:rsidP="00F302F8">
      <w:pPr>
        <w:pStyle w:val="Textonotapie"/>
        <w:rPr>
          <w:rFonts w:cstheme="minorHAnsi"/>
          <w:sz w:val="16"/>
          <w:szCs w:val="18"/>
          <w:lang w:val="en-US"/>
        </w:rPr>
      </w:pPr>
      <w:r w:rsidRPr="006B611D">
        <w:rPr>
          <w:rStyle w:val="Refdenotaalpie"/>
          <w:rFonts w:cstheme="minorHAnsi"/>
          <w:sz w:val="16"/>
          <w:szCs w:val="18"/>
        </w:rPr>
        <w:footnoteRef/>
      </w:r>
      <w:r w:rsidRPr="006B611D">
        <w:rPr>
          <w:rFonts w:cstheme="minorHAnsi"/>
          <w:sz w:val="16"/>
          <w:szCs w:val="18"/>
          <w:lang w:val="en-US"/>
        </w:rPr>
        <w:t xml:space="preserve"> G. C. Messenger. Collection of charge on junction nodes from ion tracks. </w:t>
      </w:r>
      <w:r w:rsidRPr="006B611D">
        <w:rPr>
          <w:rFonts w:cstheme="minorHAnsi"/>
          <w:i/>
          <w:iCs/>
          <w:sz w:val="16"/>
          <w:szCs w:val="18"/>
          <w:lang w:val="en-US"/>
        </w:rPr>
        <w:t>IEEE Trans. Nucl. Sci.</w:t>
      </w:r>
      <w:r w:rsidRPr="006B611D">
        <w:rPr>
          <w:rFonts w:cstheme="minorHAnsi"/>
          <w:sz w:val="16"/>
          <w:szCs w:val="18"/>
          <w:lang w:val="en-US"/>
        </w:rPr>
        <w:t>, pages pp. 20024–2031, 1982.</w:t>
      </w:r>
    </w:p>
  </w:footnote>
  <w:footnote w:id="18">
    <w:p w:rsidR="00676042" w:rsidRPr="00676042" w:rsidRDefault="00676042" w:rsidP="00676042">
      <w:pPr>
        <w:autoSpaceDE w:val="0"/>
        <w:autoSpaceDN w:val="0"/>
        <w:adjustRightInd w:val="0"/>
        <w:spacing w:after="0" w:line="240" w:lineRule="auto"/>
        <w:rPr>
          <w:rFonts w:cstheme="minorHAnsi"/>
          <w:sz w:val="16"/>
          <w:szCs w:val="16"/>
          <w:lang w:val="en-US"/>
        </w:rPr>
      </w:pPr>
      <w:r w:rsidRPr="00676042">
        <w:rPr>
          <w:rStyle w:val="Refdenotaalpie"/>
        </w:rPr>
        <w:footnoteRef/>
      </w:r>
      <w:r w:rsidRPr="00676042">
        <w:rPr>
          <w:lang w:val="en-US"/>
        </w:rPr>
        <w:t xml:space="preserve"> </w:t>
      </w:r>
      <w:r w:rsidRPr="00676042">
        <w:rPr>
          <w:rFonts w:cstheme="minorHAnsi"/>
          <w:bCs/>
          <w:sz w:val="16"/>
          <w:szCs w:val="16"/>
          <w:lang w:val="en-US"/>
        </w:rPr>
        <w:t xml:space="preserve">PARAMETER-FREE, PREDICTIVE MODELING OF SINGLE EVENT UPSETS DUE TO PROTONS. NEUTRONS, AND PIONS IN TERRESTRIAL COSMIC RAYS (G.R. Srinivasan, H.K. Tang, and P.C. Murley) </w:t>
      </w:r>
      <w:r w:rsidRPr="00676042">
        <w:rPr>
          <w:rFonts w:cstheme="minorHAnsi"/>
          <w:sz w:val="16"/>
          <w:szCs w:val="16"/>
          <w:lang w:val="en-US"/>
        </w:rPr>
        <w:t>Semiconductor Research and Development Center,IBM East Fishkill, Hopewell Jct., NY 12533</w:t>
      </w:r>
    </w:p>
  </w:footnote>
  <w:footnote w:id="19">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MODELING SINGLE EVENT UPSETS IN FLOATING GATE MEMORY CELLS</w:t>
      </w:r>
      <w:r>
        <w:rPr>
          <w:rFonts w:cstheme="minorHAnsi"/>
          <w:sz w:val="16"/>
          <w:szCs w:val="16"/>
          <w:lang w:val="en-US"/>
        </w:rPr>
        <w:t xml:space="preserve"> (</w:t>
      </w:r>
      <w:r w:rsidRPr="00676042">
        <w:rPr>
          <w:rFonts w:cstheme="minorHAnsi"/>
          <w:sz w:val="16"/>
          <w:szCs w:val="16"/>
          <w:lang w:val="en-US"/>
        </w:rPr>
        <w:t>Nauman Z. Butt and Muhammad Alam</w:t>
      </w:r>
      <w:r>
        <w:rPr>
          <w:rFonts w:cstheme="minorHAnsi"/>
          <w:sz w:val="16"/>
          <w:szCs w:val="16"/>
          <w:lang w:val="en-US"/>
        </w:rPr>
        <w:t xml:space="preserve"> </w:t>
      </w:r>
      <w:r w:rsidRPr="00676042">
        <w:rPr>
          <w:rFonts w:cstheme="minorHAnsi"/>
          <w:sz w:val="16"/>
          <w:szCs w:val="16"/>
          <w:lang w:val="en-US"/>
        </w:rPr>
        <w:t>School of Electrical and Computer Engineering, Purdue University, West Lafayette, IN 47906</w:t>
      </w:r>
      <w:r>
        <w:rPr>
          <w:rFonts w:cstheme="minorHAnsi"/>
          <w:sz w:val="16"/>
          <w:szCs w:val="16"/>
          <w:lang w:val="en-US"/>
        </w:rPr>
        <w:t>)</w:t>
      </w:r>
    </w:p>
  </w:footnote>
  <w:footnote w:id="20">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SEMM-2: A Modeling System</w:t>
      </w:r>
      <w:r>
        <w:rPr>
          <w:rFonts w:cstheme="minorHAnsi"/>
          <w:sz w:val="16"/>
          <w:szCs w:val="16"/>
          <w:lang w:val="en-US"/>
        </w:rPr>
        <w:t xml:space="preserve"> </w:t>
      </w:r>
      <w:r w:rsidRPr="00676042">
        <w:rPr>
          <w:rFonts w:cstheme="minorHAnsi"/>
          <w:sz w:val="16"/>
          <w:szCs w:val="16"/>
          <w:lang w:val="en-US"/>
        </w:rPr>
        <w:t>for Single Event Upset Analysis</w:t>
      </w:r>
      <w:r>
        <w:rPr>
          <w:rFonts w:cstheme="minorHAnsi"/>
          <w:sz w:val="16"/>
          <w:szCs w:val="16"/>
          <w:lang w:val="en-US"/>
        </w:rPr>
        <w:t xml:space="preserve"> (</w:t>
      </w:r>
      <w:r w:rsidRPr="00676042">
        <w:rPr>
          <w:rFonts w:cstheme="minorHAnsi"/>
          <w:sz w:val="16"/>
          <w:szCs w:val="16"/>
          <w:lang w:val="en-US"/>
        </w:rPr>
        <w:t>Henry H. K. Tang</w:t>
      </w:r>
      <w:r w:rsidRPr="00676042">
        <w:rPr>
          <w:rFonts w:cstheme="minorHAnsi"/>
          <w:i/>
          <w:iCs/>
          <w:sz w:val="16"/>
          <w:szCs w:val="16"/>
          <w:lang w:val="en-US"/>
        </w:rPr>
        <w:t xml:space="preserve">, Member, IEEE, </w:t>
      </w:r>
      <w:r w:rsidRPr="00676042">
        <w:rPr>
          <w:rFonts w:cstheme="minorHAnsi"/>
          <w:sz w:val="16"/>
          <w:szCs w:val="16"/>
          <w:lang w:val="en-US"/>
        </w:rPr>
        <w:t>and Ethan H. Cannon</w:t>
      </w:r>
      <w:r>
        <w:rPr>
          <w:rFonts w:cstheme="minorHAnsi"/>
          <w:sz w:val="16"/>
          <w:szCs w:val="16"/>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F302F8"/>
    <w:rsid w:val="000061A0"/>
    <w:rsid w:val="0007651E"/>
    <w:rsid w:val="00096EDE"/>
    <w:rsid w:val="0010353A"/>
    <w:rsid w:val="00196C82"/>
    <w:rsid w:val="0032585D"/>
    <w:rsid w:val="00334B73"/>
    <w:rsid w:val="00471902"/>
    <w:rsid w:val="00483926"/>
    <w:rsid w:val="00536948"/>
    <w:rsid w:val="00545093"/>
    <w:rsid w:val="00666B9B"/>
    <w:rsid w:val="00676042"/>
    <w:rsid w:val="00686625"/>
    <w:rsid w:val="006A1B63"/>
    <w:rsid w:val="006B611D"/>
    <w:rsid w:val="00704A66"/>
    <w:rsid w:val="00781482"/>
    <w:rsid w:val="007931E6"/>
    <w:rsid w:val="00820E94"/>
    <w:rsid w:val="008E24CD"/>
    <w:rsid w:val="00A209F2"/>
    <w:rsid w:val="00B00962"/>
    <w:rsid w:val="00D14F10"/>
    <w:rsid w:val="00E4539D"/>
    <w:rsid w:val="00E85D02"/>
    <w:rsid w:val="00EA6C99"/>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302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302F8"/>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D36EB-37CE-459B-B72D-21A1B700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2947</Words>
  <Characters>16211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13</cp:revision>
  <dcterms:created xsi:type="dcterms:W3CDTF">2010-07-24T19:30:00Z</dcterms:created>
  <dcterms:modified xsi:type="dcterms:W3CDTF">2010-07-26T22:20:00Z</dcterms:modified>
</cp:coreProperties>
</file>