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F775B0">
      <w:pPr>
        <w:pStyle w:val="Ttulo1"/>
      </w:pPr>
      <w:r w:rsidRPr="00414942">
        <w:t xml:space="preserve">CAPÍTULO </w:t>
      </w:r>
      <w:r w:rsidR="0009702E">
        <w:t>4</w:t>
      </w:r>
      <w:r w:rsidRPr="00414942">
        <w:t xml:space="preserve">) CAMPAÑA DE INYECCIÓN </w:t>
      </w:r>
      <w:r w:rsidR="0009702E">
        <w:t>AUTOMATICA</w:t>
      </w:r>
    </w:p>
    <w:p w:rsidR="00534556" w:rsidRDefault="00F775B0" w:rsidP="00426103">
      <w:pPr>
        <w:pStyle w:val="IntroCAPTESIS"/>
        <w:sectPr w:rsidR="00534556" w:rsidSect="00DF7568">
          <w:pgSz w:w="12240" w:h="15840"/>
          <w:pgMar w:top="1417" w:right="1701" w:bottom="1417" w:left="1701" w:header="708" w:footer="708" w:gutter="0"/>
          <w:cols w:space="708"/>
          <w:docGrid w:linePitch="360"/>
        </w:sectPr>
      </w:pPr>
      <w:r w:rsidRPr="008F0E30">
        <w:t>En este capítulo se detallará el proceso de inyección de fallas</w:t>
      </w:r>
      <w:r w:rsidR="00F727DA">
        <w:t xml:space="preserve"> automatizado </w:t>
      </w:r>
      <w:r w:rsidRPr="008F0E30">
        <w:t>y</w:t>
      </w:r>
      <w:r w:rsidR="00F727DA">
        <w:t xml:space="preserve"> su posterior análisis. </w:t>
      </w:r>
      <w:r w:rsidR="00426103">
        <w:t xml:space="preserve">La automatización se llevo a cabo con el desarrollo de un software que permitió la inyección sistematizada de fallas, la simulación del </w:t>
      </w:r>
      <w:r w:rsidR="00FC3263">
        <w:t>circuito</w:t>
      </w:r>
      <w:r w:rsidR="00426103">
        <w:t xml:space="preserve"> y </w:t>
      </w:r>
      <w:r w:rsidR="00FC3263">
        <w:t xml:space="preserve">el </w:t>
      </w:r>
      <w:r w:rsidR="00426103">
        <w:t>posterior análisis</w:t>
      </w:r>
      <w:r w:rsidR="00FC3263">
        <w:t xml:space="preserve"> de los resultados</w:t>
      </w:r>
      <w:r w:rsidR="00426103">
        <w:t xml:space="preserve">. </w:t>
      </w:r>
    </w:p>
    <w:p w:rsidR="00426103" w:rsidRDefault="00534556" w:rsidP="00426103">
      <w:pPr>
        <w:pStyle w:val="Epgrafe"/>
        <w:jc w:val="right"/>
      </w:pPr>
      <w:r w:rsidRPr="00534556">
        <w:lastRenderedPageBreak/>
        <w:drawing>
          <wp:inline distT="0" distB="0" distL="0" distR="0">
            <wp:extent cx="2619375" cy="2619375"/>
            <wp:effectExtent l="0" t="0" r="0"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br w:type="column"/>
      </w:r>
    </w:p>
    <w:p w:rsidR="00534556" w:rsidRDefault="00534556" w:rsidP="00426103">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2"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br w:type="column"/>
      </w:r>
      <w:r>
        <w:rPr>
          <w:noProof/>
          <w:lang w:eastAsia="es-AR"/>
        </w:rPr>
        <w:lastRenderedPageBreak/>
        <w:drawing>
          <wp:inline distT="0" distB="0" distL="0" distR="0">
            <wp:extent cx="2967021" cy="2838450"/>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4556" w:rsidRDefault="00534556" w:rsidP="00534556">
      <w:pPr>
        <w:pStyle w:val="Epgrafe"/>
        <w:jc w:val="center"/>
        <w:sectPr w:rsidR="00534556"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F775B0" w:rsidRDefault="00F775B0" w:rsidP="00534556">
      <w:pPr>
        <w:pStyle w:val="Epgrafe"/>
        <w:jc w:val="center"/>
      </w:pPr>
      <w:r>
        <w:lastRenderedPageBreak/>
        <w:t xml:space="preserve">Figura </w:t>
      </w:r>
      <w:fldSimple w:instr=" SEQ Figura \* ARABIC ">
        <w:r>
          <w:rPr>
            <w:noProof/>
          </w:rPr>
          <w:t>1</w:t>
        </w:r>
      </w:fldSimple>
      <w:r>
        <w:t>) Interacción usuario-programa.</w:t>
      </w:r>
    </w:p>
    <w:p w:rsidR="00955102" w:rsidRDefault="00955102" w:rsidP="00955102">
      <w:pPr>
        <w:pStyle w:val="ParrafoTESIS"/>
      </w:pPr>
      <w:r>
        <w:t>El propósito de l</w:t>
      </w:r>
      <w:r w:rsidRPr="008F0E30">
        <w:t>a</w:t>
      </w:r>
      <w:r>
        <w:t xml:space="preserve"> automatización fue el de reducir los tiempos de la</w:t>
      </w:r>
      <w:r w:rsidRPr="008F0E30">
        <w:t xml:space="preserve"> </w:t>
      </w:r>
      <w:r>
        <w:t>campaña, ya que realizado en forma manual hubiera sido considerablemente mayor, y soluciones como inyecciones estadísticas no eran lo suficientemente robustas como para poder d</w:t>
      </w:r>
      <w:r w:rsidRPr="008F0E30">
        <w:t>eterminar la susceptibilidad a fallas del conversor flash causad</w:t>
      </w:r>
      <w:r>
        <w:t>a</w:t>
      </w:r>
      <w:r w:rsidRPr="008F0E30">
        <w:t xml:space="preserve">s por </w:t>
      </w:r>
      <w:r>
        <w:t>A</w:t>
      </w:r>
      <w:r w:rsidRPr="008F0E30">
        <w:t>SETs</w:t>
      </w:r>
      <w:r>
        <w:t>.</w:t>
      </w:r>
    </w:p>
    <w:p w:rsidR="00426103" w:rsidRDefault="00426103" w:rsidP="00F775B0">
      <w:pPr>
        <w:pStyle w:val="ParrafoTESIS"/>
      </w:pPr>
      <w:r>
        <w:t xml:space="preserve">Como se puede observar en la Figura 1&lt;FALTA REFERENCIA A IMAGEN&gt;, </w:t>
      </w:r>
    </w:p>
    <w:p w:rsidR="00F775B0" w:rsidRDefault="00F775B0" w:rsidP="00F775B0">
      <w:pPr>
        <w:pStyle w:val="ParrafoTESIS"/>
      </w:pPr>
      <w:r>
        <w:t xml:space="preserve">La campaña de inyección se realizó sobre los comparadores (estructuras analógicas del conversor). Las fallas son inyectada en cada drenador de cada transistor que lo conforma (PMOS y NMOS, variando la dirección de la corriente según corresponda) simulando un SET en distintas condiciones de señal de entrada. </w:t>
      </w:r>
    </w:p>
    <w:p w:rsidR="00F775B0" w:rsidRDefault="00F775B0" w:rsidP="00F775B0">
      <w:pPr>
        <w:pStyle w:val="ParrafoTESIS"/>
      </w:pPr>
      <w:r>
        <w:t xml:space="preserve">Por cada comparador hay 7 </w:t>
      </w:r>
      <w:proofErr w:type="spellStart"/>
      <w:r>
        <w:t>drenadores</w:t>
      </w:r>
      <w:proofErr w:type="spellEnd"/>
      <w:r>
        <w:t xml:space="preserve"> donde se deben inyectar ambas fallas, los que nos da un total de 14 simulaciones por comparador. Durante la campaña de inyección se varía la señal de entrada en 64 niveles de tensión para los 63 comparadores existentes en el conversor, esto nos da un total de 56448 simulaciones durante el proceso, lo cual requirió de un enorme recurso computacional. Las inyecciones se realizaron de modo manual, en el cual se considero 3 </w:t>
      </w:r>
      <w:r>
        <w:lastRenderedPageBreak/>
        <w:t>comparadores en situaciones específicas de tensión de entrada y referencia, y de modo automático para realizar el total de las simulaciones mediante el programa desarrollado.</w:t>
      </w:r>
    </w:p>
    <w:p w:rsidR="00F775B0" w:rsidRPr="00A8165C" w:rsidRDefault="00F775B0" w:rsidP="00F775B0">
      <w:pPr>
        <w:pStyle w:val="Ttulo3"/>
      </w:pPr>
      <w:r w:rsidRPr="00A8165C">
        <w:t>3.1.2) Automática</w:t>
      </w:r>
    </w:p>
    <w:p w:rsidR="00F775B0" w:rsidRDefault="00F775B0" w:rsidP="00F775B0">
      <w:pPr>
        <w:pStyle w:val="ParrafoTESIS"/>
      </w:pPr>
      <w:r>
        <w:t xml:space="preserve">Para la campaña de inyección completa, se desarrolló un programa que realizó un </w:t>
      </w:r>
      <w:r w:rsidRPr="00C77424">
        <w:t>“barrido en tensión continua”</w:t>
      </w:r>
      <w:r>
        <w:t xml:space="preserve"> de la entrada desde 1V a 1.64V en cada uno de los </w:t>
      </w:r>
      <w:proofErr w:type="spellStart"/>
      <w:r>
        <w:t>drenadores</w:t>
      </w:r>
      <w:proofErr w:type="spellEnd"/>
      <w:r>
        <w:t xml:space="preserve"> para los 63 comparadores.</w:t>
      </w:r>
      <w:r w:rsidRPr="00245576">
        <w:t xml:space="preserve"> </w:t>
      </w:r>
      <w:r>
        <w:t xml:space="preserve">Éste fue realizado en la plataforma de programación </w:t>
      </w:r>
      <w:proofErr w:type="spellStart"/>
      <w:r>
        <w:t>Python</w:t>
      </w:r>
      <w:proofErr w:type="spellEnd"/>
      <w:r>
        <w:t xml:space="preserve"> bajo el sistema operativo de Windows </w:t>
      </w:r>
      <w:proofErr w:type="spellStart"/>
      <w:r>
        <w:t>Seven</w:t>
      </w:r>
      <w:proofErr w:type="spellEnd"/>
      <w:r>
        <w:t xml:space="preserve">. El código del programa se encuentra detallado en el </w:t>
      </w:r>
      <w:r w:rsidRPr="001B7C08">
        <w:t>APENDICE C.</w:t>
      </w:r>
    </w:p>
    <w:p w:rsidR="00F775B0" w:rsidRDefault="00F775B0" w:rsidP="00F775B0">
      <w:pPr>
        <w:keepNext/>
        <w:jc w:val="center"/>
      </w:pPr>
      <w:r>
        <w:rPr>
          <w:noProof/>
          <w:lang w:eastAsia="es-AR"/>
        </w:rPr>
        <w:drawing>
          <wp:inline distT="0" distB="0" distL="0" distR="0">
            <wp:extent cx="5203408" cy="40935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p>
    <w:p w:rsidR="00F775B0" w:rsidRDefault="00F775B0" w:rsidP="00F775B0">
      <w:pPr>
        <w:pStyle w:val="Epgrafe"/>
        <w:jc w:val="center"/>
        <w:rPr>
          <w:b w:val="0"/>
          <w:bCs w:val="0"/>
        </w:rPr>
      </w:pPr>
      <w:r>
        <w:t xml:space="preserve">Figura </w:t>
      </w:r>
      <w:fldSimple w:instr=" SEQ Figura \* ARABIC ">
        <w:r>
          <w:rPr>
            <w:noProof/>
          </w:rPr>
          <w:t>3</w:t>
        </w:r>
      </w:fldSimple>
      <w:r>
        <w:t>) Imagen del programa (pestaña de inyección).</w:t>
      </w:r>
    </w:p>
    <w:p w:rsidR="00F775B0" w:rsidRDefault="00F775B0" w:rsidP="00F775B0">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775B0" w:rsidRDefault="00F775B0" w:rsidP="00F775B0">
      <w:pPr>
        <w:pStyle w:val="Epgrafe"/>
        <w:jc w:val="center"/>
      </w:pPr>
      <w:r>
        <w:t xml:space="preserve">Figura </w:t>
      </w:r>
      <w:fldSimple w:instr=" SEQ Figura \* ARABIC ">
        <w:r>
          <w:rPr>
            <w:noProof/>
          </w:rPr>
          <w:t>4</w:t>
        </w:r>
      </w:fldSimple>
      <w:r>
        <w:t>) Diagrama de proceso de inyección de fallas.</w:t>
      </w:r>
    </w:p>
    <w:p w:rsidR="00F775B0" w:rsidRDefault="00F775B0" w:rsidP="00F775B0">
      <w:pPr>
        <w:pStyle w:val="Ttulo2"/>
      </w:pPr>
      <w:r>
        <w:t>3.2) Análisis</w:t>
      </w:r>
    </w:p>
    <w:p w:rsidR="00F775B0" w:rsidRPr="00A8165C" w:rsidRDefault="00F775B0" w:rsidP="00F775B0">
      <w:pPr>
        <w:pStyle w:val="ParrafoTESIS"/>
      </w:pPr>
      <w:r w:rsidRPr="00A8165C">
        <w:t>El análisis de los resultados de la campaña se realizó en dos etapas, al igual que la inyección. Una primera en la cual se analizaron los resultados de las inyecciones hechas de manera manual, verificando el comportamiento general del circuito ante cada alteración del mismo, identificando los nodos sensibles y propensos al error. Luego de corroborar el método manual, se pasó al procesamiento de la información de modo automático mediante un programa realizado para este fin y recopilando la información mediante tablas.</w:t>
      </w:r>
    </w:p>
    <w:p w:rsidR="00F775B0" w:rsidRDefault="00F775B0" w:rsidP="00F775B0">
      <w:pPr>
        <w:pStyle w:val="Ttulo3"/>
      </w:pPr>
      <w:r>
        <w:t>3.2.2) Automática</w:t>
      </w:r>
    </w:p>
    <w:p w:rsidR="00F775B0" w:rsidRDefault="00F775B0" w:rsidP="00F775B0">
      <w:pPr>
        <w:pStyle w:val="ParrafoTESIS"/>
      </w:pPr>
      <w:r>
        <w:t>Luego de corroborar el correcto funcionamiento del programa y el comportamiento del comparador ante las perturbaciones, se pasó a la utilización del programa para automatizar el proceso de recopilación de información obtenida de las simulaciones.</w:t>
      </w:r>
    </w:p>
    <w:p w:rsidR="00F775B0" w:rsidRDefault="00F775B0" w:rsidP="00F775B0">
      <w:pPr>
        <w:jc w:val="center"/>
      </w:pPr>
      <w:r>
        <w:rPr>
          <w:noProof/>
          <w:lang w:eastAsia="es-AR"/>
        </w:rPr>
        <w:lastRenderedPageBreak/>
        <w:drawing>
          <wp:inline distT="0" distB="0" distL="0" distR="0">
            <wp:extent cx="4486275" cy="3534268"/>
            <wp:effectExtent l="19050" t="0" r="9525"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0" w:name="_Ref267303465"/>
      <w:r>
        <w:t xml:space="preserve">Figura </w:t>
      </w:r>
      <w:fldSimple w:instr=" SEQ Figura \* ARABIC ">
        <w:r>
          <w:rPr>
            <w:noProof/>
          </w:rPr>
          <w:t>12</w:t>
        </w:r>
      </w:fldSimple>
      <w:bookmarkEnd w:id="0"/>
      <w:r>
        <w:t>) Imagen del programa (pestaña de simulación).</w:t>
      </w:r>
    </w:p>
    <w:p w:rsidR="00F775B0" w:rsidRPr="008C34A7" w:rsidRDefault="00F775B0" w:rsidP="00F775B0">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775B0" w:rsidRDefault="00F775B0" w:rsidP="00F775B0">
      <w:pPr>
        <w:pStyle w:val="Epgrafe"/>
        <w:jc w:val="center"/>
      </w:pPr>
      <w:r>
        <w:t xml:space="preserve">Figura </w:t>
      </w:r>
      <w:fldSimple w:instr=" SEQ Figura \* ARABIC ">
        <w:r>
          <w:rPr>
            <w:noProof/>
          </w:rPr>
          <w:t>13</w:t>
        </w:r>
      </w:fldSimple>
      <w:r>
        <w:t>) Diagrama de proceso de simulación y análisis de falla.</w:t>
      </w:r>
    </w:p>
    <w:p w:rsidR="00F775B0" w:rsidRDefault="00F775B0" w:rsidP="00F775B0">
      <w:pPr>
        <w:pStyle w:val="ParrafoTESIS"/>
      </w:pPr>
      <w:r>
        <w:t xml:space="preserve">La funcionalidad que provee el programa es la de comparar las tensiones guardadas en los archivos de salida de la campaña de simulación con las tensiones ingresadas por el usuario en la </w:t>
      </w:r>
      <w:r>
        <w:lastRenderedPageBreak/>
        <w:t xml:space="preserve">ventana que se aprecia en </w:t>
      </w:r>
      <w:fldSimple w:instr=" REF _Ref267303465 \h  \* MERGEFORMAT ">
        <w:r>
          <w:t xml:space="preserve">Figura </w:t>
        </w:r>
        <w:r>
          <w:rPr>
            <w:noProof/>
          </w:rPr>
          <w:t>11</w:t>
        </w:r>
      </w:fldSimple>
      <w:r>
        <w:t xml:space="preserve"> (podemos ingresarlos en modo analógico o modo digital, en este último, el programa considera como un 1 lógico a un nivel de tensión comprendido entre 2.3 y 3.3 voltios; y un 0 lógico a un nivel de tensión comprendido entre 0 y 1 voltio) y crear una tabla que cuenta con la información del nodo inyectado, el tipo de falla, duración del evento, variación de voltaje, etc.</w:t>
      </w:r>
    </w:p>
    <w:p w:rsidR="00F775B0" w:rsidRDefault="00F775B0" w:rsidP="00F775B0">
      <w:pPr>
        <w:pStyle w:val="ParrafoTESIS"/>
      </w:pPr>
      <w:r>
        <w:t xml:space="preserve">Un ejemplo de una sección de la tabla que devuelve el programa se puede apreciar en la </w:t>
      </w:r>
      <w:fldSimple w:instr=" REF _Ref268163484 \h  \* MERGEFORMAT ">
        <w:r>
          <w:t xml:space="preserve">Figura </w:t>
        </w:r>
        <w:r>
          <w:rPr>
            <w:noProof/>
          </w:rPr>
          <w:t>14</w:t>
        </w:r>
      </w:fldSimple>
      <w:r>
        <w:t>, a continuación.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7"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 w:name="_Ref268163484"/>
      <w:r>
        <w:t xml:space="preserve">Figura </w:t>
      </w:r>
      <w:fldSimple w:instr=" SEQ Figura \* ARABIC ">
        <w:r>
          <w:rPr>
            <w:noProof/>
          </w:rPr>
          <w:t>14</w:t>
        </w:r>
      </w:fldSimple>
      <w:bookmarkEnd w:id="1"/>
      <w:r>
        <w:t xml:space="preserve">) </w:t>
      </w:r>
      <w:r w:rsidRPr="007D0C5A">
        <w:t>Tabla obtenida como resultado del análisis del programa</w:t>
      </w:r>
      <w:r>
        <w:t>.</w:t>
      </w:r>
    </w:p>
    <w:p w:rsidR="00F775B0" w:rsidRDefault="00F775B0" w:rsidP="00F775B0">
      <w:pPr>
        <w:pStyle w:val="ParrafoTESIS"/>
      </w:pPr>
      <w:r>
        <w:t>Con una tabla de más de 56.000 filas de datos y la ayuda de un procesador de hojas de cálculo, se realizaron los análisis pertinentes a la campaña de inyección realizada, generando tablas y gráficos estadísticos 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775B0" w:rsidRDefault="00F775B0" w:rsidP="00F775B0">
      <w:pPr>
        <w:pStyle w:val="Epgrafe"/>
        <w:jc w:val="center"/>
      </w:pPr>
      <w:r>
        <w:t xml:space="preserve">Figura </w:t>
      </w:r>
      <w:fldSimple w:instr=" SEQ Figura \* ARABIC ">
        <w:r>
          <w:rPr>
            <w:noProof/>
          </w:rPr>
          <w:t>15</w:t>
        </w:r>
      </w:fldSimple>
      <w:r>
        <w:t xml:space="preserve">) </w:t>
      </w:r>
      <w:r w:rsidRPr="00221AB5">
        <w:t>Porcentaje de errores según tipo de falla</w:t>
      </w:r>
      <w:r>
        <w:t>.</w:t>
      </w:r>
    </w:p>
    <w:p w:rsidR="00F775B0" w:rsidRDefault="00F775B0" w:rsidP="00F775B0">
      <w:pPr>
        <w:pStyle w:val="ParrafoTESIS"/>
      </w:pPr>
      <w:r>
        <w:t xml:space="preserve">A partir de estos gráficos de torta, apreciamos que la inyección de la falla tipo rampa genera mayor cantidad de errores de salida en el conversor. Como se mencionó anteriormente, este </w:t>
      </w:r>
      <w:r>
        <w:lastRenderedPageBreak/>
        <w:t>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2" w:name="_Ref268175774"/>
      <w:r>
        <w:t xml:space="preserve">Tabla </w:t>
      </w:r>
      <w:fldSimple w:instr=" SEQ Tabla \* ARABIC ">
        <w:r>
          <w:rPr>
            <w:noProof/>
          </w:rPr>
          <w:t>2</w:t>
        </w:r>
      </w:fldSimple>
      <w:bookmarkEnd w:id="2"/>
      <w:r>
        <w:t>) Tabla de fallas según nivel de tensión de entrada.</w:t>
      </w:r>
    </w:p>
    <w:p w:rsidR="00F775B0" w:rsidRDefault="00F775B0" w:rsidP="00F775B0">
      <w:pPr>
        <w:pStyle w:val="ParrafoTESIS"/>
      </w:pPr>
      <w:r>
        <w:t xml:space="preserve">En la </w:t>
      </w:r>
      <w:fldSimple w:instr=" REF _Ref268175774 \h  \* MERGEFORMAT ">
        <w:r>
          <w:t xml:space="preserve">Tabla </w:t>
        </w:r>
        <w:r>
          <w:rPr>
            <w:noProof/>
          </w:rPr>
          <w:t>3</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w:t>
      </w:r>
      <w:r>
        <w:lastRenderedPageBreak/>
        <w:t>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775B0" w:rsidRDefault="00F775B0" w:rsidP="00F775B0">
      <w:pPr>
        <w:pStyle w:val="Epgrafe"/>
        <w:spacing w:after="360"/>
        <w:jc w:val="center"/>
      </w:pPr>
      <w:r>
        <w:t xml:space="preserve">Figura </w:t>
      </w:r>
      <w:fldSimple w:instr=" SEQ Figura \* ARABIC ">
        <w:r>
          <w:rPr>
            <w:noProof/>
          </w:rPr>
          <w:t>16</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775B0" w:rsidRDefault="00F775B0" w:rsidP="00F775B0">
      <w:pPr>
        <w:pStyle w:val="Epgrafe"/>
        <w:jc w:val="center"/>
      </w:pPr>
      <w:r>
        <w:t xml:space="preserve">Figura </w:t>
      </w:r>
      <w:fldSimple w:instr=" SEQ Figura \* ARABIC ">
        <w:r>
          <w:rPr>
            <w:noProof/>
          </w:rPr>
          <w:t>17</w:t>
        </w:r>
      </w:fldSimple>
      <w:r>
        <w:t>) Gráfica de dispersión, cantidad de errores según tensión de entrada (falla exponencial).</w:t>
      </w:r>
    </w:p>
    <w:p w:rsidR="00F775B0" w:rsidRDefault="00F775B0" w:rsidP="00F775B0">
      <w:pPr>
        <w:pStyle w:val="ParrafoTESIS"/>
      </w:pPr>
      <w:r>
        <w:lastRenderedPageBreak/>
        <w:t>Este tipo de resultados se apreció en los análisis realizados de manera manual (</w:t>
      </w:r>
      <w:fldSimple w:instr=" REF _Ref268187943 \h  \* MERGEFORMAT ">
        <w:r>
          <w:t xml:space="preserve">Figura </w:t>
        </w:r>
        <w:r>
          <w:rPr>
            <w:noProof/>
          </w:rPr>
          <w:t>8</w:t>
        </w:r>
      </w:fldSimple>
      <w:r>
        <w:t xml:space="preserve"> y </w:t>
      </w:r>
      <w:fldSimple w:instr=" REF _Ref268187946 \h  \* MERGEFORMAT ">
        <w:r>
          <w:t xml:space="preserve">Figura </w:t>
        </w:r>
        <w:r>
          <w:rPr>
            <w:noProof/>
          </w:rPr>
          <w:t>11</w:t>
        </w:r>
      </w:fldSimple>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 w:name="_Ref268188299"/>
      <w:r>
        <w:t xml:space="preserve">Tabla </w:t>
      </w:r>
      <w:fldSimple w:instr=" SEQ Tabla \* ARABIC ">
        <w:r>
          <w:rPr>
            <w:noProof/>
          </w:rPr>
          <w:t>3</w:t>
        </w:r>
      </w:fldSimple>
      <w:bookmarkEnd w:id="3"/>
      <w:r>
        <w:t>) Tabla de fallas según nodo de inyección.</w:t>
      </w:r>
    </w:p>
    <w:p w:rsidR="00F775B0" w:rsidRDefault="00F775B0" w:rsidP="00F775B0">
      <w:pPr>
        <w:pStyle w:val="ParrafoTESIS"/>
      </w:pPr>
      <w:r>
        <w:t xml:space="preserve">De la </w:t>
      </w:r>
      <w:fldSimple w:instr=" REF _Ref268188299 \h  \* MERGEFORMAT ">
        <w:r>
          <w:t xml:space="preserve">Tabla </w:t>
        </w:r>
        <w:r>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Pr>
            <w:noProof/>
          </w:rPr>
          <w:t>18</w:t>
        </w:r>
      </w:fldSimple>
      <w:r>
        <w:t>) Grafica de barras de errores por nodos de inyección.</w:t>
      </w:r>
    </w:p>
    <w:p w:rsidR="00F775B0" w:rsidRDefault="00F775B0" w:rsidP="00F775B0">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4" w:name="_Ref268190310"/>
      <w:r>
        <w:t xml:space="preserve">Tabla </w:t>
      </w:r>
      <w:fldSimple w:instr=" SEQ Tabla \* ARABIC ">
        <w:r>
          <w:rPr>
            <w:noProof/>
          </w:rPr>
          <w:t>4</w:t>
        </w:r>
      </w:fldSimple>
      <w:bookmarkEnd w:id="4"/>
      <w:r>
        <w:t>) Tabla de falla generadas según bit de salida.</w:t>
      </w:r>
    </w:p>
    <w:p w:rsidR="00F775B0" w:rsidRDefault="00F775B0" w:rsidP="00F775B0">
      <w:pPr>
        <w:pStyle w:val="ParrafoTESIS"/>
      </w:pPr>
      <w:r>
        <w:t xml:space="preserve">A partir de la </w:t>
      </w:r>
      <w:fldSimple w:instr=" REF _Ref268190310 \h  \* MERGEFORMAT ">
        <w:r>
          <w:t xml:space="preserve">Tabla </w:t>
        </w:r>
        <w:r>
          <w:rPr>
            <w:noProof/>
          </w:rPr>
          <w:t>5</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lastRenderedPageBreak/>
        <w:t xml:space="preserve">Figura </w:t>
      </w:r>
      <w:fldSimple w:instr=" SEQ Figura \* ARABIC ">
        <w:r>
          <w:rPr>
            <w:noProof/>
          </w:rPr>
          <w:t>19</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F775B0">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F775B0">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F775B0">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F775B0">
      <w:pPr>
        <w:pStyle w:val="ParrafoTESIS"/>
      </w:pPr>
      <w:r>
        <w:t>A continuación tenemos el análisis de la gráfica para el modelo exponencial:</w:t>
      </w:r>
    </w:p>
    <w:p w:rsidR="00F775B0" w:rsidRDefault="00B8434B"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38"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5" w:name="_Ref268278231"/>
      <w:r>
        <w:t xml:space="preserve">Figura </w:t>
      </w:r>
      <w:fldSimple w:instr=" SEQ Figura \* ARABIC ">
        <w:r>
          <w:rPr>
            <w:noProof/>
          </w:rPr>
          <w:t>20</w:t>
        </w:r>
      </w:fldSimple>
      <w:bookmarkEnd w:id="5"/>
      <w:r>
        <w:t>) Gráfica de dispersión, fallas MSB por inyección exponencial.</w:t>
      </w:r>
    </w:p>
    <w:p w:rsidR="00F775B0" w:rsidRDefault="00F775B0" w:rsidP="00F775B0">
      <w:pPr>
        <w:pStyle w:val="ParrafoTESIS"/>
      </w:pPr>
      <w:r>
        <w:lastRenderedPageBreak/>
        <w:t xml:space="preserve">La </w:t>
      </w:r>
      <w:fldSimple w:instr=" REF _Ref268278231 \h  \* MERGEFORMAT ">
        <w:r>
          <w:t xml:space="preserve">Figura </w:t>
        </w:r>
        <w:r>
          <w:rPr>
            <w:noProof/>
          </w:rPr>
          <w:t>20</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F775B0">
      <w:pPr>
        <w:pStyle w:val="ParrafoTESIS"/>
      </w:pPr>
      <w:r>
        <w:t>A continuación tenemos el gráfico de dispersión para las fallas en el bit LSB generadas por la inyección del modelo rampa.</w:t>
      </w:r>
    </w:p>
    <w:p w:rsidR="00F775B0" w:rsidRDefault="00B8434B"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39"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 w:name="_Ref268278439"/>
      <w:r>
        <w:t xml:space="preserve">Figura </w:t>
      </w:r>
      <w:fldSimple w:instr=" SEQ Figura \* ARABIC ">
        <w:r>
          <w:rPr>
            <w:noProof/>
          </w:rPr>
          <w:t>21</w:t>
        </w:r>
      </w:fldSimple>
      <w:bookmarkEnd w:id="6"/>
      <w:r>
        <w:t>) Gráfica de dispersión, fallas LSB por inyección rampa.</w:t>
      </w:r>
    </w:p>
    <w:p w:rsidR="00F775B0" w:rsidRDefault="00F775B0" w:rsidP="00F775B0">
      <w:pPr>
        <w:pStyle w:val="ParrafoTESIS"/>
      </w:pPr>
      <w:r>
        <w:t xml:space="preserve">Al igual que la anterior, la </w:t>
      </w:r>
      <w:fldSimple w:instr=" REF _Ref268278439 \h  \* MERGEFORMAT ">
        <w:r>
          <w:t xml:space="preserve">Figura </w:t>
        </w:r>
        <w:r>
          <w:rPr>
            <w:noProof/>
          </w:rPr>
          <w:t>21</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F775B0">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Pr>
            <w:noProof/>
          </w:rPr>
          <w:t>5</w:t>
        </w:r>
      </w:fldSimple>
      <w:r>
        <w:t>) Tabla de fallas discriminados por tipo de transistor.</w:t>
      </w:r>
    </w:p>
    <w:p w:rsidR="00F775B0" w:rsidRDefault="00F775B0" w:rsidP="00F775B0">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775B0" w:rsidRDefault="00F775B0" w:rsidP="00F775B0">
      <w:pPr>
        <w:pStyle w:val="Epgrafe"/>
        <w:jc w:val="center"/>
      </w:pPr>
      <w:r>
        <w:t xml:space="preserve">Figura </w:t>
      </w:r>
      <w:fldSimple w:instr=" SEQ Figura \* ARABIC ">
        <w:r>
          <w:rPr>
            <w:noProof/>
          </w:rPr>
          <w:t>22</w:t>
        </w:r>
      </w:fldSimple>
      <w:r>
        <w:t>) Gráfica porcentual de errores según tipo de transistor.</w:t>
      </w:r>
    </w:p>
    <w:p w:rsidR="00F775B0" w:rsidRDefault="00F775B0" w:rsidP="00F775B0">
      <w:pPr>
        <w:pStyle w:val="ParrafoTESIS"/>
      </w:pPr>
      <w:r>
        <w:t>Si bien la sensibilidad es mayor para los transistores PMOS, el tipo de falla inyectada nos da otros indicios de las sensibilidades del conversor a los efectos de los ASETs.</w:t>
      </w:r>
    </w:p>
    <w:p w:rsidR="00F775B0" w:rsidRDefault="00F775B0" w:rsidP="00F775B0">
      <w:pPr>
        <w:pStyle w:val="ParrafoTESIS"/>
      </w:pPr>
      <w:r>
        <w:rPr>
          <w:noProof/>
          <w:lang w:eastAsia="es-AR"/>
        </w:rPr>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lastRenderedPageBreak/>
        <w:t xml:space="preserve">Figura </w:t>
      </w:r>
      <w:fldSimple w:instr=" SEQ Figura \* ARABIC ">
        <w:r>
          <w:rPr>
            <w:noProof/>
          </w:rPr>
          <w:t>23</w:t>
        </w:r>
      </w:fldSimple>
      <w:r>
        <w:t>) Gráficas de cantidad de fallas según transistor y modelo inyectado.</w:t>
      </w:r>
    </w:p>
    <w:p w:rsidR="00F775B0" w:rsidRPr="00CD23EB" w:rsidRDefault="00F775B0" w:rsidP="00F775B0">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F775B0"/>
    <w:rsid w:val="0009702E"/>
    <w:rsid w:val="00287AC6"/>
    <w:rsid w:val="00426103"/>
    <w:rsid w:val="00534556"/>
    <w:rsid w:val="0069171A"/>
    <w:rsid w:val="00955102"/>
    <w:rsid w:val="00B8434B"/>
    <w:rsid w:val="00DF7568"/>
    <w:rsid w:val="00F727DA"/>
    <w:rsid w:val="00F775B0"/>
    <w:rsid w:val="00FC32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0"/>
        <o:r id="V:Rule6" type="connector" idref="#_x0000_s1027"/>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F775B0"/>
    <w:pPr>
      <w:spacing w:after="0" w:line="360" w:lineRule="auto"/>
      <w:ind w:left="426"/>
    </w:pPr>
    <w:rPr>
      <w:rFonts w:cstheme="minorHAnsi"/>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26" Type="http://schemas.microsoft.com/office/2007/relationships/diagramDrawing" Target="diagrams/drawing4.xm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2.emf"/><Relationship Id="rId34" Type="http://schemas.openxmlformats.org/officeDocument/2006/relationships/image" Target="media/image6.png"/><Relationship Id="rId42" Type="http://schemas.openxmlformats.org/officeDocument/2006/relationships/chart" Target="charts/chart8.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chart" Target="charts/chart4.xml"/><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chart" Target="charts/chart2.xml"/><Relationship Id="rId41"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QuickStyle" Target="diagrams/quickStyle4.xml"/><Relationship Id="rId32" Type="http://schemas.openxmlformats.org/officeDocument/2006/relationships/chart" Target="charts/chart3.xml"/><Relationship Id="rId37" Type="http://schemas.openxmlformats.org/officeDocument/2006/relationships/chart" Target="charts/chart6.xm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1.emf"/><Relationship Id="rId23" Type="http://schemas.openxmlformats.org/officeDocument/2006/relationships/diagramLayout" Target="diagrams/layout4.xml"/><Relationship Id="rId28" Type="http://schemas.openxmlformats.org/officeDocument/2006/relationships/chart" Target="charts/chart1.xml"/><Relationship Id="rId36" Type="http://schemas.openxmlformats.org/officeDocument/2006/relationships/image" Target="media/image7.png"/><Relationship Id="rId10" Type="http://schemas.openxmlformats.org/officeDocument/2006/relationships/diagramData" Target="diagrams/data2.xml"/><Relationship Id="rId19" Type="http://schemas.openxmlformats.org/officeDocument/2006/relationships/diagramColors" Target="diagrams/colors3.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Data" Target="diagrams/data4.xm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chart" Target="charts/chart5.xml"/><Relationship Id="rId43"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62"/>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5"/>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574"/>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1.1299999999999897</c:v>
                </c:pt>
                <c:pt idx="13">
                  <c:v>1.1399999999999897</c:v>
                </c:pt>
                <c:pt idx="14">
                  <c:v>1.1499999999999897</c:v>
                </c:pt>
                <c:pt idx="15">
                  <c:v>1.1599999999999899</c:v>
                </c:pt>
                <c:pt idx="16">
                  <c:v>1.1700000000000021</c:v>
                </c:pt>
                <c:pt idx="17">
                  <c:v>1.180000000000009</c:v>
                </c:pt>
                <c:pt idx="18">
                  <c:v>1.1900000000000091</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66545280"/>
        <c:axId val="166555648"/>
      </c:scatterChart>
      <c:valAx>
        <c:axId val="166545280"/>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66555648"/>
        <c:crosses val="autoZero"/>
        <c:crossBetween val="midCat"/>
      </c:valAx>
      <c:valAx>
        <c:axId val="166555648"/>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66545280"/>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1.1299999999999897</c:v>
                </c:pt>
                <c:pt idx="13">
                  <c:v>1.1399999999999897</c:v>
                </c:pt>
                <c:pt idx="14">
                  <c:v>1.1499999999999897</c:v>
                </c:pt>
                <c:pt idx="15">
                  <c:v>1.1599999999999899</c:v>
                </c:pt>
                <c:pt idx="16">
                  <c:v>1.1700000000000021</c:v>
                </c:pt>
                <c:pt idx="17">
                  <c:v>1.180000000000009</c:v>
                </c:pt>
                <c:pt idx="18">
                  <c:v>1.1900000000000091</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66595584"/>
        <c:axId val="166610048"/>
      </c:scatterChart>
      <c:valAx>
        <c:axId val="166595584"/>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66610048"/>
        <c:crosses val="autoZero"/>
        <c:crossBetween val="midCat"/>
      </c:valAx>
      <c:valAx>
        <c:axId val="166610048"/>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66595584"/>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66623872"/>
        <c:axId val="166629760"/>
        <c:axId val="166587456"/>
      </c:bar3DChart>
      <c:catAx>
        <c:axId val="166623872"/>
        <c:scaling>
          <c:orientation val="minMax"/>
        </c:scaling>
        <c:axPos val="b"/>
        <c:majorTickMark val="none"/>
        <c:tickLblPos val="nextTo"/>
        <c:crossAx val="166629760"/>
        <c:crosses val="autoZero"/>
        <c:auto val="1"/>
        <c:lblAlgn val="ctr"/>
        <c:lblOffset val="100"/>
      </c:catAx>
      <c:valAx>
        <c:axId val="166629760"/>
        <c:scaling>
          <c:logBase val="10"/>
          <c:orientation val="minMax"/>
        </c:scaling>
        <c:delete val="1"/>
        <c:axPos val="l"/>
        <c:numFmt formatCode="General" sourceLinked="1"/>
        <c:majorTickMark val="none"/>
        <c:tickLblPos val="none"/>
        <c:crossAx val="166623872"/>
        <c:crosses val="autoZero"/>
        <c:crossBetween val="between"/>
      </c:valAx>
      <c:serAx>
        <c:axId val="166587456"/>
        <c:scaling>
          <c:orientation val="minMax"/>
        </c:scaling>
        <c:delete val="1"/>
        <c:axPos val="b"/>
        <c:majorTickMark val="none"/>
        <c:tickLblPos val="none"/>
        <c:crossAx val="166629760"/>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66657024"/>
        <c:axId val="148509440"/>
      </c:barChart>
      <c:catAx>
        <c:axId val="166657024"/>
        <c:scaling>
          <c:orientation val="minMax"/>
        </c:scaling>
        <c:axPos val="l"/>
        <c:majorTickMark val="none"/>
        <c:tickLblPos val="nextTo"/>
        <c:txPr>
          <a:bodyPr/>
          <a:lstStyle/>
          <a:p>
            <a:pPr>
              <a:defRPr sz="800"/>
            </a:pPr>
            <a:endParaRPr lang="es-AR"/>
          </a:p>
        </c:txPr>
        <c:crossAx val="148509440"/>
        <c:crosses val="autoZero"/>
        <c:auto val="1"/>
        <c:lblAlgn val="ctr"/>
        <c:lblOffset val="100"/>
      </c:catAx>
      <c:valAx>
        <c:axId val="148509440"/>
        <c:scaling>
          <c:orientation val="minMax"/>
        </c:scaling>
        <c:axPos val="b"/>
        <c:minorGridlines/>
        <c:numFmt formatCode="General" sourceLinked="1"/>
        <c:majorTickMark val="none"/>
        <c:tickLblPos val="nextTo"/>
        <c:txPr>
          <a:bodyPr/>
          <a:lstStyle/>
          <a:p>
            <a:pPr>
              <a:defRPr sz="800"/>
            </a:pPr>
            <a:endParaRPr lang="es-AR"/>
          </a:p>
        </c:txPr>
        <c:crossAx val="166657024"/>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64413824"/>
        <c:axId val="164415360"/>
        <c:axId val="0"/>
      </c:bar3DChart>
      <c:catAx>
        <c:axId val="164413824"/>
        <c:scaling>
          <c:orientation val="minMax"/>
        </c:scaling>
        <c:delete val="1"/>
        <c:axPos val="b"/>
        <c:numFmt formatCode="General" sourceLinked="1"/>
        <c:majorTickMark val="none"/>
        <c:tickLblPos val="none"/>
        <c:crossAx val="164415360"/>
        <c:crosses val="autoZero"/>
        <c:auto val="1"/>
        <c:lblAlgn val="ctr"/>
        <c:lblOffset val="100"/>
      </c:catAx>
      <c:valAx>
        <c:axId val="164415360"/>
        <c:scaling>
          <c:orientation val="minMax"/>
        </c:scaling>
        <c:axPos val="l"/>
        <c:majorGridlines/>
        <c:title>
          <c:tx>
            <c:rich>
              <a:bodyPr/>
              <a:lstStyle/>
              <a:p>
                <a:pPr>
                  <a:defRPr/>
                </a:pPr>
                <a:r>
                  <a:rPr lang="es-AR"/>
                  <a:t>Cantidad de errores (%)</a:t>
                </a:r>
              </a:p>
            </c:rich>
          </c:tx>
        </c:title>
        <c:numFmt formatCode="0" sourceLinked="1"/>
        <c:tickLblPos val="nextTo"/>
        <c:crossAx val="16441382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64432896"/>
        <c:axId val="148644608"/>
        <c:axId val="0"/>
      </c:bar3DChart>
      <c:catAx>
        <c:axId val="164432896"/>
        <c:scaling>
          <c:orientation val="minMax"/>
        </c:scaling>
        <c:delete val="1"/>
        <c:axPos val="b"/>
        <c:majorTickMark val="none"/>
        <c:tickLblPos val="none"/>
        <c:crossAx val="148644608"/>
        <c:crosses val="autoZero"/>
        <c:auto val="1"/>
        <c:lblAlgn val="ctr"/>
        <c:lblOffset val="100"/>
      </c:catAx>
      <c:valAx>
        <c:axId val="148644608"/>
        <c:scaling>
          <c:orientation val="minMax"/>
          <c:min val="1"/>
        </c:scaling>
        <c:axPos val="l"/>
        <c:majorGridlines/>
        <c:numFmt formatCode="General" sourceLinked="1"/>
        <c:tickLblPos val="nextTo"/>
        <c:crossAx val="164432896"/>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48661760"/>
        <c:axId val="148663296"/>
        <c:axId val="0"/>
      </c:bar3DChart>
      <c:catAx>
        <c:axId val="148661760"/>
        <c:scaling>
          <c:orientation val="minMax"/>
        </c:scaling>
        <c:delete val="1"/>
        <c:axPos val="b"/>
        <c:majorTickMark val="none"/>
        <c:tickLblPos val="none"/>
        <c:crossAx val="148663296"/>
        <c:crosses val="autoZero"/>
        <c:auto val="1"/>
        <c:lblAlgn val="ctr"/>
        <c:lblOffset val="100"/>
      </c:catAx>
      <c:valAx>
        <c:axId val="148663296"/>
        <c:scaling>
          <c:orientation val="minMax"/>
        </c:scaling>
        <c:axPos val="l"/>
        <c:majorGridlines/>
        <c:numFmt formatCode="General" sourceLinked="1"/>
        <c:tickLblPos val="nextTo"/>
        <c:crossAx val="148661760"/>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E6460567-61C1-4FFF-A28E-784B7EAB1EC6}">
      <dgm:prSet/>
      <dgm:spPr/>
      <dgm:t>
        <a:bodyPr/>
        <a:lstStyle/>
        <a:p>
          <a:r>
            <a:rPr lang="es-AR"/>
            <a:t>Diseño del circuito</a:t>
          </a:r>
        </a:p>
      </dgm:t>
    </dgm:pt>
    <dgm:pt modelId="{79D8F19B-0AEF-48AD-8636-F07680F5F2AE}" type="parTrans" cxnId="{BEA3FC14-3898-46F0-990E-510619661018}">
      <dgm:prSet/>
      <dgm:spPr/>
      <dgm:t>
        <a:bodyPr/>
        <a:lstStyle/>
        <a:p>
          <a:endParaRPr lang="es-AR"/>
        </a:p>
      </dgm:t>
    </dgm:pt>
    <dgm:pt modelId="{EED691C2-4BC8-4CA6-AE0E-F5FC977A82E6}" type="sibTrans" cxnId="{BEA3FC14-3898-46F0-990E-510619661018}">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EEA85BAC-AEBE-4413-B556-CB98A188E04C}" type="presOf" srcId="{852930E8-AE5C-473F-B7D4-885A1528EBE7}" destId="{A8125330-1F10-4ED1-A82E-FE051DF11DCB}"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D2660B99-0782-46F9-9A74-D006955A7412}" type="presOf" srcId="{F22A4B1E-B1BE-4C15-844F-3F6BF2F893E9}" destId="{D32B39E7-955D-463B-B7E2-753AC4E12F45}" srcOrd="0" destOrd="0" presId="urn:microsoft.com/office/officeart/2005/8/layout/radial6"/>
    <dgm:cxn modelId="{9882655D-2F8B-4E22-AF43-27FB897000AC}" type="presOf" srcId="{3851E0E5-1EE3-4BE0-B245-4ACAE1316BF6}" destId="{C6892F22-66F3-4D52-8B0D-2F5F0B8EA2DE}" srcOrd="0" destOrd="0" presId="urn:microsoft.com/office/officeart/2005/8/layout/radial6"/>
    <dgm:cxn modelId="{B31E84D6-0BC8-478D-89C6-FED5835D97BF}" type="presOf" srcId="{EED691C2-4BC8-4CA6-AE0E-F5FC977A82E6}" destId="{DEBFC0E3-F47B-4346-81B9-47D90018653C}"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591560A8-03C3-4649-A06D-EE118DD94B7A}" type="presOf" srcId="{12C189CE-869A-46D8-AD8C-0F7179C4FA6D}" destId="{7C8754B5-CCF2-4B27-AEBC-9A995ADCBB9E}" srcOrd="0" destOrd="0" presId="urn:microsoft.com/office/officeart/2005/8/layout/radial6"/>
    <dgm:cxn modelId="{EE7E16A2-8C59-4221-8B55-4CE2E42334F0}" srcId="{824E7D5A-24BD-4BBB-9CA7-F8DE03E3C6EC}" destId="{F22A4B1E-B1BE-4C15-844F-3F6BF2F893E9}" srcOrd="1" destOrd="0" parTransId="{4B263AD9-FA00-4E09-B362-10CABF470A08}" sibTransId="{12C189CE-869A-46D8-AD8C-0F7179C4FA6D}"/>
    <dgm:cxn modelId="{30E6BE19-7C99-4899-9B8C-1447B27D6412}" type="presOf" srcId="{824E7D5A-24BD-4BBB-9CA7-F8DE03E3C6EC}" destId="{27157CA4-4C15-4FF2-AF98-B56A130127B7}"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C52CA5D9-2EEB-466B-BC40-6549B32D1F56}" type="presOf" srcId="{D3F7476D-6854-4506-9762-6450F923A837}" destId="{DA206D1E-573D-4A33-92B8-C4FE6E65A874}"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627FA4A0-F775-4614-8984-29DC939EB6B1}" type="presOf" srcId="{E6460567-61C1-4FFF-A28E-784B7EAB1EC6}" destId="{01B38DC9-6425-4DDB-B64A-F1DC315FF330}" srcOrd="0" destOrd="0" presId="urn:microsoft.com/office/officeart/2005/8/layout/radial6"/>
    <dgm:cxn modelId="{C2193937-0DD4-4452-A2D1-E9A1FB95FC3C}" srcId="{D3F7476D-6854-4506-9762-6450F923A837}" destId="{8A28A104-AE37-4170-A71D-93514034A40B}" srcOrd="1" destOrd="0" parTransId="{80046A3A-289E-46BF-BE1A-B8803CC7FF0B}" sibTransId="{B81CEEA1-FF6E-43EE-8B3B-BA805E8A4BDA}"/>
    <dgm:cxn modelId="{8A3482E7-BC7F-4FCB-8809-21BC73A51483}" type="presParOf" srcId="{DA206D1E-573D-4A33-92B8-C4FE6E65A874}" destId="{27157CA4-4C15-4FF2-AF98-B56A130127B7}" srcOrd="0" destOrd="0" presId="urn:microsoft.com/office/officeart/2005/8/layout/radial6"/>
    <dgm:cxn modelId="{50788561-1564-4D86-9EC6-DC0B95649D21}" type="presParOf" srcId="{DA206D1E-573D-4A33-92B8-C4FE6E65A874}" destId="{01B38DC9-6425-4DDB-B64A-F1DC315FF330}" srcOrd="1" destOrd="0" presId="urn:microsoft.com/office/officeart/2005/8/layout/radial6"/>
    <dgm:cxn modelId="{26462CD8-CF9C-4DAA-8343-42D7547F2EA2}" type="presParOf" srcId="{DA206D1E-573D-4A33-92B8-C4FE6E65A874}" destId="{06168769-8384-4267-B616-CB3E5941E70A}" srcOrd="2" destOrd="0" presId="urn:microsoft.com/office/officeart/2005/8/layout/radial6"/>
    <dgm:cxn modelId="{9712F0C6-A568-40F1-ACFD-0970325B734E}" type="presParOf" srcId="{DA206D1E-573D-4A33-92B8-C4FE6E65A874}" destId="{DEBFC0E3-F47B-4346-81B9-47D90018653C}" srcOrd="3" destOrd="0" presId="urn:microsoft.com/office/officeart/2005/8/layout/radial6"/>
    <dgm:cxn modelId="{E2C08B62-22E9-4EFD-A5C0-917CCE622221}" type="presParOf" srcId="{DA206D1E-573D-4A33-92B8-C4FE6E65A874}" destId="{D32B39E7-955D-463B-B7E2-753AC4E12F45}" srcOrd="4" destOrd="0" presId="urn:microsoft.com/office/officeart/2005/8/layout/radial6"/>
    <dgm:cxn modelId="{1A47E5C8-64D5-48DB-8410-8A933D7B8887}" type="presParOf" srcId="{DA206D1E-573D-4A33-92B8-C4FE6E65A874}" destId="{CD3AE6AC-C38D-4105-AB9A-D697EC6102D7}" srcOrd="5" destOrd="0" presId="urn:microsoft.com/office/officeart/2005/8/layout/radial6"/>
    <dgm:cxn modelId="{137F8E52-300A-4CBA-B18C-0BFFFF5CADA0}" type="presParOf" srcId="{DA206D1E-573D-4A33-92B8-C4FE6E65A874}" destId="{7C8754B5-CCF2-4B27-AEBC-9A995ADCBB9E}" srcOrd="6" destOrd="0" presId="urn:microsoft.com/office/officeart/2005/8/layout/radial6"/>
    <dgm:cxn modelId="{59A0D4E5-6B03-4C2D-BCB9-C4C5EB9CF925}" type="presParOf" srcId="{DA206D1E-573D-4A33-92B8-C4FE6E65A874}" destId="{C6892F22-66F3-4D52-8B0D-2F5F0B8EA2DE}" srcOrd="7" destOrd="0" presId="urn:microsoft.com/office/officeart/2005/8/layout/radial6"/>
    <dgm:cxn modelId="{27515C6D-E892-442C-834B-7136B02701B0}" type="presParOf" srcId="{DA206D1E-573D-4A33-92B8-C4FE6E65A874}" destId="{C4A5D4DF-6D82-44DC-8A84-769E00D2C0E2}" srcOrd="8" destOrd="0" presId="urn:microsoft.com/office/officeart/2005/8/layout/radial6"/>
    <dgm:cxn modelId="{6A8F1BFC-27B5-423E-9E8E-95D6402D5D7C}"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PROGRAMA</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pt>
    <dgm:pt modelId="{770DEB67-3CB1-42D5-9274-FB2B4EC64607}" type="pres">
      <dgm:prSet presAssocID="{9F85A230-B084-4B44-8807-953D6D02EEFE}" presName="centerShape" presStyleLbl="node0" presStyleIdx="0" presStyleCnt="1" custScaleX="151557" custScaleY="148240"/>
      <dgm:spPr/>
    </dgm:pt>
    <dgm:pt modelId="{C80943D0-BB20-49B7-92CA-E6AA0A963F84}" type="pres">
      <dgm:prSet presAssocID="{4B2CE0F8-A8D4-42A1-9081-C970899BE96A}" presName="node" presStyleLbl="node1" presStyleIdx="0" presStyleCnt="3">
        <dgm:presLayoutVars>
          <dgm:bulletEnabled val="1"/>
        </dgm:presLayoutVars>
      </dgm:prSet>
      <dgm:spPr/>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pt>
    <dgm:pt modelId="{8AA90311-7AF3-42D7-8507-D397AF1E4460}" type="pres">
      <dgm:prSet presAssocID="{3FFD797F-5177-4007-A2E9-77314203F13D}" presName="node" presStyleLbl="node1" presStyleIdx="2" presStyleCnt="3">
        <dgm:presLayoutVars>
          <dgm:bulletEnabled val="1"/>
        </dgm:presLayoutVars>
      </dgm:prSet>
      <dgm:spPr/>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pt>
  </dgm:ptLst>
  <dgm:cxnLst>
    <dgm:cxn modelId="{B00A78CB-8356-432F-865C-EB3422458E30}" type="presOf" srcId="{57E5F76F-BF31-430F-8662-3A4A4F35F362}" destId="{B92A85EA-4E44-41D5-9F86-075A775BBBB9}" srcOrd="0" destOrd="0" presId="urn:microsoft.com/office/officeart/2005/8/layout/radial6"/>
    <dgm:cxn modelId="{1D8D7174-53E9-42D8-8C41-E684F59C893C}" type="presOf" srcId="{72E1B8A4-CAAB-4597-89E0-92F95A0B68BA}" destId="{6CE4FA88-CE13-4C95-AFE9-E4B02E4132FF}" srcOrd="0" destOrd="0" presId="urn:microsoft.com/office/officeart/2005/8/layout/radial6"/>
    <dgm:cxn modelId="{51D4A1B8-B47F-48A3-9D58-955D395EC39A}" type="presOf" srcId="{3FFD797F-5177-4007-A2E9-77314203F13D}" destId="{8AA90311-7AF3-42D7-8507-D397AF1E4460}"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99A4D39F-07E8-4A22-BE5E-BCD835C83432}" type="presOf" srcId="{4B2CE0F8-A8D4-42A1-9081-C970899BE96A}" destId="{C80943D0-BB20-49B7-92CA-E6AA0A963F84}" srcOrd="0" destOrd="0" presId="urn:microsoft.com/office/officeart/2005/8/layout/radial6"/>
    <dgm:cxn modelId="{9980A5BA-AC1A-45D0-A296-329E41EF59B7}" type="presOf" srcId="{9F85424A-D77A-4CEF-8FB2-D68A15A9B699}" destId="{9166BB4C-7737-400C-B9A0-47679910D1A4}"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41C27F71-F40B-4214-A484-7C90193E3D55}" srcId="{9F85A230-B084-4B44-8807-953D6D02EEFE}" destId="{1C8A91FE-D47F-43FA-9638-1BF63C6F116E}" srcOrd="1" destOrd="0" parTransId="{C7291E6C-C58E-487C-8234-ECCB9791141D}" sibTransId="{8B376A9D-7B2D-4BA9-81B2-4857DEEBADB2}"/>
    <dgm:cxn modelId="{B9FA1784-0AD0-462C-90DA-CF959197B591}" type="presOf" srcId="{9F85A230-B084-4B44-8807-953D6D02EEFE}" destId="{770DEB67-3CB1-42D5-9274-FB2B4EC64607}" srcOrd="0" destOrd="0" presId="urn:microsoft.com/office/officeart/2005/8/layout/radial6"/>
    <dgm:cxn modelId="{D71A139A-7B69-4F42-BD62-2C28E19E1CA0}" type="presOf" srcId="{8B376A9D-7B2D-4BA9-81B2-4857DEEBADB2}" destId="{43AEE047-2019-4614-BEA0-E26640AE3868}" srcOrd="0" destOrd="0" presId="urn:microsoft.com/office/officeart/2005/8/layout/radial6"/>
    <dgm:cxn modelId="{D136077D-9A28-4A14-B1DC-AC46DC6DD1A8}" type="presOf" srcId="{1C8A91FE-D47F-43FA-9638-1BF63C6F116E}" destId="{1CDD9283-6160-44B4-A7AE-20FB452E8D41}"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4179E4FD-2686-44BE-9909-B6182B584560}" type="presParOf" srcId="{B92A85EA-4E44-41D5-9F86-075A775BBBB9}" destId="{770DEB67-3CB1-42D5-9274-FB2B4EC64607}" srcOrd="0" destOrd="0" presId="urn:microsoft.com/office/officeart/2005/8/layout/radial6"/>
    <dgm:cxn modelId="{9C965332-61C0-45A5-BF30-A4729836AA39}" type="presParOf" srcId="{B92A85EA-4E44-41D5-9F86-075A775BBBB9}" destId="{C80943D0-BB20-49B7-92CA-E6AA0A963F84}" srcOrd="1" destOrd="0" presId="urn:microsoft.com/office/officeart/2005/8/layout/radial6"/>
    <dgm:cxn modelId="{2AA05A5D-ADC1-4284-B775-3985F75C7408}" type="presParOf" srcId="{B92A85EA-4E44-41D5-9F86-075A775BBBB9}" destId="{8D9FD319-C07A-4550-9CCC-6B45E02A23E9}" srcOrd="2" destOrd="0" presId="urn:microsoft.com/office/officeart/2005/8/layout/radial6"/>
    <dgm:cxn modelId="{ADA03033-0142-4FC8-B634-D5DB059B9475}" type="presParOf" srcId="{B92A85EA-4E44-41D5-9F86-075A775BBBB9}" destId="{9166BB4C-7737-400C-B9A0-47679910D1A4}" srcOrd="3" destOrd="0" presId="urn:microsoft.com/office/officeart/2005/8/layout/radial6"/>
    <dgm:cxn modelId="{D274108A-5FB2-43CB-A028-EB6310203326}" type="presParOf" srcId="{B92A85EA-4E44-41D5-9F86-075A775BBBB9}" destId="{1CDD9283-6160-44B4-A7AE-20FB452E8D41}" srcOrd="4" destOrd="0" presId="urn:microsoft.com/office/officeart/2005/8/layout/radial6"/>
    <dgm:cxn modelId="{89DED492-6EB4-4FFB-A650-13D71B212873}" type="presParOf" srcId="{B92A85EA-4E44-41D5-9F86-075A775BBBB9}" destId="{A170EAF5-7E5E-4B6B-9D5E-6D05F09001AD}" srcOrd="5" destOrd="0" presId="urn:microsoft.com/office/officeart/2005/8/layout/radial6"/>
    <dgm:cxn modelId="{9DDEAC94-4BFC-4318-AEC5-516C75FE4BD2}" type="presParOf" srcId="{B92A85EA-4E44-41D5-9F86-075A775BBBB9}" destId="{43AEE047-2019-4614-BEA0-E26640AE3868}" srcOrd="6" destOrd="0" presId="urn:microsoft.com/office/officeart/2005/8/layout/radial6"/>
    <dgm:cxn modelId="{B9B88C46-8D8D-4FB1-B977-DE2B69FE4495}" type="presParOf" srcId="{B92A85EA-4E44-41D5-9F86-075A775BBBB9}" destId="{8AA90311-7AF3-42D7-8507-D397AF1E4460}" srcOrd="7" destOrd="0" presId="urn:microsoft.com/office/officeart/2005/8/layout/radial6"/>
    <dgm:cxn modelId="{46C125A3-DA85-4B14-9068-325F446C16AF}" type="presParOf" srcId="{B92A85EA-4E44-41D5-9F86-075A775BBBB9}" destId="{4563CA61-8A10-4E65-98FB-4DB97CCF2798}" srcOrd="8" destOrd="0" presId="urn:microsoft.com/office/officeart/2005/8/layout/radial6"/>
    <dgm:cxn modelId="{2A684485-4056-496E-A0F1-C7F050AFA078}"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5B10DFF9-3812-4B4A-9A7C-1E56C145AD7E}" type="presOf" srcId="{66FDC4E1-361C-49EC-B6CE-2067F9D1DDCF}" destId="{24100B1D-C484-447C-8FA1-20B4E70C4548}" srcOrd="0" destOrd="2" presId="urn:microsoft.com/office/officeart/2005/8/layout/chevron2"/>
    <dgm:cxn modelId="{CFC0EF1C-0ED0-4839-86A7-07AE535BEE1A}" type="presOf" srcId="{0D34D45D-CBC4-4D2F-BB0D-32E8695BF901}" destId="{24100B1D-C484-447C-8FA1-20B4E70C4548}" srcOrd="0" destOrd="1" presId="urn:microsoft.com/office/officeart/2005/8/layout/chevron2"/>
    <dgm:cxn modelId="{0911AA6C-8FCC-4C95-A53C-68FF64230F23}" type="presOf" srcId="{F97C6B51-37BB-41B5-A56B-6BFC5AD7E84F}" destId="{321A5904-C1D7-4FDD-88CC-8767E52696E4}" srcOrd="0" destOrd="0" presId="urn:microsoft.com/office/officeart/2005/8/layout/chevron2"/>
    <dgm:cxn modelId="{30A782DA-5731-4628-95F8-04857A41A5F4}" type="presOf" srcId="{540CB32D-8624-48C1-B3D6-9BDBDF74BB47}" destId="{F1AD9AAC-48C9-4B44-9AC2-F3C901E22C6D}" srcOrd="0" destOrd="0" presId="urn:microsoft.com/office/officeart/2005/8/layout/chevron2"/>
    <dgm:cxn modelId="{08810675-3E56-4E10-AE78-48D3F3838FB6}" type="presOf" srcId="{88D4D4EF-215A-4531-BABF-A0050A6FFCD2}" destId="{F0A48D62-2C22-4AF9-9E26-B3604A9BFE5F}"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9408424C-5073-421F-B665-FBC955D89C45}" type="presOf" srcId="{C20D08A2-B11C-40E9-B0D1-AEE88E4FF42A}" destId="{133DD3BB-9B1A-48E7-8C31-9C89806A1316}" srcOrd="0" destOrd="0"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3B013C08-6F16-4E05-8DEA-A4AB546FDD7E}" srcId="{F97C6B51-37BB-41B5-A56B-6BFC5AD7E84F}" destId="{66FDC4E1-361C-49EC-B6CE-2067F9D1DDCF}" srcOrd="2" destOrd="0" parTransId="{52F596DE-E114-4EEC-B3C1-51795B0E8BEA}" sibTransId="{98762D8C-2FE1-4E7B-99A4-4274668279E6}"/>
    <dgm:cxn modelId="{8B52A6BC-738B-4EDE-8DA3-FE39CF897175}" type="presOf" srcId="{F6F062A2-FD64-4E39-9B1D-DE3B19E0C231}" destId="{57C5457B-9A9B-487F-894D-AF898F0EA4DA}" srcOrd="0" destOrd="0" presId="urn:microsoft.com/office/officeart/2005/8/layout/chevron2"/>
    <dgm:cxn modelId="{93E2247B-4813-447B-B14F-52D91985F8FD}" srcId="{F6F062A2-FD64-4E39-9B1D-DE3B19E0C231}" destId="{A4E4C500-E672-44B3-95B1-869B9EB38DFD}" srcOrd="1" destOrd="0" parTransId="{BBE8C5E0-92DE-4A10-B34C-BD94CFDEFC4E}" sibTransId="{7A33A718-DE74-4B34-8909-FC3DC68CE60C}"/>
    <dgm:cxn modelId="{CD9E0B5F-BA99-4600-8D8F-D081023BBC2B}" type="presOf" srcId="{25560193-3D81-4D7C-814D-BE6EB2381D1F}" destId="{F0A48D62-2C22-4AF9-9E26-B3604A9BFE5F}" srcOrd="0" destOrd="2" presId="urn:microsoft.com/office/officeart/2005/8/layout/chevron2"/>
    <dgm:cxn modelId="{8A629931-C965-4BA8-8A65-8B5A2A41B0EC}" type="presOf" srcId="{51AC30FA-8260-45EB-B17E-43D6583AD990}" destId="{236A658C-51FD-47C8-A621-F43393F6FBD8}" srcOrd="0" destOrd="0" presId="urn:microsoft.com/office/officeart/2005/8/layout/chevron2"/>
    <dgm:cxn modelId="{0C0B11C5-F5FA-4CE1-8237-A7297C7206FD}" type="presOf" srcId="{FD1770AA-DE27-4BD0-84B9-8C6F3B7840E3}" destId="{133DD3BB-9B1A-48E7-8C31-9C89806A1316}"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4403B3AC-0E90-4E99-9F01-483ADD2ADAB1}" type="presOf" srcId="{4A122D1B-B816-45E5-8D51-0C3F63AE208D}" destId="{8B900707-B738-46E2-83D5-E03321D1FBDE}" srcOrd="0" destOrd="0" presId="urn:microsoft.com/office/officeart/2005/8/layout/chevron2"/>
    <dgm:cxn modelId="{E1F2D2B9-BB3C-4521-879B-E002EC9D6372}" type="presOf" srcId="{F10B96CE-7A92-465C-88AC-673C6F65D5CB}" destId="{F0A48D62-2C22-4AF9-9E26-B3604A9BFE5F}" srcOrd="0" destOrd="1" presId="urn:microsoft.com/office/officeart/2005/8/layout/chevron2"/>
    <dgm:cxn modelId="{241EBAD6-A0CB-4286-B462-6FACA67B92E3}" type="presOf" srcId="{A4E4C500-E672-44B3-95B1-869B9EB38DFD}" destId="{FFBC5902-1023-447E-A710-C941F28E4571}" srcOrd="0" destOrd="1"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52A2CDEC-8FDF-4D08-AFEC-1511CAD2FDE5}" type="presOf" srcId="{CBC13BB6-FDCB-4B96-9C48-9179EC5FDCA8}" destId="{FFBC5902-1023-447E-A710-C941F28E4571}" srcOrd="0" destOrd="0"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DEE4AE9A-A5C7-4E12-BBA3-6E0039877508}" type="presOf" srcId="{ACDD74E2-E09C-41BC-8041-159652CAB684}" destId="{24100B1D-C484-447C-8FA1-20B4E70C4548}" srcOrd="0" destOrd="0" presId="urn:microsoft.com/office/officeart/2005/8/layout/chevron2"/>
    <dgm:cxn modelId="{4249589D-04F1-4805-9AF6-BA7E179C3BB9}" type="presParOf" srcId="{8B900707-B738-46E2-83D5-E03321D1FBDE}" destId="{5516738A-7C29-40F4-811B-6D28042C2731}" srcOrd="0" destOrd="0" presId="urn:microsoft.com/office/officeart/2005/8/layout/chevron2"/>
    <dgm:cxn modelId="{630F3353-A324-44B1-99D9-A495A63D8E01}" type="presParOf" srcId="{5516738A-7C29-40F4-811B-6D28042C2731}" destId="{321A5904-C1D7-4FDD-88CC-8767E52696E4}" srcOrd="0" destOrd="0" presId="urn:microsoft.com/office/officeart/2005/8/layout/chevron2"/>
    <dgm:cxn modelId="{6CBFD34A-6809-403B-87E2-47CE3E0C187C}" type="presParOf" srcId="{5516738A-7C29-40F4-811B-6D28042C2731}" destId="{24100B1D-C484-447C-8FA1-20B4E70C4548}" srcOrd="1" destOrd="0" presId="urn:microsoft.com/office/officeart/2005/8/layout/chevron2"/>
    <dgm:cxn modelId="{5456C4FC-6933-4ED4-AD65-AF25E74FBE8C}" type="presParOf" srcId="{8B900707-B738-46E2-83D5-E03321D1FBDE}" destId="{FC6E547B-4941-48E3-857B-391DAA90A159}" srcOrd="1" destOrd="0" presId="urn:microsoft.com/office/officeart/2005/8/layout/chevron2"/>
    <dgm:cxn modelId="{2FB25319-1256-472A-B5CE-9947D172F649}" type="presParOf" srcId="{8B900707-B738-46E2-83D5-E03321D1FBDE}" destId="{E84AA5BE-A38E-464F-BCBF-434178591364}" srcOrd="2" destOrd="0" presId="urn:microsoft.com/office/officeart/2005/8/layout/chevron2"/>
    <dgm:cxn modelId="{E9FC2A4A-009B-41F1-A2B2-6C69372FC421}" type="presParOf" srcId="{E84AA5BE-A38E-464F-BCBF-434178591364}" destId="{236A658C-51FD-47C8-A621-F43393F6FBD8}" srcOrd="0" destOrd="0" presId="urn:microsoft.com/office/officeart/2005/8/layout/chevron2"/>
    <dgm:cxn modelId="{5120B436-C9B1-4F86-A592-7A586E7876AD}" type="presParOf" srcId="{E84AA5BE-A38E-464F-BCBF-434178591364}" destId="{F0A48D62-2C22-4AF9-9E26-B3604A9BFE5F}" srcOrd="1" destOrd="0" presId="urn:microsoft.com/office/officeart/2005/8/layout/chevron2"/>
    <dgm:cxn modelId="{D3EB3285-175D-4A58-86C8-A2C6225138B1}" type="presParOf" srcId="{8B900707-B738-46E2-83D5-E03321D1FBDE}" destId="{7EF8ABF6-3830-472F-B9AF-BEE8F98DCBE3}" srcOrd="3" destOrd="0" presId="urn:microsoft.com/office/officeart/2005/8/layout/chevron2"/>
    <dgm:cxn modelId="{15A3A9E9-6E67-4F2E-962C-B17F7711995E}" type="presParOf" srcId="{8B900707-B738-46E2-83D5-E03321D1FBDE}" destId="{27D5B46E-FC78-4BBB-9D38-1E69345CD527}" srcOrd="4" destOrd="0" presId="urn:microsoft.com/office/officeart/2005/8/layout/chevron2"/>
    <dgm:cxn modelId="{D13B310C-FA7B-4861-883C-2422B96ABEBD}" type="presParOf" srcId="{27D5B46E-FC78-4BBB-9D38-1E69345CD527}" destId="{57C5457B-9A9B-487F-894D-AF898F0EA4DA}" srcOrd="0" destOrd="0" presId="urn:microsoft.com/office/officeart/2005/8/layout/chevron2"/>
    <dgm:cxn modelId="{521A42C3-937F-4686-83C4-A73D2EDAFFDD}" type="presParOf" srcId="{27D5B46E-FC78-4BBB-9D38-1E69345CD527}" destId="{FFBC5902-1023-447E-A710-C941F28E4571}" srcOrd="1" destOrd="0" presId="urn:microsoft.com/office/officeart/2005/8/layout/chevron2"/>
    <dgm:cxn modelId="{C2897C81-02CF-4D75-8402-E59397846BA4}" type="presParOf" srcId="{8B900707-B738-46E2-83D5-E03321D1FBDE}" destId="{185A4D36-9EC5-433A-8E4E-09AF8AD5B484}" srcOrd="5" destOrd="0" presId="urn:microsoft.com/office/officeart/2005/8/layout/chevron2"/>
    <dgm:cxn modelId="{13382381-7D30-46A6-80D3-515689A75BCC}" type="presParOf" srcId="{8B900707-B738-46E2-83D5-E03321D1FBDE}" destId="{06F34673-9E38-411E-A400-E3E2B6DB0FBD}" srcOrd="6" destOrd="0" presId="urn:microsoft.com/office/officeart/2005/8/layout/chevron2"/>
    <dgm:cxn modelId="{4D3CDFBB-5D59-49FB-AAFF-6037DC3F8CE9}" type="presParOf" srcId="{06F34673-9E38-411E-A400-E3E2B6DB0FBD}" destId="{F1AD9AAC-48C9-4B44-9AC2-F3C901E22C6D}" srcOrd="0" destOrd="0" presId="urn:microsoft.com/office/officeart/2005/8/layout/chevron2"/>
    <dgm:cxn modelId="{9ADBBF84-6B62-41FE-B272-D2C509EA8300}"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3B105B72-3625-4910-90DF-071169706ACE}" type="presOf" srcId="{25560193-3D81-4D7C-814D-BE6EB2381D1F}" destId="{F0A48D62-2C22-4AF9-9E26-B3604A9BFE5F}" srcOrd="0" destOrd="1" presId="urn:microsoft.com/office/officeart/2005/8/layout/chevron2"/>
    <dgm:cxn modelId="{1554285B-617F-4A4D-AB7E-D6CD9D3E7DDA}" type="presOf" srcId="{F97C6B51-37BB-41B5-A56B-6BFC5AD7E84F}" destId="{321A5904-C1D7-4FDD-88CC-8767E52696E4}"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1AC1AA4A-3A63-472F-83C2-6F417444D109}" srcId="{51AC30FA-8260-45EB-B17E-43D6583AD990}" destId="{88D4D4EF-215A-4531-BABF-A0050A6FFCD2}" srcOrd="0" destOrd="0" parTransId="{7C3805DD-5E41-46B8-8A64-EC78A455F2DE}" sibTransId="{89F4C431-DE35-48D7-A3B9-D12D07511555}"/>
    <dgm:cxn modelId="{6D8D9A2F-00DC-4245-AD0E-FD8640DD56D4}" srcId="{F97C6B51-37BB-41B5-A56B-6BFC5AD7E84F}" destId="{ACDD74E2-E09C-41BC-8041-159652CAB684}" srcOrd="0" destOrd="0" parTransId="{3F79F702-0417-4512-88A0-A3407E31E433}" sibTransId="{F0500CD1-F2CA-43EB-9DC9-71D76725D028}"/>
    <dgm:cxn modelId="{E11C66AC-8F6A-4515-8F9A-56EF1939062C}" srcId="{F6F062A2-FD64-4E39-9B1D-DE3B19E0C231}" destId="{CBC13BB6-FDCB-4B96-9C48-9179EC5FDCA8}" srcOrd="0" destOrd="0" parTransId="{E19FA283-4EF0-4275-8452-82EF5B7B50A0}" sibTransId="{86994439-71A7-4635-ACDE-10DC37BB3357}"/>
    <dgm:cxn modelId="{D65086F3-FDAA-439A-8FD3-2C0B9FC4F9CF}" type="presOf" srcId="{CBC13BB6-FDCB-4B96-9C48-9179EC5FDCA8}" destId="{FFBC5902-1023-447E-A710-C941F28E4571}"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98374A01-8A96-46B8-839B-CC5B60CEBC08}" type="presOf" srcId="{51AC30FA-8260-45EB-B17E-43D6583AD990}" destId="{236A658C-51FD-47C8-A621-F43393F6FBD8}" srcOrd="0" destOrd="0" presId="urn:microsoft.com/office/officeart/2005/8/layout/chevron2"/>
    <dgm:cxn modelId="{6E4572BB-4463-4086-9CB2-81246E80201C}" type="presOf" srcId="{07A3E033-C9E9-441A-89BE-08B9CB8ADC5F}" destId="{F0A48D62-2C22-4AF9-9E26-B3604A9BFE5F}" srcOrd="0" destOrd="2" presId="urn:microsoft.com/office/officeart/2005/8/layout/chevron2"/>
    <dgm:cxn modelId="{F4D9BD52-CF1C-4837-81DD-2DB8F85B07D1}" type="presOf" srcId="{C20D08A2-B11C-40E9-B0D1-AEE88E4FF42A}" destId="{133DD3BB-9B1A-48E7-8C31-9C89806A1316}" srcOrd="0" destOrd="0" presId="urn:microsoft.com/office/officeart/2005/8/layout/chevron2"/>
    <dgm:cxn modelId="{F5F02380-799F-4AD0-8014-D774951068AB}" type="presOf" srcId="{ACDD74E2-E09C-41BC-8041-159652CAB684}" destId="{24100B1D-C484-447C-8FA1-20B4E70C4548}" srcOrd="0" destOrd="0" presId="urn:microsoft.com/office/officeart/2005/8/layout/chevron2"/>
    <dgm:cxn modelId="{10531C2E-DCA5-41BC-A493-0B3D1313142E}" type="presOf" srcId="{88D4D4EF-215A-4531-BABF-A0050A6FFCD2}" destId="{F0A48D62-2C22-4AF9-9E26-B3604A9BFE5F}" srcOrd="0" destOrd="0" presId="urn:microsoft.com/office/officeart/2005/8/layout/chevron2"/>
    <dgm:cxn modelId="{193F7CA4-61E3-4DAC-BBE9-691FE079C84C}" type="presOf" srcId="{0D34D45D-CBC4-4D2F-BB0D-32E8695BF901}" destId="{24100B1D-C484-447C-8FA1-20B4E70C4548}" srcOrd="0" destOrd="1"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E105795B-43D4-4F44-B606-4F9DE157DCE0}" type="presOf" srcId="{4A122D1B-B816-45E5-8D51-0C3F63AE208D}" destId="{8B900707-B738-46E2-83D5-E03321D1FBDE}"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A4DB04C5-B489-4215-BCBC-5B7B5A4F59E1}" type="presOf" srcId="{F6F062A2-FD64-4E39-9B1D-DE3B19E0C231}" destId="{57C5457B-9A9B-487F-894D-AF898F0EA4DA}" srcOrd="0" destOrd="0" presId="urn:microsoft.com/office/officeart/2005/8/layout/chevron2"/>
    <dgm:cxn modelId="{93A732CF-7705-4FD8-AE02-267311F6B9F7}" type="presOf" srcId="{540CB32D-8624-48C1-B3D6-9BDBDF74BB47}" destId="{F1AD9AAC-48C9-4B44-9AC2-F3C901E22C6D}" srcOrd="0" destOrd="0"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27E7B3D4-6BE8-49E2-B50C-79EC5ADCA4EB}" type="presParOf" srcId="{8B900707-B738-46E2-83D5-E03321D1FBDE}" destId="{5516738A-7C29-40F4-811B-6D28042C2731}" srcOrd="0" destOrd="0" presId="urn:microsoft.com/office/officeart/2005/8/layout/chevron2"/>
    <dgm:cxn modelId="{710E9EBD-413E-4FA1-9855-67B3B2320425}" type="presParOf" srcId="{5516738A-7C29-40F4-811B-6D28042C2731}" destId="{321A5904-C1D7-4FDD-88CC-8767E52696E4}" srcOrd="0" destOrd="0" presId="urn:microsoft.com/office/officeart/2005/8/layout/chevron2"/>
    <dgm:cxn modelId="{258C94C7-8095-4954-B51F-DBBC702890DA}" type="presParOf" srcId="{5516738A-7C29-40F4-811B-6D28042C2731}" destId="{24100B1D-C484-447C-8FA1-20B4E70C4548}" srcOrd="1" destOrd="0" presId="urn:microsoft.com/office/officeart/2005/8/layout/chevron2"/>
    <dgm:cxn modelId="{ED675E75-BA6D-4FF6-9844-DB5736EAAAC1}" type="presParOf" srcId="{8B900707-B738-46E2-83D5-E03321D1FBDE}" destId="{FC6E547B-4941-48E3-857B-391DAA90A159}" srcOrd="1" destOrd="0" presId="urn:microsoft.com/office/officeart/2005/8/layout/chevron2"/>
    <dgm:cxn modelId="{B5BD7A25-F1E6-4289-BAF6-4C724AD8540F}" type="presParOf" srcId="{8B900707-B738-46E2-83D5-E03321D1FBDE}" destId="{E84AA5BE-A38E-464F-BCBF-434178591364}" srcOrd="2" destOrd="0" presId="urn:microsoft.com/office/officeart/2005/8/layout/chevron2"/>
    <dgm:cxn modelId="{3A7D95B0-EC9C-4397-B222-31B28C0AC9E3}" type="presParOf" srcId="{E84AA5BE-A38E-464F-BCBF-434178591364}" destId="{236A658C-51FD-47C8-A621-F43393F6FBD8}" srcOrd="0" destOrd="0" presId="urn:microsoft.com/office/officeart/2005/8/layout/chevron2"/>
    <dgm:cxn modelId="{F6DE64CB-6973-4463-B553-A53A836A7A35}" type="presParOf" srcId="{E84AA5BE-A38E-464F-BCBF-434178591364}" destId="{F0A48D62-2C22-4AF9-9E26-B3604A9BFE5F}" srcOrd="1" destOrd="0" presId="urn:microsoft.com/office/officeart/2005/8/layout/chevron2"/>
    <dgm:cxn modelId="{27FD7898-95E8-48AD-A657-353670FD3717}" type="presParOf" srcId="{8B900707-B738-46E2-83D5-E03321D1FBDE}" destId="{7EF8ABF6-3830-472F-B9AF-BEE8F98DCBE3}" srcOrd="3" destOrd="0" presId="urn:microsoft.com/office/officeart/2005/8/layout/chevron2"/>
    <dgm:cxn modelId="{C4BA2793-98E5-41F2-AF57-EB06704A0110}" type="presParOf" srcId="{8B900707-B738-46E2-83D5-E03321D1FBDE}" destId="{27D5B46E-FC78-4BBB-9D38-1E69345CD527}" srcOrd="4" destOrd="0" presId="urn:microsoft.com/office/officeart/2005/8/layout/chevron2"/>
    <dgm:cxn modelId="{3A7CF2D3-07DB-476C-A289-C892BA4CA9FC}" type="presParOf" srcId="{27D5B46E-FC78-4BBB-9D38-1E69345CD527}" destId="{57C5457B-9A9B-487F-894D-AF898F0EA4DA}" srcOrd="0" destOrd="0" presId="urn:microsoft.com/office/officeart/2005/8/layout/chevron2"/>
    <dgm:cxn modelId="{6B4D028D-6C5B-48A7-94CC-0189A752C8C1}" type="presParOf" srcId="{27D5B46E-FC78-4BBB-9D38-1E69345CD527}" destId="{FFBC5902-1023-447E-A710-C941F28E4571}" srcOrd="1" destOrd="0" presId="urn:microsoft.com/office/officeart/2005/8/layout/chevron2"/>
    <dgm:cxn modelId="{A2BA97C5-282A-4F34-82EC-E660544A3F5C}" type="presParOf" srcId="{8B900707-B738-46E2-83D5-E03321D1FBDE}" destId="{185A4D36-9EC5-433A-8E4E-09AF8AD5B484}" srcOrd="5" destOrd="0" presId="urn:microsoft.com/office/officeart/2005/8/layout/chevron2"/>
    <dgm:cxn modelId="{9D688804-6161-45CC-A939-83FD6166717B}" type="presParOf" srcId="{8B900707-B738-46E2-83D5-E03321D1FBDE}" destId="{06F34673-9E38-411E-A400-E3E2B6DB0FBD}" srcOrd="6" destOrd="0" presId="urn:microsoft.com/office/officeart/2005/8/layout/chevron2"/>
    <dgm:cxn modelId="{1E5C43ED-6F29-47E8-84AA-53E91952CB6D}" type="presParOf" srcId="{06F34673-9E38-411E-A400-E3E2B6DB0FBD}" destId="{F1AD9AAC-48C9-4B44-9AC2-F3C901E22C6D}" srcOrd="0" destOrd="0" presId="urn:microsoft.com/office/officeart/2005/8/layout/chevron2"/>
    <dgm:cxn modelId="{3D769F3F-C245-4D09-802A-D5D5245C8FBF}"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PROGRAMA</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2021</Words>
  <Characters>11117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5</cp:revision>
  <dcterms:created xsi:type="dcterms:W3CDTF">2010-08-05T01:36:00Z</dcterms:created>
  <dcterms:modified xsi:type="dcterms:W3CDTF">2010-08-06T23:18:00Z</dcterms:modified>
</cp:coreProperties>
</file>