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BE2D8C"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BE2D8C"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BE2D8C"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BE2D8C"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5D52CE" w:rsidRPr="005D52CE" w:rsidRDefault="005D52CE" w:rsidP="005D52CE">
      <w:pPr>
        <w:rPr>
          <w:b/>
          <w:szCs w:val="28"/>
          <w:highlight w:val="red"/>
        </w:rPr>
      </w:pPr>
      <w:r w:rsidRPr="005D52CE">
        <w:rPr>
          <w:b/>
          <w:szCs w:val="28"/>
          <w:highlight w:val="red"/>
        </w:rPr>
        <w:lastRenderedPageBreak/>
        <w:t>COMPARADOR DE DOS ETAPAS DE LAZO ABIERTO</w:t>
      </w:r>
    </w:p>
    <w:p w:rsidR="005D52CE" w:rsidRPr="005D52CE" w:rsidRDefault="005D52CE" w:rsidP="005D52CE">
      <w:pPr>
        <w:rPr>
          <w:highlight w:val="red"/>
        </w:rPr>
      </w:pPr>
      <w:r w:rsidRPr="005D52CE">
        <w:rPr>
          <w:highlight w:val="red"/>
        </w:rPr>
        <w:t xml:space="preserve">Los comparadores de dos etapas son usualmente usados en lazo abierto sin compensación, obteniendo así el mayor ancho de banda posible y una rápida respuesta. Para diseñar el comparador, nos basamos en una arquitectura </w:t>
      </w:r>
      <w:proofErr w:type="spellStart"/>
      <w:r w:rsidRPr="005D52CE">
        <w:rPr>
          <w:highlight w:val="red"/>
        </w:rPr>
        <w:t>Miley</w:t>
      </w:r>
      <w:proofErr w:type="spellEnd"/>
      <w:r w:rsidRPr="005D52CE">
        <w:rPr>
          <w:highlight w:val="red"/>
        </w:rPr>
        <w:t xml:space="preserve"> de dos etapas clásicas sin compensación a lazo abierto representada en la </w:t>
      </w:r>
      <w:fldSimple w:instr=" REF _Ref256615486 \h  \* MERGEFORMAT ">
        <w:r w:rsidRPr="005D52CE">
          <w:rPr>
            <w:color w:val="4F81BD" w:themeColor="accent1"/>
            <w:highlight w:val="red"/>
          </w:rPr>
          <w:t xml:space="preserve">Figura </w:t>
        </w:r>
        <w:r w:rsidRPr="005D52CE">
          <w:rPr>
            <w:noProof/>
            <w:color w:val="4F81BD" w:themeColor="accent1"/>
            <w:highlight w:val="red"/>
          </w:rPr>
          <w:t>18</w:t>
        </w:r>
      </w:fldSimple>
      <w:r w:rsidRPr="005D52CE">
        <w:rPr>
          <w:highlight w:val="red"/>
        </w:rPr>
        <w:t>.</w:t>
      </w:r>
    </w:p>
    <w:p w:rsidR="005D52CE" w:rsidRPr="005D52CE" w:rsidRDefault="005D52CE" w:rsidP="005D52CE">
      <w:pPr>
        <w:pStyle w:val="Epgrafe"/>
        <w:rPr>
          <w:highlight w:val="red"/>
        </w:rPr>
      </w:pPr>
      <w:r w:rsidRPr="005D52CE">
        <w:rPr>
          <w:noProof/>
          <w:highlight w:val="red"/>
          <w:lang w:eastAsia="es-AR"/>
        </w:rPr>
        <w:drawing>
          <wp:inline distT="0" distB="0" distL="0" distR="0">
            <wp:extent cx="3663255" cy="2520000"/>
            <wp:effectExtent l="76200" t="57150" r="51495" b="13650"/>
            <wp:docPr id="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63255" cy="2520000"/>
                    </a:xfrm>
                    <a:prstGeom prst="rect">
                      <a:avLst/>
                    </a:prstGeom>
                    <a:noFill/>
                    <a:ln w="9525">
                      <a:noFill/>
                      <a:miter lim="800000"/>
                      <a:headEnd/>
                      <a:tailEnd/>
                    </a:ln>
                    <a:scene3d>
                      <a:camera prst="orthographicFront">
                        <a:rot lat="0" lon="0" rev="60000"/>
                      </a:camera>
                      <a:lightRig rig="threePt" dir="t"/>
                    </a:scene3d>
                  </pic:spPr>
                </pic:pic>
              </a:graphicData>
            </a:graphic>
          </wp:inline>
        </w:drawing>
      </w:r>
      <w:bookmarkStart w:id="6" w:name="_Ref256173482"/>
      <w:bookmarkStart w:id="7" w:name="_Ref256409699"/>
    </w:p>
    <w:p w:rsidR="005D52CE" w:rsidRPr="005D52CE" w:rsidRDefault="005D52CE" w:rsidP="005D52CE">
      <w:pPr>
        <w:pStyle w:val="Epgrafe"/>
        <w:rPr>
          <w:highlight w:val="red"/>
        </w:rPr>
      </w:pPr>
      <w:bookmarkStart w:id="8" w:name="_Ref256615486"/>
      <w:r w:rsidRPr="005D52CE">
        <w:rPr>
          <w:highlight w:val="red"/>
        </w:rPr>
        <w:t xml:space="preserve">Figura </w:t>
      </w:r>
      <w:r w:rsidR="00BE2D8C" w:rsidRPr="005D52CE">
        <w:rPr>
          <w:highlight w:val="red"/>
        </w:rPr>
        <w:fldChar w:fldCharType="begin"/>
      </w:r>
      <w:r w:rsidRPr="005D52CE">
        <w:rPr>
          <w:highlight w:val="red"/>
        </w:rPr>
        <w:instrText xml:space="preserve"> SEQ Figura \* ARABIC </w:instrText>
      </w:r>
      <w:r w:rsidR="00BE2D8C" w:rsidRPr="005D52CE">
        <w:rPr>
          <w:highlight w:val="red"/>
        </w:rPr>
        <w:fldChar w:fldCharType="separate"/>
      </w:r>
      <w:r w:rsidRPr="005D52CE">
        <w:rPr>
          <w:noProof/>
          <w:highlight w:val="red"/>
        </w:rPr>
        <w:t>18</w:t>
      </w:r>
      <w:r w:rsidR="00BE2D8C" w:rsidRPr="005D52CE">
        <w:rPr>
          <w:highlight w:val="red"/>
        </w:rPr>
        <w:fldChar w:fldCharType="end"/>
      </w:r>
      <w:bookmarkEnd w:id="8"/>
      <w:r w:rsidRPr="005D52CE">
        <w:rPr>
          <w:highlight w:val="red"/>
        </w:rPr>
        <w:t>) Esquemático del comparador de dos etapas.</w:t>
      </w:r>
    </w:p>
    <w:bookmarkEnd w:id="6"/>
    <w:bookmarkEnd w:id="7"/>
    <w:p w:rsidR="005D52CE" w:rsidRPr="005D52CE" w:rsidRDefault="005D52CE" w:rsidP="005D52CE">
      <w:pPr>
        <w:rPr>
          <w:rFonts w:cstheme="minorHAnsi"/>
          <w:highlight w:val="red"/>
        </w:rPr>
      </w:pPr>
      <w:r w:rsidRPr="005D52CE">
        <w:rPr>
          <w:szCs w:val="28"/>
          <w:highlight w:val="red"/>
        </w:rPr>
        <w:t>Los primeros puntos de interés en el diseño del comparador son los valores de las tensiones de salida V</w:t>
      </w:r>
      <w:r w:rsidRPr="005D52CE">
        <w:rPr>
          <w:szCs w:val="28"/>
          <w:highlight w:val="red"/>
          <w:vertAlign w:val="subscript"/>
        </w:rPr>
        <w:t>OH</w:t>
      </w:r>
      <w:r w:rsidRPr="005D52CE">
        <w:rPr>
          <w:szCs w:val="28"/>
          <w:highlight w:val="red"/>
        </w:rPr>
        <w:t xml:space="preserve"> y V</w:t>
      </w:r>
      <w:r w:rsidRPr="005D52CE">
        <w:rPr>
          <w:szCs w:val="28"/>
          <w:highlight w:val="red"/>
          <w:vertAlign w:val="subscript"/>
        </w:rPr>
        <w:t>OL</w:t>
      </w:r>
      <w:r w:rsidRPr="005D52CE">
        <w:rPr>
          <w:szCs w:val="28"/>
          <w:highlight w:val="red"/>
        </w:rPr>
        <w:t xml:space="preserve">. Como la etapa de salida del comparador es un inversor </w:t>
      </w:r>
      <w:proofErr w:type="spellStart"/>
      <w:r w:rsidRPr="005D52CE">
        <w:rPr>
          <w:szCs w:val="28"/>
          <w:highlight w:val="red"/>
        </w:rPr>
        <w:t>drenador</w:t>
      </w:r>
      <w:proofErr w:type="spellEnd"/>
      <w:r w:rsidRPr="005D52CE">
        <w:rPr>
          <w:szCs w:val="28"/>
          <w:highlight w:val="red"/>
        </w:rPr>
        <w:t xml:space="preserve"> de corriente, podemos usa la aproximación realizada en la Sección 5.1 del libro </w:t>
      </w:r>
      <w:r w:rsidRPr="005D52CE">
        <w:rPr>
          <w:i/>
          <w:szCs w:val="28"/>
          <w:highlight w:val="red"/>
        </w:rPr>
        <w:t xml:space="preserve">“CMOS </w:t>
      </w:r>
      <w:proofErr w:type="spellStart"/>
      <w:r w:rsidRPr="005D52CE">
        <w:rPr>
          <w:i/>
          <w:szCs w:val="28"/>
          <w:highlight w:val="red"/>
        </w:rPr>
        <w:t>Analog</w:t>
      </w:r>
      <w:proofErr w:type="spellEnd"/>
      <w:r w:rsidRPr="005D52CE">
        <w:rPr>
          <w:i/>
          <w:szCs w:val="28"/>
          <w:highlight w:val="red"/>
        </w:rPr>
        <w:t xml:space="preserve"> </w:t>
      </w:r>
      <w:proofErr w:type="spellStart"/>
      <w:r w:rsidRPr="005D52CE">
        <w:rPr>
          <w:i/>
          <w:szCs w:val="28"/>
          <w:highlight w:val="red"/>
        </w:rPr>
        <w:t>Circuit</w:t>
      </w:r>
      <w:proofErr w:type="spellEnd"/>
      <w:r w:rsidRPr="005D52CE">
        <w:rPr>
          <w:i/>
          <w:szCs w:val="28"/>
          <w:highlight w:val="red"/>
        </w:rPr>
        <w:t xml:space="preserve"> </w:t>
      </w:r>
      <w:proofErr w:type="spellStart"/>
      <w:r w:rsidRPr="005D52CE">
        <w:rPr>
          <w:i/>
          <w:szCs w:val="28"/>
          <w:highlight w:val="red"/>
        </w:rPr>
        <w:t>Design”de</w:t>
      </w:r>
      <w:proofErr w:type="spellEnd"/>
      <w:r w:rsidRPr="005D52CE">
        <w:rPr>
          <w:i/>
          <w:szCs w:val="28"/>
          <w:highlight w:val="red"/>
        </w:rPr>
        <w:t xml:space="preserve"> Allen y </w:t>
      </w:r>
      <w:proofErr w:type="spellStart"/>
      <w:r w:rsidRPr="005D52CE">
        <w:rPr>
          <w:i/>
          <w:szCs w:val="28"/>
          <w:highlight w:val="red"/>
        </w:rPr>
        <w:t>Holberg</w:t>
      </w:r>
      <w:proofErr w:type="spellEnd"/>
      <w:r w:rsidRPr="005D52CE">
        <w:rPr>
          <w:i/>
          <w:szCs w:val="28"/>
          <w:highlight w:val="red"/>
        </w:rPr>
        <w:t xml:space="preserve">. </w:t>
      </w:r>
      <w:r w:rsidRPr="005D52CE">
        <w:rPr>
          <w:rFonts w:cstheme="minorHAnsi"/>
          <w:highlight w:val="red"/>
        </w:rPr>
        <w:t xml:space="preserve">El voltaje máximo de salida, asumiendo que el GATE de M6 posee un mínimo voltaje definido como </w:t>
      </w:r>
      <m:oMath>
        <m:sSub>
          <m:sSubPr>
            <m:ctrlPr>
              <w:rPr>
                <w:rFonts w:ascii="Cambria Math" w:hAnsi="Cambria Math" w:cstheme="minorHAnsi"/>
                <w:highlight w:val="red"/>
              </w:rPr>
            </m:ctrlPr>
          </m:sSubPr>
          <m:e>
            <m:r>
              <m:rPr>
                <m:sty m:val="p"/>
              </m:rPr>
              <w:rPr>
                <w:rFonts w:ascii="Cambria Math" w:cstheme="minorHAnsi"/>
                <w:highlight w:val="red"/>
              </w:rPr>
              <m:t>V</m:t>
            </m:r>
          </m:e>
          <m:sub>
            <m:r>
              <m:rPr>
                <m:sty m:val="p"/>
              </m:rPr>
              <w:rPr>
                <w:rFonts w:ascii="Cambria Math" w:cstheme="minorHAnsi"/>
                <w:highlight w:val="red"/>
              </w:rPr>
              <m:t>G6</m:t>
            </m:r>
          </m:sub>
        </m:sSub>
        <m:r>
          <m:rPr>
            <m:sty m:val="p"/>
          </m:rPr>
          <w:rPr>
            <w:rFonts w:ascii="Cambria Math" w:cstheme="minorHAnsi"/>
            <w:highlight w:val="red"/>
          </w:rPr>
          <m:t>(min)</m:t>
        </m:r>
      </m:oMath>
      <w:r w:rsidRPr="005D52CE">
        <w:rPr>
          <w:rFonts w:eastAsiaTheme="minorEastAsia" w:cstheme="minorHAnsi"/>
          <w:highlight w:val="red"/>
        </w:rPr>
        <w:t>, lo podemos expresar como:</w:t>
      </w:r>
    </w:p>
    <w:p w:rsidR="005D52CE" w:rsidRPr="005D52CE" w:rsidRDefault="00BE2D8C" w:rsidP="005D52CE">
      <w:pPr>
        <w:spacing w:after="0" w:line="360" w:lineRule="auto"/>
        <w:jc w:val="both"/>
        <w:rPr>
          <w:rFonts w:ascii="Arial"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OH</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G</m:t>
                  </m:r>
                  <m:r>
                    <w:rPr>
                      <w:rFonts w:ascii="Cambria Math" w:hAnsi="Arial" w:cs="Arial"/>
                      <w:highlight w:val="red"/>
                    </w:rPr>
                    <m:t>6</m:t>
                  </m:r>
                </m:sub>
              </m:sSub>
              <m:d>
                <m:dPr>
                  <m:ctrlPr>
                    <w:rPr>
                      <w:rFonts w:ascii="Cambria Math" w:hAnsi="Arial" w:cs="Arial"/>
                      <w:i/>
                      <w:highlight w:val="red"/>
                    </w:rPr>
                  </m:ctrlPr>
                </m:dPr>
                <m:e>
                  <m:r>
                    <w:rPr>
                      <w:rFonts w:ascii="Cambria Math" w:hAnsi="Cambria Math" w:cs="Arial"/>
                      <w:highlight w:val="red"/>
                    </w:rPr>
                    <m:t>min</m:t>
                  </m:r>
                </m:e>
              </m:d>
              <m:r>
                <w:rPr>
                  <w:rFonts w:ascii="Cambria Math" w:hAnsi="Cambria Math" w:cs="Arial"/>
                  <w:highlight w:val="red"/>
                </w:rPr>
                <m:t>-</m:t>
              </m:r>
              <m:d>
                <m:dPr>
                  <m:begChr m:val="|"/>
                  <m:endChr m:val="|"/>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TP</m:t>
                      </m:r>
                    </m:sub>
                  </m:sSub>
                </m:e>
              </m:d>
            </m:e>
          </m:d>
          <m:d>
            <m:dPr>
              <m:begChr m:val="["/>
              <m:endChr m:val="]"/>
              <m:ctrlPr>
                <w:rPr>
                  <w:rFonts w:ascii="Cambria Math" w:hAnsi="Arial" w:cs="Arial"/>
                  <w:i/>
                  <w:highlight w:val="red"/>
                </w:rPr>
              </m:ctrlPr>
            </m:dPr>
            <m:e>
              <m:r>
                <w:rPr>
                  <w:rFonts w:ascii="Cambria Math" w:hAnsi="Arial" w:cs="Arial"/>
                  <w:highlight w:val="red"/>
                </w:rPr>
                <m:t>1</m:t>
              </m:r>
              <m:r>
                <w:rPr>
                  <w:rFonts w:ascii="Cambria Math" w:hAnsi="Cambria Math" w:cs="Arial"/>
                  <w:highlight w:val="red"/>
                </w:rPr>
                <m:t>-</m:t>
              </m:r>
              <m:rad>
                <m:radPr>
                  <m:degHide m:val="on"/>
                  <m:ctrlPr>
                    <w:rPr>
                      <w:rFonts w:ascii="Cambria Math" w:hAnsi="Arial" w:cs="Arial"/>
                      <w:i/>
                      <w:highlight w:val="red"/>
                    </w:rPr>
                  </m:ctrlPr>
                </m:radPr>
                <m:deg/>
                <m:e>
                  <m:r>
                    <w:rPr>
                      <w:rFonts w:ascii="Cambria Math" w:hAnsi="Arial" w:cs="Arial"/>
                      <w:highlight w:val="red"/>
                    </w:rPr>
                    <m:t>1</m:t>
                  </m:r>
                  <m:r>
                    <w:rPr>
                      <w:rFonts w:ascii="Cambria Math" w:hAnsi="Cambria Math" w:cs="Arial"/>
                      <w:highlight w:val="red"/>
                    </w:rPr>
                    <m:t>-</m:t>
                  </m:r>
                  <m:f>
                    <m:fPr>
                      <m:ctrlPr>
                        <w:rPr>
                          <w:rFonts w:ascii="Cambria Math" w:hAnsi="Arial" w:cs="Arial"/>
                          <w:i/>
                          <w:highlight w:val="red"/>
                        </w:rPr>
                      </m:ctrlPr>
                    </m:fPr>
                    <m:num>
                      <m:r>
                        <w:rPr>
                          <w:rFonts w:ascii="Cambria Math" w:hAnsi="Arial" w:cs="Arial"/>
                          <w:highlight w:val="red"/>
                        </w:rPr>
                        <m:t>2</m:t>
                      </m:r>
                      <m:sSub>
                        <m:sSubPr>
                          <m:ctrlPr>
                            <w:rPr>
                              <w:rFonts w:ascii="Cambria Math" w:hAnsi="Arial" w:cs="Arial"/>
                              <w:i/>
                              <w:highlight w:val="red"/>
                            </w:rPr>
                          </m:ctrlPr>
                        </m:sSubPr>
                        <m:e>
                          <m:r>
                            <w:rPr>
                              <w:rFonts w:ascii="Cambria Math" w:hAnsi="Cambria Math" w:cs="Arial"/>
                              <w:highlight w:val="red"/>
                            </w:rPr>
                            <m:t>I</m:t>
                          </m:r>
                        </m:e>
                        <m:sub>
                          <m:r>
                            <w:rPr>
                              <w:rFonts w:ascii="Cambria Math" w:hAnsi="Arial" w:cs="Arial"/>
                              <w:highlight w:val="red"/>
                            </w:rPr>
                            <m:t>7</m:t>
                          </m:r>
                        </m:sub>
                      </m:sSub>
                    </m:num>
                    <m:den>
                      <m:sSub>
                        <m:sSubPr>
                          <m:ctrlPr>
                            <w:rPr>
                              <w:rFonts w:ascii="Cambria Math" w:hAnsi="Arial" w:cs="Arial"/>
                              <w:i/>
                              <w:highlight w:val="red"/>
                            </w:rPr>
                          </m:ctrlPr>
                        </m:sSubPr>
                        <m:e>
                          <m:r>
                            <w:rPr>
                              <w:rFonts w:ascii="Cambria Math" w:hAnsi="Cambria Math" w:cs="Arial"/>
                              <w:highlight w:val="red"/>
                            </w:rPr>
                            <m:t>β</m:t>
                          </m:r>
                        </m:e>
                        <m:sub>
                          <m:r>
                            <w:rPr>
                              <w:rFonts w:ascii="Cambria Math" w:hAnsi="Arial" w:cs="Arial"/>
                              <w:highlight w:val="red"/>
                            </w:rPr>
                            <m:t>6</m:t>
                          </m:r>
                        </m:sub>
                      </m:sSub>
                      <m:sSup>
                        <m:sSupPr>
                          <m:ctrlPr>
                            <w:rPr>
                              <w:rFonts w:ascii="Cambria Math" w:hAnsi="Arial" w:cs="Arial"/>
                              <w:i/>
                              <w:highlight w:val="red"/>
                            </w:rPr>
                          </m:ctrlPr>
                        </m:sSupPr>
                        <m:e>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DD</m:t>
                                  </m:r>
                                </m:sub>
                              </m:sSub>
                              <m:r>
                                <w:rPr>
                                  <w:rFonts w:ascii="Cambria Math" w:hAnsi="Cambria Math" w:cs="Arial"/>
                                  <w:highlight w:val="red"/>
                                </w:rPr>
                                <m:t>-</m:t>
                              </m:r>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G</m:t>
                                  </m:r>
                                  <m:r>
                                    <w:rPr>
                                      <w:rFonts w:ascii="Cambria Math" w:hAnsi="Arial" w:cs="Arial"/>
                                      <w:highlight w:val="red"/>
                                    </w:rPr>
                                    <m:t>6</m:t>
                                  </m:r>
                                </m:sub>
                              </m:sSub>
                              <m:d>
                                <m:dPr>
                                  <m:ctrlPr>
                                    <w:rPr>
                                      <w:rFonts w:ascii="Cambria Math" w:hAnsi="Arial" w:cs="Arial"/>
                                      <w:i/>
                                      <w:highlight w:val="red"/>
                                    </w:rPr>
                                  </m:ctrlPr>
                                </m:dPr>
                                <m:e>
                                  <m:r>
                                    <w:rPr>
                                      <w:rFonts w:ascii="Cambria Math" w:hAnsi="Cambria Math" w:cs="Arial"/>
                                      <w:highlight w:val="red"/>
                                    </w:rPr>
                                    <m:t>min</m:t>
                                  </m:r>
                                </m:e>
                              </m:d>
                              <m:r>
                                <w:rPr>
                                  <w:rFonts w:ascii="Cambria Math" w:hAnsi="Cambria Math" w:cs="Arial"/>
                                  <w:highlight w:val="red"/>
                                </w:rPr>
                                <m:t>-</m:t>
                              </m:r>
                              <m:d>
                                <m:dPr>
                                  <m:begChr m:val="|"/>
                                  <m:endChr m:val="|"/>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V</m:t>
                                      </m:r>
                                    </m:e>
                                    <m:sub>
                                      <m:r>
                                        <w:rPr>
                                          <w:rFonts w:ascii="Cambria Math" w:hAnsi="Cambria Math" w:cs="Arial"/>
                                          <w:highlight w:val="red"/>
                                        </w:rPr>
                                        <m:t>TP</m:t>
                                      </m:r>
                                    </m:sub>
                                  </m:sSub>
                                </m:e>
                              </m:d>
                            </m:e>
                          </m:d>
                        </m:e>
                        <m:sup>
                          <m:r>
                            <w:rPr>
                              <w:rFonts w:ascii="Cambria Math" w:hAnsi="Arial" w:cs="Arial"/>
                              <w:highlight w:val="red"/>
                            </w:rPr>
                            <m:t>2</m:t>
                          </m:r>
                        </m:sup>
                      </m:sSup>
                    </m:den>
                  </m:f>
                </m:e>
              </m:rad>
            </m:e>
          </m:d>
        </m:oMath>
      </m:oMathPara>
    </w:p>
    <w:p w:rsidR="005D52CE" w:rsidRPr="005D52CE" w:rsidRDefault="005D52CE" w:rsidP="005D52CE">
      <w:pPr>
        <w:spacing w:after="0" w:line="360" w:lineRule="auto"/>
        <w:jc w:val="both"/>
        <w:rPr>
          <w:rFonts w:cstheme="minorHAnsi"/>
          <w:highlight w:val="red"/>
        </w:rPr>
      </w:pPr>
      <w:r w:rsidRPr="005D52CE">
        <w:rPr>
          <w:rFonts w:cstheme="minorHAnsi"/>
          <w:highlight w:val="red"/>
        </w:rPr>
        <w:t>Con el mínimo voltaje de salida como:</w:t>
      </w:r>
    </w:p>
    <w:p w:rsidR="005D52CE" w:rsidRPr="005D52CE" w:rsidRDefault="00BE2D8C" w:rsidP="005D52CE">
      <w:pPr>
        <w:spacing w:after="0" w:line="360" w:lineRule="auto"/>
        <w:jc w:val="both"/>
        <w:rPr>
          <w:rFonts w:ascii="Arial" w:hAnsi="Arial" w:cs="Arial"/>
          <w:highlight w:val="red"/>
        </w:rPr>
      </w:pPr>
      <m:oMathPara>
        <m:oMath>
          <m:sSub>
            <m:sSubPr>
              <m:ctrlPr>
                <w:rPr>
                  <w:rFonts w:ascii="Cambria Math" w:hAnsi="Arial" w:cs="Arial"/>
                  <w:highlight w:val="red"/>
                </w:rPr>
              </m:ctrlPr>
            </m:sSubPr>
            <m:e>
              <m:r>
                <m:rPr>
                  <m:sty m:val="p"/>
                </m:rPr>
                <w:rPr>
                  <w:rFonts w:ascii="Cambria Math" w:hAnsi="Cambria Math" w:cs="Arial"/>
                  <w:highlight w:val="red"/>
                </w:rPr>
                <m:t>V</m:t>
              </m:r>
            </m:e>
            <m:sub>
              <m:r>
                <m:rPr>
                  <m:sty m:val="p"/>
                </m:rPr>
                <w:rPr>
                  <w:rFonts w:ascii="Cambria Math" w:hAnsi="Cambria Math" w:cs="Arial"/>
                  <w:highlight w:val="red"/>
                </w:rPr>
                <m:t>OL</m:t>
              </m:r>
            </m:sub>
          </m:sSub>
          <m:r>
            <m:rPr>
              <m:sty m:val="p"/>
            </m:rPr>
            <w:rPr>
              <w:rFonts w:ascii="Cambria Math" w:hAnsi="Arial" w:cs="Arial"/>
              <w:highlight w:val="red"/>
            </w:rPr>
            <m:t>=</m:t>
          </m:r>
          <m:sSub>
            <m:sSubPr>
              <m:ctrlPr>
                <w:rPr>
                  <w:rFonts w:ascii="Cambria Math" w:hAnsi="Arial" w:cs="Arial"/>
                  <w:highlight w:val="red"/>
                </w:rPr>
              </m:ctrlPr>
            </m:sSubPr>
            <m:e>
              <m:r>
                <m:rPr>
                  <m:sty m:val="p"/>
                </m:rPr>
                <w:rPr>
                  <w:rFonts w:ascii="Cambria Math" w:hAnsi="Cambria Math" w:cs="Arial"/>
                  <w:highlight w:val="red"/>
                </w:rPr>
                <m:t>V</m:t>
              </m:r>
            </m:e>
            <m:sub>
              <m:r>
                <m:rPr>
                  <m:sty m:val="p"/>
                </m:rPr>
                <w:rPr>
                  <w:rFonts w:ascii="Cambria Math" w:hAnsi="Cambria Math" w:cs="Arial"/>
                  <w:highlight w:val="red"/>
                </w:rPr>
                <m:t>SS</m:t>
              </m:r>
            </m:sub>
          </m:sSub>
          <m:r>
            <m:rPr>
              <m:sty m:val="p"/>
            </m:rPr>
            <w:rPr>
              <w:rFonts w:ascii="Cambria Math" w:hAnsi="Arial" w:cs="Arial"/>
              <w:highlight w:val="red"/>
            </w:rPr>
            <m:t>=</m:t>
          </m:r>
          <m:r>
            <m:rPr>
              <m:sty m:val="p"/>
            </m:rPr>
            <w:rPr>
              <w:rFonts w:ascii="Cambria Math" w:hAnsi="Cambria Math" w:cs="Arial"/>
              <w:highlight w:val="red"/>
            </w:rPr>
            <m:t>GND</m:t>
          </m:r>
          <m:r>
            <m:rPr>
              <m:sty m:val="p"/>
            </m:rPr>
            <w:rPr>
              <w:rFonts w:ascii="Cambria Math" w:hAnsi="Arial" w:cs="Arial"/>
              <w:highlight w:val="red"/>
            </w:rPr>
            <m:t>=0</m:t>
          </m:r>
        </m:oMath>
      </m:oMathPara>
    </w:p>
    <w:p w:rsidR="005D52CE" w:rsidRPr="005D52CE" w:rsidRDefault="005D52CE" w:rsidP="005D52CE">
      <w:pPr>
        <w:spacing w:after="0" w:line="360" w:lineRule="auto"/>
        <w:jc w:val="both"/>
        <w:rPr>
          <w:rFonts w:cstheme="minorHAnsi"/>
          <w:highlight w:val="red"/>
        </w:rPr>
      </w:pPr>
      <w:r w:rsidRPr="005D52CE">
        <w:rPr>
          <w:rFonts w:cstheme="minorHAnsi"/>
          <w:highlight w:val="red"/>
        </w:rPr>
        <w:t xml:space="preserve">La ganancia de pequeña señal del comparador </w:t>
      </w:r>
      <w:proofErr w:type="spellStart"/>
      <w:r w:rsidRPr="005D52CE">
        <w:rPr>
          <w:rFonts w:cstheme="minorHAnsi"/>
          <w:highlight w:val="red"/>
        </w:rPr>
        <w:t>esta</w:t>
      </w:r>
      <w:proofErr w:type="spellEnd"/>
      <w:r w:rsidRPr="005D52CE">
        <w:rPr>
          <w:rFonts w:cstheme="minorHAnsi"/>
          <w:highlight w:val="red"/>
        </w:rPr>
        <w:t xml:space="preserve"> definida por:</w:t>
      </w:r>
    </w:p>
    <w:p w:rsidR="005D52CE" w:rsidRPr="005D52CE" w:rsidRDefault="00BE2D8C"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A</m:t>
              </m:r>
            </m:e>
            <m:sub>
              <m:r>
                <w:rPr>
                  <w:rFonts w:ascii="Cambria Math" w:hAnsi="Cambria Math" w:cs="Arial"/>
                  <w:highlight w:val="red"/>
                </w:rPr>
                <m:t>v</m:t>
              </m:r>
            </m:sub>
          </m:sSub>
          <m:d>
            <m:dPr>
              <m:ctrlPr>
                <w:rPr>
                  <w:rFonts w:ascii="Cambria Math" w:hAnsi="Arial" w:cs="Arial"/>
                  <w:i/>
                  <w:highlight w:val="red"/>
                </w:rPr>
              </m:ctrlPr>
            </m:dPr>
            <m:e>
              <m:r>
                <w:rPr>
                  <w:rFonts w:ascii="Cambria Math" w:hAnsi="Arial" w:cs="Arial"/>
                  <w:highlight w:val="red"/>
                </w:rPr>
                <m:t>0</m:t>
              </m:r>
            </m:e>
          </m:d>
          <m:r>
            <w:rPr>
              <w:rFonts w:ascii="Cambria Math" w:hAnsi="Arial" w:cs="Arial"/>
              <w:highlight w:val="red"/>
            </w:rPr>
            <m:t>=</m:t>
          </m:r>
          <m:d>
            <m:dPr>
              <m:ctrlPr>
                <w:rPr>
                  <w:rFonts w:ascii="Cambria Math" w:hAnsi="Arial" w:cs="Arial"/>
                  <w:i/>
                  <w:highlight w:val="red"/>
                </w:rPr>
              </m:ctrlPr>
            </m:dPr>
            <m:e>
              <m:f>
                <m:fPr>
                  <m:ctrlPr>
                    <w:rPr>
                      <w:rFonts w:ascii="Cambria Math" w:hAnsi="Arial" w:cs="Arial"/>
                      <w:i/>
                      <w:highlight w:val="red"/>
                    </w:rPr>
                  </m:ctrlPr>
                </m:fPr>
                <m:num>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m</m:t>
                      </m:r>
                      <m:r>
                        <w:rPr>
                          <w:rFonts w:ascii="Cambria Math" w:hAnsi="Arial" w:cs="Arial"/>
                          <w:highlight w:val="red"/>
                        </w:rPr>
                        <m:t>1</m:t>
                      </m:r>
                    </m:sub>
                  </m:sSub>
                </m:num>
                <m:den>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2</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4</m:t>
                      </m:r>
                    </m:sub>
                  </m:sSub>
                </m:den>
              </m:f>
            </m:e>
          </m:d>
          <m:d>
            <m:dPr>
              <m:ctrlPr>
                <w:rPr>
                  <w:rFonts w:ascii="Cambria Math" w:hAnsi="Arial" w:cs="Arial"/>
                  <w:i/>
                  <w:highlight w:val="red"/>
                </w:rPr>
              </m:ctrlPr>
            </m:dPr>
            <m:e>
              <m:f>
                <m:fPr>
                  <m:ctrlPr>
                    <w:rPr>
                      <w:rFonts w:ascii="Cambria Math" w:hAnsi="Arial" w:cs="Arial"/>
                      <w:i/>
                      <w:highlight w:val="red"/>
                    </w:rPr>
                  </m:ctrlPr>
                </m:fPr>
                <m:num>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m</m:t>
                      </m:r>
                      <m:r>
                        <w:rPr>
                          <w:rFonts w:ascii="Cambria Math" w:hAnsi="Arial" w:cs="Arial"/>
                          <w:highlight w:val="red"/>
                        </w:rPr>
                        <m:t>6</m:t>
                      </m:r>
                    </m:sub>
                  </m:sSub>
                </m:num>
                <m:den>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6</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7</m:t>
                      </m:r>
                    </m:sub>
                  </m:sSub>
                </m:den>
              </m:f>
            </m:e>
          </m:d>
        </m:oMath>
      </m:oMathPara>
    </w:p>
    <w:p w:rsidR="005D52CE" w:rsidRPr="005D52CE" w:rsidRDefault="005D52CE" w:rsidP="005D52CE">
      <w:pPr>
        <w:spacing w:after="0" w:line="360" w:lineRule="auto"/>
        <w:jc w:val="both"/>
        <w:rPr>
          <w:color w:val="4F81BD" w:themeColor="accent1"/>
          <w:highlight w:val="red"/>
        </w:rPr>
      </w:pPr>
      <w:r w:rsidRPr="005D52CE">
        <w:rPr>
          <w:rFonts w:eastAsiaTheme="minorEastAsia" w:cstheme="minorHAnsi"/>
          <w:highlight w:val="red"/>
        </w:rPr>
        <w:t xml:space="preserve">El comparador de la </w:t>
      </w:r>
      <w:r w:rsidR="00BE2D8C" w:rsidRPr="005D52CE">
        <w:rPr>
          <w:highlight w:val="red"/>
        </w:rPr>
        <w:fldChar w:fldCharType="begin"/>
      </w:r>
      <w:r w:rsidRPr="005D52CE">
        <w:rPr>
          <w:highlight w:val="red"/>
        </w:rPr>
        <w:instrText xml:space="preserve"> REF _Ref256409699 \h  \* MERGEFORMAT </w:instrText>
      </w:r>
      <w:r w:rsidR="00BE2D8C" w:rsidRPr="005D52CE">
        <w:rPr>
          <w:highlight w:val="red"/>
        </w:rPr>
      </w:r>
      <w:r w:rsidR="00BE2D8C" w:rsidRPr="005D52CE">
        <w:rPr>
          <w:highlight w:val="red"/>
        </w:rPr>
        <w:fldChar w:fldCharType="separate"/>
      </w:r>
    </w:p>
    <w:p w:rsidR="005D52CE" w:rsidRPr="005D52CE" w:rsidRDefault="005D52CE" w:rsidP="005D52CE">
      <w:pPr>
        <w:spacing w:after="0" w:line="360" w:lineRule="auto"/>
        <w:jc w:val="both"/>
        <w:rPr>
          <w:highlight w:val="red"/>
        </w:rPr>
      </w:pPr>
      <w:r w:rsidRPr="005D52CE">
        <w:rPr>
          <w:color w:val="4F81BD" w:themeColor="accent1"/>
          <w:highlight w:val="red"/>
        </w:rPr>
        <w:t>Figura</w:t>
      </w:r>
      <w:r w:rsidRPr="005D52CE">
        <w:rPr>
          <w:noProof/>
          <w:color w:val="4F81BD" w:themeColor="accent1"/>
          <w:highlight w:val="red"/>
        </w:rPr>
        <w:t xml:space="preserve"> </w:t>
      </w:r>
      <w:r w:rsidRPr="005D52CE">
        <w:rPr>
          <w:highlight w:val="red"/>
        </w:rPr>
        <w:t>18) Esquemático del comparador de dos etapas.</w:t>
      </w:r>
    </w:p>
    <w:p w:rsidR="005D52CE" w:rsidRPr="005D52CE" w:rsidRDefault="00BE2D8C" w:rsidP="005D52CE">
      <w:pPr>
        <w:spacing w:after="0" w:line="360" w:lineRule="auto"/>
        <w:jc w:val="both"/>
        <w:rPr>
          <w:rFonts w:eastAsiaTheme="minorEastAsia" w:cstheme="minorHAnsi"/>
          <w:highlight w:val="red"/>
        </w:rPr>
      </w:pPr>
      <w:r w:rsidRPr="005D52CE">
        <w:rPr>
          <w:highlight w:val="red"/>
        </w:rPr>
        <w:fldChar w:fldCharType="end"/>
      </w:r>
      <w:proofErr w:type="gramStart"/>
      <w:r w:rsidR="005D52CE" w:rsidRPr="005D52CE">
        <w:rPr>
          <w:rFonts w:eastAsiaTheme="minorEastAsia" w:cstheme="minorHAnsi"/>
          <w:highlight w:val="red"/>
        </w:rPr>
        <w:t>tiene</w:t>
      </w:r>
      <w:proofErr w:type="gramEnd"/>
      <w:r w:rsidR="005D52CE" w:rsidRPr="005D52CE">
        <w:rPr>
          <w:rFonts w:eastAsiaTheme="minorEastAsia" w:cstheme="minorHAnsi"/>
          <w:highlight w:val="red"/>
        </w:rPr>
        <w:t xml:space="preserve"> dos polos de interés, el primero </w:t>
      </w:r>
      <m:oMath>
        <m:sSub>
          <m:sSubPr>
            <m:ctrlPr>
              <w:rPr>
                <w:rFonts w:ascii="Cambria Math" w:hAnsi="Cambria Math" w:cstheme="minorHAnsi"/>
                <w:highlight w:val="red"/>
              </w:rPr>
            </m:ctrlPr>
          </m:sSubPr>
          <m:e>
            <m:r>
              <m:rPr>
                <m:sty m:val="p"/>
              </m:rPr>
              <w:rPr>
                <w:rFonts w:ascii="Cambria Math" w:cstheme="minorHAnsi"/>
                <w:highlight w:val="red"/>
              </w:rPr>
              <m:t>p</m:t>
            </m:r>
          </m:e>
          <m:sub>
            <m:r>
              <m:rPr>
                <m:sty m:val="p"/>
              </m:rPr>
              <w:rPr>
                <w:rFonts w:ascii="Cambria Math" w:cstheme="minorHAnsi"/>
                <w:highlight w:val="red"/>
              </w:rPr>
              <m:t>1</m:t>
            </m:r>
          </m:sub>
        </m:sSub>
      </m:oMath>
      <w:r w:rsidR="005D52CE" w:rsidRPr="005D52CE">
        <w:rPr>
          <w:rFonts w:eastAsiaTheme="minorEastAsia" w:cstheme="minorHAnsi"/>
          <w:highlight w:val="red"/>
        </w:rPr>
        <w:t xml:space="preserve"> es el polo de la primera etapa, y </w:t>
      </w:r>
      <m:oMath>
        <m:sSub>
          <m:sSubPr>
            <m:ctrlPr>
              <w:rPr>
                <w:rFonts w:ascii="Cambria Math" w:hAnsi="Cambria Math" w:cstheme="minorHAnsi"/>
                <w:highlight w:val="red"/>
              </w:rPr>
            </m:ctrlPr>
          </m:sSubPr>
          <m:e>
            <m:r>
              <m:rPr>
                <m:sty m:val="p"/>
              </m:rPr>
              <w:rPr>
                <w:rFonts w:ascii="Cambria Math" w:cstheme="minorHAnsi"/>
                <w:highlight w:val="red"/>
              </w:rPr>
              <m:t>p</m:t>
            </m:r>
          </m:e>
          <m:sub>
            <m:r>
              <m:rPr>
                <m:sty m:val="p"/>
              </m:rPr>
              <w:rPr>
                <w:rFonts w:ascii="Cambria Math" w:cstheme="minorHAnsi"/>
                <w:highlight w:val="red"/>
              </w:rPr>
              <m:t>2</m:t>
            </m:r>
          </m:sub>
        </m:sSub>
      </m:oMath>
      <w:r w:rsidR="005D52CE" w:rsidRPr="005D52CE">
        <w:rPr>
          <w:rFonts w:eastAsiaTheme="minorEastAsia" w:cstheme="minorHAnsi"/>
          <w:highlight w:val="red"/>
        </w:rPr>
        <w:t xml:space="preserve"> el polo de la segunda etapa, expresados como:</w:t>
      </w:r>
    </w:p>
    <w:p w:rsidR="005D52CE" w:rsidRPr="005D52CE" w:rsidRDefault="00BE2D8C"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p</m:t>
              </m:r>
            </m:e>
            <m:sub>
              <m:r>
                <w:rPr>
                  <w:rFonts w:ascii="Cambria Math" w:hAnsi="Arial" w:cs="Arial"/>
                  <w:highlight w:val="red"/>
                </w:rPr>
                <m:t>1</m:t>
              </m:r>
            </m:sub>
          </m:sSub>
          <m:r>
            <w:rPr>
              <w:rFonts w:ascii="Cambria Math" w:hAnsi="Arial" w:cs="Arial"/>
              <w:highlight w:val="red"/>
            </w:rPr>
            <m:t>=</m:t>
          </m:r>
          <m:f>
            <m:fPr>
              <m:ctrlPr>
                <w:rPr>
                  <w:rFonts w:ascii="Cambria Math" w:hAnsi="Arial" w:cs="Arial"/>
                  <w:i/>
                  <w:highlight w:val="red"/>
                </w:rPr>
              </m:ctrlPr>
            </m:fPr>
            <m:num>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2</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4</m:t>
                      </m:r>
                    </m:sub>
                  </m:sSub>
                </m:e>
              </m:d>
            </m:num>
            <m:den>
              <m:sSub>
                <m:sSubPr>
                  <m:ctrlPr>
                    <w:rPr>
                      <w:rFonts w:ascii="Cambria Math" w:hAnsi="Arial" w:cs="Arial"/>
                      <w:i/>
                      <w:highlight w:val="red"/>
                    </w:rPr>
                  </m:ctrlPr>
                </m:sSubPr>
                <m:e>
                  <m:r>
                    <w:rPr>
                      <w:rFonts w:ascii="Cambria Math" w:hAnsi="Cambria Math" w:cs="Arial"/>
                      <w:highlight w:val="red"/>
                    </w:rPr>
                    <m:t>C</m:t>
                  </m:r>
                </m:e>
                <m:sub>
                  <m:r>
                    <w:rPr>
                      <w:rFonts w:ascii="Cambria Math" w:hAnsi="Cambria Math" w:cs="Arial"/>
                      <w:highlight w:val="red"/>
                    </w:rPr>
                    <m:t>I</m:t>
                  </m:r>
                </m:sub>
              </m:sSub>
            </m:den>
          </m:f>
        </m:oMath>
      </m:oMathPara>
    </w:p>
    <w:p w:rsidR="005D52CE" w:rsidRPr="005D52CE" w:rsidRDefault="00BE2D8C" w:rsidP="005D52CE">
      <w:pPr>
        <w:spacing w:after="0" w:line="360" w:lineRule="auto"/>
        <w:jc w:val="both"/>
        <w:rPr>
          <w:rFonts w:ascii="Arial" w:eastAsiaTheme="minorEastAsia" w:hAnsi="Arial" w:cs="Arial"/>
          <w:i/>
          <w:highlight w:val="red"/>
        </w:rPr>
      </w:pPr>
      <m:oMathPara>
        <m:oMath>
          <m:sSub>
            <m:sSubPr>
              <m:ctrlPr>
                <w:rPr>
                  <w:rFonts w:ascii="Cambria Math" w:hAnsi="Arial" w:cs="Arial"/>
                  <w:i/>
                  <w:highlight w:val="red"/>
                </w:rPr>
              </m:ctrlPr>
            </m:sSubPr>
            <m:e>
              <m:r>
                <w:rPr>
                  <w:rFonts w:ascii="Cambria Math" w:hAnsi="Cambria Math" w:cs="Arial"/>
                  <w:highlight w:val="red"/>
                </w:rPr>
                <m:t>p</m:t>
              </m:r>
            </m:e>
            <m:sub>
              <m:r>
                <w:rPr>
                  <w:rFonts w:ascii="Cambria Math" w:hAnsi="Arial" w:cs="Arial"/>
                  <w:highlight w:val="red"/>
                </w:rPr>
                <m:t>2</m:t>
              </m:r>
            </m:sub>
          </m:sSub>
          <m:r>
            <w:rPr>
              <w:rFonts w:ascii="Cambria Math" w:hAnsi="Arial" w:cs="Arial"/>
              <w:highlight w:val="red"/>
            </w:rPr>
            <m:t>=</m:t>
          </m:r>
          <m:f>
            <m:fPr>
              <m:ctrlPr>
                <w:rPr>
                  <w:rFonts w:ascii="Cambria Math" w:hAnsi="Arial" w:cs="Arial"/>
                  <w:i/>
                  <w:highlight w:val="red"/>
                </w:rPr>
              </m:ctrlPr>
            </m:fPr>
            <m:num>
              <m:r>
                <w:rPr>
                  <w:rFonts w:ascii="Cambria Math" w:hAnsi="Cambria Math" w:cs="Arial"/>
                  <w:highlight w:val="red"/>
                </w:rPr>
                <m:t>-</m:t>
              </m:r>
              <m:d>
                <m:dPr>
                  <m:ctrlPr>
                    <w:rPr>
                      <w:rFonts w:ascii="Cambria Math" w:hAnsi="Arial" w:cs="Arial"/>
                      <w:i/>
                      <w:highlight w:val="red"/>
                    </w:rPr>
                  </m:ctrlPr>
                </m:dPr>
                <m:e>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6</m:t>
                      </m:r>
                    </m:sub>
                  </m:sSub>
                  <m:r>
                    <w:rPr>
                      <w:rFonts w:ascii="Cambria Math" w:hAnsi="Arial" w:cs="Arial"/>
                      <w:highlight w:val="red"/>
                    </w:rPr>
                    <m:t>+</m:t>
                  </m:r>
                  <m:sSub>
                    <m:sSubPr>
                      <m:ctrlPr>
                        <w:rPr>
                          <w:rFonts w:ascii="Cambria Math" w:hAnsi="Arial" w:cs="Arial"/>
                          <w:i/>
                          <w:highlight w:val="red"/>
                        </w:rPr>
                      </m:ctrlPr>
                    </m:sSubPr>
                    <m:e>
                      <m:r>
                        <w:rPr>
                          <w:rFonts w:ascii="Cambria Math" w:hAnsi="Cambria Math" w:cs="Arial"/>
                          <w:highlight w:val="red"/>
                        </w:rPr>
                        <m:t>g</m:t>
                      </m:r>
                    </m:e>
                    <m:sub>
                      <m:r>
                        <w:rPr>
                          <w:rFonts w:ascii="Cambria Math" w:hAnsi="Cambria Math" w:cs="Arial"/>
                          <w:highlight w:val="red"/>
                        </w:rPr>
                        <m:t>ds</m:t>
                      </m:r>
                      <m:r>
                        <w:rPr>
                          <w:rFonts w:ascii="Cambria Math" w:hAnsi="Arial" w:cs="Arial"/>
                          <w:highlight w:val="red"/>
                        </w:rPr>
                        <m:t>7</m:t>
                      </m:r>
                    </m:sub>
                  </m:sSub>
                </m:e>
              </m:d>
            </m:num>
            <m:den>
              <m:sSub>
                <m:sSubPr>
                  <m:ctrlPr>
                    <w:rPr>
                      <w:rFonts w:ascii="Cambria Math" w:hAnsi="Arial" w:cs="Arial"/>
                      <w:i/>
                      <w:highlight w:val="red"/>
                    </w:rPr>
                  </m:ctrlPr>
                </m:sSubPr>
                <m:e>
                  <m:r>
                    <w:rPr>
                      <w:rFonts w:ascii="Cambria Math" w:hAnsi="Cambria Math" w:cs="Arial"/>
                      <w:highlight w:val="red"/>
                    </w:rPr>
                    <m:t>C</m:t>
                  </m:r>
                </m:e>
                <m:sub>
                  <m:r>
                    <w:rPr>
                      <w:rFonts w:ascii="Cambria Math" w:hAnsi="Cambria Math" w:cs="Arial"/>
                      <w:highlight w:val="red"/>
                    </w:rPr>
                    <m:t>II</m:t>
                  </m:r>
                </m:sub>
              </m:sSub>
            </m:den>
          </m:f>
        </m:oMath>
      </m:oMathPara>
    </w:p>
    <w:p w:rsidR="005D52CE" w:rsidRPr="005D52CE" w:rsidRDefault="005D52CE" w:rsidP="005D52CE">
      <w:pPr>
        <w:spacing w:after="0" w:line="360" w:lineRule="auto"/>
        <w:jc w:val="both"/>
        <w:rPr>
          <w:rFonts w:eastAsiaTheme="minorEastAsia" w:cstheme="minorHAnsi"/>
          <w:highlight w:val="red"/>
        </w:rPr>
      </w:pPr>
      <w:r w:rsidRPr="005D52CE">
        <w:rPr>
          <w:rFonts w:eastAsiaTheme="minorEastAsia" w:cstheme="minorHAnsi"/>
          <w:highlight w:val="red"/>
        </w:rPr>
        <w:t xml:space="preserve">Donde considerando a </w:t>
      </w:r>
      <m:oMath>
        <m:sSub>
          <m:sSubPr>
            <m:ctrlPr>
              <w:rPr>
                <w:rFonts w:ascii="Cambria Math" w:hAnsi="Cambria Math" w:cstheme="minorHAnsi"/>
                <w:highlight w:val="red"/>
              </w:rPr>
            </m:ctrlPr>
          </m:sSubPr>
          <m:e>
            <m:r>
              <m:rPr>
                <m:sty m:val="p"/>
              </m:rPr>
              <w:rPr>
                <w:rFonts w:ascii="Cambria Math" w:cstheme="minorHAnsi"/>
                <w:highlight w:val="red"/>
              </w:rPr>
              <m:t>C</m:t>
            </m:r>
          </m:e>
          <m:sub>
            <m:r>
              <m:rPr>
                <m:sty m:val="p"/>
              </m:rPr>
              <w:rPr>
                <w:rFonts w:ascii="Cambria Math" w:cstheme="minorHAnsi"/>
                <w:highlight w:val="red"/>
              </w:rPr>
              <m:t>I</m:t>
            </m:r>
          </m:sub>
        </m:sSub>
      </m:oMath>
      <w:r w:rsidRPr="005D52CE">
        <w:rPr>
          <w:rFonts w:eastAsiaTheme="minorEastAsia" w:cstheme="minorHAnsi"/>
          <w:highlight w:val="red"/>
        </w:rPr>
        <w:t xml:space="preserve"> como la sumatoria de todas las capacidades conectadas a la salida de la primera etapa y a </w:t>
      </w:r>
      <m:oMath>
        <m:sSub>
          <m:sSubPr>
            <m:ctrlPr>
              <w:rPr>
                <w:rFonts w:ascii="Cambria Math" w:hAnsi="Cambria Math" w:cstheme="minorHAnsi"/>
                <w:highlight w:val="red"/>
              </w:rPr>
            </m:ctrlPr>
          </m:sSubPr>
          <m:e>
            <m:r>
              <m:rPr>
                <m:sty m:val="p"/>
              </m:rPr>
              <w:rPr>
                <w:rFonts w:ascii="Cambria Math" w:cstheme="minorHAnsi"/>
                <w:highlight w:val="red"/>
              </w:rPr>
              <m:t>C</m:t>
            </m:r>
          </m:e>
          <m:sub>
            <m:r>
              <m:rPr>
                <m:sty m:val="p"/>
              </m:rPr>
              <w:rPr>
                <w:rFonts w:ascii="Cambria Math" w:cstheme="minorHAnsi"/>
                <w:highlight w:val="red"/>
              </w:rPr>
              <m:t>II</m:t>
            </m:r>
          </m:sub>
        </m:sSub>
      </m:oMath>
      <w:r w:rsidRPr="005D52CE">
        <w:rPr>
          <w:rFonts w:eastAsiaTheme="minorEastAsia" w:cstheme="minorHAnsi"/>
          <w:highlight w:val="red"/>
        </w:rPr>
        <w:t xml:space="preserve"> como la sumatoria de todas las capacidades conectadas a la salida de la segunda etapa.</w:t>
      </w:r>
    </w:p>
    <w:p w:rsidR="005D52CE" w:rsidRPr="005D52CE" w:rsidRDefault="005D52CE" w:rsidP="005D52CE">
      <w:pPr>
        <w:spacing w:after="0" w:line="360" w:lineRule="auto"/>
        <w:jc w:val="both"/>
        <w:rPr>
          <w:rFonts w:eastAsiaTheme="minorEastAsia" w:cstheme="minorHAnsi"/>
          <w:highlight w:val="red"/>
        </w:rPr>
      </w:pPr>
      <w:r w:rsidRPr="005D52CE">
        <w:rPr>
          <w:rFonts w:eastAsiaTheme="minorEastAsia" w:cstheme="minorHAnsi"/>
          <w:highlight w:val="red"/>
        </w:rPr>
        <w:t>La respuesta en frecuencia del comparador de dos etapas puede ser expresado como:</w:t>
      </w:r>
    </w:p>
    <w:p w:rsidR="005D52CE" w:rsidRPr="00994624" w:rsidRDefault="00BE2D8C" w:rsidP="005D52CE">
      <w:pPr>
        <w:spacing w:after="0" w:line="360" w:lineRule="auto"/>
        <w:jc w:val="center"/>
        <w:rPr>
          <w:rFonts w:ascii="Arial" w:eastAsiaTheme="minorEastAsia" w:hAnsi="Arial" w:cs="Arial"/>
          <w:i/>
        </w:rPr>
      </w:pPr>
      <m:oMathPara>
        <m:oMath>
          <m:sSub>
            <m:sSubPr>
              <m:ctrlPr>
                <w:rPr>
                  <w:rFonts w:ascii="Cambria Math" w:hAnsi="Arial" w:cs="Arial"/>
                  <w:i/>
                  <w:sz w:val="24"/>
                  <w:highlight w:val="red"/>
                </w:rPr>
              </m:ctrlPr>
            </m:sSubPr>
            <m:e>
              <m:r>
                <w:rPr>
                  <w:rFonts w:ascii="Cambria Math" w:hAnsi="Cambria Math" w:cs="Arial"/>
                  <w:sz w:val="24"/>
                  <w:highlight w:val="red"/>
                </w:rPr>
                <m:t>A</m:t>
              </m:r>
            </m:e>
            <m:sub>
              <m:r>
                <w:rPr>
                  <w:rFonts w:ascii="Cambria Math" w:hAnsi="Cambria Math" w:cs="Arial"/>
                  <w:sz w:val="24"/>
                  <w:highlight w:val="red"/>
                </w:rPr>
                <m:t>v</m:t>
              </m:r>
            </m:sub>
          </m:sSub>
          <m:d>
            <m:dPr>
              <m:ctrlPr>
                <w:rPr>
                  <w:rFonts w:ascii="Cambria Math" w:hAnsi="Arial" w:cs="Arial"/>
                  <w:i/>
                  <w:sz w:val="24"/>
                  <w:highlight w:val="red"/>
                </w:rPr>
              </m:ctrlPr>
            </m:dPr>
            <m:e>
              <m:r>
                <w:rPr>
                  <w:rFonts w:ascii="Cambria Math" w:hAnsi="Cambria Math" w:cs="Arial"/>
                  <w:sz w:val="24"/>
                  <w:highlight w:val="red"/>
                </w:rPr>
                <m:t>s</m:t>
              </m:r>
            </m:e>
          </m:d>
          <m:r>
            <w:rPr>
              <w:rFonts w:ascii="Cambria Math" w:hAnsi="Arial" w:cs="Arial"/>
              <w:sz w:val="24"/>
              <w:highlight w:val="red"/>
            </w:rPr>
            <m:t>=</m:t>
          </m:r>
          <m:f>
            <m:fPr>
              <m:ctrlPr>
                <w:rPr>
                  <w:rFonts w:ascii="Cambria Math" w:hAnsi="Arial" w:cs="Arial"/>
                  <w:i/>
                  <w:sz w:val="24"/>
                  <w:highlight w:val="red"/>
                </w:rPr>
              </m:ctrlPr>
            </m:fPr>
            <m:num>
              <m:sSub>
                <m:sSubPr>
                  <m:ctrlPr>
                    <w:rPr>
                      <w:rFonts w:ascii="Cambria Math" w:hAnsi="Arial" w:cs="Arial"/>
                      <w:i/>
                      <w:sz w:val="24"/>
                      <w:highlight w:val="red"/>
                    </w:rPr>
                  </m:ctrlPr>
                </m:sSubPr>
                <m:e>
                  <m:r>
                    <w:rPr>
                      <w:rFonts w:ascii="Cambria Math" w:hAnsi="Cambria Math" w:cs="Arial"/>
                      <w:sz w:val="24"/>
                      <w:highlight w:val="red"/>
                    </w:rPr>
                    <m:t>A</m:t>
                  </m:r>
                </m:e>
                <m:sub>
                  <m:r>
                    <w:rPr>
                      <w:rFonts w:ascii="Cambria Math" w:hAnsi="Cambria Math" w:cs="Arial"/>
                      <w:sz w:val="24"/>
                      <w:highlight w:val="red"/>
                    </w:rPr>
                    <m:t>v</m:t>
                  </m:r>
                </m:sub>
              </m:sSub>
              <m:d>
                <m:dPr>
                  <m:ctrlPr>
                    <w:rPr>
                      <w:rFonts w:ascii="Cambria Math" w:hAnsi="Arial" w:cs="Arial"/>
                      <w:i/>
                      <w:sz w:val="24"/>
                      <w:highlight w:val="red"/>
                    </w:rPr>
                  </m:ctrlPr>
                </m:dPr>
                <m:e>
                  <m:r>
                    <w:rPr>
                      <w:rFonts w:ascii="Cambria Math" w:hAnsi="Arial" w:cs="Arial"/>
                      <w:sz w:val="24"/>
                      <w:highlight w:val="red"/>
                    </w:rPr>
                    <m:t>0</m:t>
                  </m:r>
                </m:e>
              </m:d>
            </m:num>
            <m:den>
              <m:d>
                <m:dPr>
                  <m:ctrlPr>
                    <w:rPr>
                      <w:rFonts w:ascii="Cambria Math" w:hAnsi="Arial" w:cs="Arial"/>
                      <w:i/>
                      <w:sz w:val="24"/>
                      <w:highlight w:val="red"/>
                    </w:rPr>
                  </m:ctrlPr>
                </m:dPr>
                <m:e>
                  <m:f>
                    <m:fPr>
                      <m:ctrlPr>
                        <w:rPr>
                          <w:rFonts w:ascii="Cambria Math" w:hAnsi="Arial" w:cs="Arial"/>
                          <w:i/>
                          <w:sz w:val="24"/>
                          <w:highlight w:val="red"/>
                        </w:rPr>
                      </m:ctrlPr>
                    </m:fPr>
                    <m:num>
                      <m:r>
                        <w:rPr>
                          <w:rFonts w:ascii="Cambria Math" w:hAnsi="Cambria Math" w:cs="Arial"/>
                          <w:sz w:val="24"/>
                          <w:highlight w:val="red"/>
                        </w:rPr>
                        <m:t>s</m:t>
                      </m:r>
                    </m:num>
                    <m:den>
                      <m:sSub>
                        <m:sSubPr>
                          <m:ctrlPr>
                            <w:rPr>
                              <w:rFonts w:ascii="Cambria Math" w:hAnsi="Arial" w:cs="Arial"/>
                              <w:i/>
                              <w:sz w:val="24"/>
                              <w:highlight w:val="red"/>
                            </w:rPr>
                          </m:ctrlPr>
                        </m:sSubPr>
                        <m:e>
                          <m:r>
                            <w:rPr>
                              <w:rFonts w:ascii="Cambria Math" w:hAnsi="Cambria Math" w:cs="Arial"/>
                              <w:sz w:val="24"/>
                              <w:highlight w:val="red"/>
                            </w:rPr>
                            <m:t>p</m:t>
                          </m:r>
                        </m:e>
                        <m:sub>
                          <m:r>
                            <w:rPr>
                              <w:rFonts w:ascii="Cambria Math" w:hAnsi="Arial" w:cs="Arial"/>
                              <w:sz w:val="24"/>
                              <w:highlight w:val="red"/>
                            </w:rPr>
                            <m:t>1</m:t>
                          </m:r>
                        </m:sub>
                      </m:sSub>
                    </m:den>
                  </m:f>
                  <m:r>
                    <w:rPr>
                      <w:rFonts w:ascii="Cambria Math" w:hAnsi="Cambria Math" w:cs="Arial"/>
                      <w:sz w:val="24"/>
                      <w:highlight w:val="red"/>
                    </w:rPr>
                    <m:t>-</m:t>
                  </m:r>
                  <m:r>
                    <w:rPr>
                      <w:rFonts w:ascii="Cambria Math" w:hAnsi="Arial" w:cs="Arial"/>
                      <w:sz w:val="24"/>
                      <w:highlight w:val="red"/>
                    </w:rPr>
                    <m:t>1</m:t>
                  </m:r>
                </m:e>
              </m:d>
              <m:d>
                <m:dPr>
                  <m:ctrlPr>
                    <w:rPr>
                      <w:rFonts w:ascii="Cambria Math" w:hAnsi="Arial" w:cs="Arial"/>
                      <w:i/>
                      <w:sz w:val="24"/>
                      <w:highlight w:val="red"/>
                    </w:rPr>
                  </m:ctrlPr>
                </m:dPr>
                <m:e>
                  <m:f>
                    <m:fPr>
                      <m:ctrlPr>
                        <w:rPr>
                          <w:rFonts w:ascii="Cambria Math" w:hAnsi="Arial" w:cs="Arial"/>
                          <w:i/>
                          <w:sz w:val="24"/>
                          <w:highlight w:val="red"/>
                        </w:rPr>
                      </m:ctrlPr>
                    </m:fPr>
                    <m:num>
                      <m:r>
                        <w:rPr>
                          <w:rFonts w:ascii="Cambria Math" w:hAnsi="Cambria Math" w:cs="Arial"/>
                          <w:sz w:val="24"/>
                          <w:highlight w:val="red"/>
                        </w:rPr>
                        <m:t>s</m:t>
                      </m:r>
                    </m:num>
                    <m:den>
                      <m:sSub>
                        <m:sSubPr>
                          <m:ctrlPr>
                            <w:rPr>
                              <w:rFonts w:ascii="Cambria Math" w:hAnsi="Arial" w:cs="Arial"/>
                              <w:i/>
                              <w:sz w:val="24"/>
                              <w:highlight w:val="red"/>
                            </w:rPr>
                          </m:ctrlPr>
                        </m:sSubPr>
                        <m:e>
                          <m:r>
                            <w:rPr>
                              <w:rFonts w:ascii="Cambria Math" w:hAnsi="Cambria Math" w:cs="Arial"/>
                              <w:sz w:val="24"/>
                              <w:highlight w:val="red"/>
                            </w:rPr>
                            <m:t>p</m:t>
                          </m:r>
                        </m:e>
                        <m:sub>
                          <m:r>
                            <w:rPr>
                              <w:rFonts w:ascii="Cambria Math" w:hAnsi="Arial" w:cs="Arial"/>
                              <w:sz w:val="24"/>
                              <w:highlight w:val="red"/>
                            </w:rPr>
                            <m:t>2</m:t>
                          </m:r>
                        </m:sub>
                      </m:sSub>
                    </m:den>
                  </m:f>
                  <m:r>
                    <w:rPr>
                      <w:rFonts w:ascii="Cambria Math" w:hAnsi="Cambria Math" w:cs="Arial"/>
                      <w:sz w:val="24"/>
                      <w:highlight w:val="red"/>
                    </w:rPr>
                    <m:t>-</m:t>
                  </m:r>
                  <m:r>
                    <w:rPr>
                      <w:rFonts w:ascii="Cambria Math" w:hAnsi="Arial" w:cs="Arial"/>
                      <w:sz w:val="24"/>
                      <w:highlight w:val="red"/>
                    </w:rPr>
                    <m:t>1</m:t>
                  </m:r>
                </m:e>
              </m:d>
            </m:den>
          </m:f>
        </m:oMath>
      </m:oMathPara>
    </w:p>
    <w:p w:rsidR="005D52CE" w:rsidRDefault="005D52CE" w:rsidP="005D52CE">
      <w:pPr>
        <w:pStyle w:val="Epgrafe"/>
        <w:rPr>
          <w:sz w:val="28"/>
          <w:szCs w:val="28"/>
        </w:rPr>
      </w:pPr>
      <w:r>
        <w:rPr>
          <w:sz w:val="28"/>
          <w:szCs w:val="28"/>
        </w:rP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 mencionamos anteriormente. Con esto queremos lograr una rápida respuesta del mismo, ya que será usado en la primera etapa de la lógica del conversor Flash, encargado de generar el código termómetro a partir de la comparación de la tensión de la señal de entrada con tensiones de referencia definidas. La velocidad y resolución de respuesta de este comparador va a</w:t>
      </w:r>
      <w:r>
        <w:rPr>
          <w:highlight w:val="yellow"/>
        </w:rPr>
        <w:t xml:space="preserve"> ser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701567" w:rsidP="00701567">
      <w:pPr>
        <w:rPr>
          <w:b/>
        </w:rPr>
      </w:pPr>
      <w:r w:rsidRPr="00564C70">
        <w:rPr>
          <w:b/>
        </w:rPr>
        <w:t>Características mínimas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tienen que estar 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El diseño y simulación del comparador fue iterativo, hasta lograr cumplir con las exigencias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9" w:name="_Ref256173376"/>
      <w:r>
        <w:t xml:space="preserve">Figura </w:t>
      </w:r>
      <w:fldSimple w:instr=" SEQ Figura \* ARABIC ">
        <w:r w:rsidR="00725B5A">
          <w:rPr>
            <w:noProof/>
          </w:rPr>
          <w:t>1</w:t>
        </w:r>
      </w:fldSimple>
      <w:bookmarkEnd w:id="9"/>
      <w:r>
        <w:t>) Esquemático del comparador.</w:t>
      </w:r>
    </w:p>
    <w:p w:rsidR="00FE774D" w:rsidRDefault="00701567">
      <w:r w:rsidRPr="00DA435F">
        <w:rPr>
          <w:highlight w:val="yellow"/>
        </w:rPr>
        <w:t xml:space="preserve">Para determinar </w:t>
      </w:r>
      <w:r>
        <w:rPr>
          <w:highlight w:val="yellow"/>
        </w:rPr>
        <w:t xml:space="preserve">las características del diseño realizamos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de las condiciones de </w:t>
      </w:r>
      <w:proofErr w:type="spellStart"/>
      <w:r>
        <w:rPr>
          <w:highlight w:val="yellow"/>
        </w:rPr>
        <w:t>Bias</w:t>
      </w:r>
      <w:proofErr w:type="spellEnd"/>
      <w:r>
        <w:rPr>
          <w:highlight w:val="yellow"/>
        </w:rPr>
        <w:t xml:space="preserve"> en el cual trabajaría el comparador dentro del Flash.</w:t>
      </w:r>
    </w:p>
    <w:p w:rsidR="00701567" w:rsidRPr="007E0CBF" w:rsidRDefault="00701567">
      <w:pPr>
        <w:rPr>
          <w:b/>
          <w:u w:val="single"/>
        </w:rPr>
      </w:pPr>
      <w:r w:rsidRPr="007E0CBF">
        <w:rPr>
          <w:b/>
          <w:highlight w:val="yellow"/>
          <w:u w:val="single"/>
        </w:rPr>
        <w:lastRenderedPageBreak/>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proofErr w:type="spellStart"/>
      <w:r w:rsidR="00844CA1">
        <w:rPr>
          <w:highlight w:val="yellow"/>
        </w:rPr>
        <w:t>Tension</w:t>
      </w:r>
      <w:proofErr w:type="spellEnd"/>
      <w:r w:rsidR="00844CA1">
        <w:rPr>
          <w:highlight w:val="yellow"/>
        </w:rPr>
        <w:t xml:space="preserve"> a modo común de las entradas diferenciales.</w:t>
      </w:r>
    </w:p>
    <w:p w:rsidR="00844CA1" w:rsidRDefault="00844CA1" w:rsidP="00844CA1">
      <w:pPr>
        <w:pStyle w:val="Prrafodelista"/>
        <w:numPr>
          <w:ilvl w:val="0"/>
          <w:numId w:val="1"/>
        </w:numPr>
        <w:rPr>
          <w:highlight w:val="yellow"/>
        </w:rPr>
      </w:pPr>
      <w:r>
        <w:rPr>
          <w:highlight w:val="yellow"/>
        </w:rPr>
        <w:t>La curva de color VERDE es la tensión diferencial entre las entradas diferenciales.</w:t>
      </w:r>
    </w:p>
    <w:p w:rsidR="00844CA1" w:rsidRDefault="00844CA1" w:rsidP="00844CA1">
      <w:pPr>
        <w:pStyle w:val="Prrafodelista"/>
        <w:numPr>
          <w:ilvl w:val="0"/>
          <w:numId w:val="1"/>
        </w:numPr>
        <w:rPr>
          <w:highlight w:val="yellow"/>
        </w:rPr>
      </w:pPr>
      <w:r>
        <w:rPr>
          <w:highlight w:val="yellow"/>
        </w:rPr>
        <w:t>La cuerva de color ROJO es la salida de la etapa diferencial.</w:t>
      </w:r>
    </w:p>
    <w:p w:rsidR="00844CA1" w:rsidRDefault="00844CA1" w:rsidP="00844CA1">
      <w:pPr>
        <w:pStyle w:val="Prrafodelista"/>
        <w:numPr>
          <w:ilvl w:val="0"/>
          <w:numId w:val="1"/>
        </w:numPr>
        <w:rPr>
          <w:highlight w:val="yellow"/>
        </w:rPr>
      </w:pPr>
      <w:r>
        <w:rPr>
          <w:highlight w:val="yellow"/>
        </w:rPr>
        <w:t>La cuerva de color AZUL es la salida de la segunda etapa del comparador.</w:t>
      </w:r>
    </w:p>
    <w:p w:rsidR="00844CA1" w:rsidRDefault="007E0CBF" w:rsidP="007E0CBF">
      <w:pPr>
        <w:rPr>
          <w:highlight w:val="yellow"/>
        </w:rPr>
      </w:pPr>
      <w:r w:rsidRPr="007E0CBF">
        <w:rPr>
          <w:highlight w:val="yellow"/>
        </w:rPr>
        <w:t>De la simulación obtenemos los siguientes datos del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lastRenderedPageBreak/>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F43922" w:rsidP="00D24EA4">
      <w:pPr>
        <w:pStyle w:val="Prrafodelista"/>
        <w:numPr>
          <w:ilvl w:val="1"/>
          <w:numId w:val="1"/>
        </w:numPr>
        <w:rPr>
          <w:highlight w:val="yellow"/>
        </w:rPr>
      </w:pPr>
      <w:r>
        <w:rPr>
          <w:highlight w:val="yellow"/>
        </w:rPr>
        <w:t xml:space="preserve">La curva de color VERDE es la salida de la </w:t>
      </w:r>
      <w:proofErr w:type="spellStart"/>
      <w:r>
        <w:rPr>
          <w:highlight w:val="yellow"/>
        </w:rPr>
        <w:t>estapa</w:t>
      </w:r>
      <w:proofErr w:type="spellEnd"/>
      <w:r>
        <w:rPr>
          <w:highlight w:val="yellow"/>
        </w:rPr>
        <w:t xml:space="preserve"> diferencial.</w:t>
      </w:r>
    </w:p>
    <w:p w:rsidR="00F43922" w:rsidRDefault="00F43922" w:rsidP="00D24EA4">
      <w:pPr>
        <w:pStyle w:val="Prrafodelista"/>
        <w:numPr>
          <w:ilvl w:val="1"/>
          <w:numId w:val="1"/>
        </w:numPr>
        <w:rPr>
          <w:highlight w:val="yellow"/>
        </w:rPr>
      </w:pPr>
      <w:r>
        <w:rPr>
          <w:highlight w:val="yellow"/>
        </w:rPr>
        <w:t>La curva de color ROJO es la salida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F43922" w:rsidP="00F43922">
      <w:pPr>
        <w:pStyle w:val="Prrafodelista"/>
        <w:numPr>
          <w:ilvl w:val="1"/>
          <w:numId w:val="1"/>
        </w:numPr>
        <w:rPr>
          <w:highlight w:val="yellow"/>
        </w:rPr>
      </w:pPr>
      <w:r>
        <w:rPr>
          <w:highlight w:val="yellow"/>
        </w:rPr>
        <w:lastRenderedPageBreak/>
        <w:t>La curva de color VERDE es la señal de entrada tipo ESCALON.</w:t>
      </w:r>
    </w:p>
    <w:p w:rsidR="00F43922" w:rsidRDefault="00F43922" w:rsidP="00F43922">
      <w:pPr>
        <w:rPr>
          <w:highlight w:val="yellow"/>
        </w:rPr>
      </w:pPr>
      <w:r w:rsidRPr="007E0CBF">
        <w:rPr>
          <w:highlight w:val="yellow"/>
        </w:rPr>
        <w:t>De la simulación obtenemos los siguientes datos del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F43922" w:rsidRDefault="00F43922" w:rsidP="00F43922">
      <w:pPr>
        <w:rPr>
          <w:highlight w:val="yellow"/>
          <w:lang w:val="en-US"/>
        </w:rPr>
      </w:pPr>
    </w:p>
    <w:sectPr w:rsidR="00F43922" w:rsidRPr="00F43922"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01567"/>
    <w:rsid w:val="000C0D80"/>
    <w:rsid w:val="00145285"/>
    <w:rsid w:val="00171C31"/>
    <w:rsid w:val="005D52CE"/>
    <w:rsid w:val="00701567"/>
    <w:rsid w:val="00725B5A"/>
    <w:rsid w:val="007E0CBF"/>
    <w:rsid w:val="00844CA1"/>
    <w:rsid w:val="00984660"/>
    <w:rsid w:val="00BE2D8C"/>
    <w:rsid w:val="00CA3164"/>
    <w:rsid w:val="00CE188A"/>
    <w:rsid w:val="00D24EA4"/>
    <w:rsid w:val="00F43922"/>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15364-8909-4465-982E-5B03442B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1577</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6</cp:revision>
  <dcterms:created xsi:type="dcterms:W3CDTF">2010-06-09T14:29:00Z</dcterms:created>
  <dcterms:modified xsi:type="dcterms:W3CDTF">2010-06-14T20:52:00Z</dcterms:modified>
</cp:coreProperties>
</file>