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BE6" w:rsidRPr="004A21B8" w:rsidRDefault="004F0BE6" w:rsidP="004F0BE6">
      <w:pPr>
        <w:jc w:val="center"/>
        <w:rPr>
          <w:b/>
          <w:i/>
          <w:sz w:val="72"/>
          <w:szCs w:val="96"/>
        </w:rPr>
      </w:pPr>
      <w:r w:rsidRPr="004A21B8">
        <w:rPr>
          <w:b/>
          <w:i/>
          <w:sz w:val="72"/>
          <w:szCs w:val="96"/>
        </w:rPr>
        <w:t>CONVERSOR</w:t>
      </w:r>
      <w:r>
        <w:rPr>
          <w:b/>
          <w:i/>
          <w:sz w:val="72"/>
          <w:szCs w:val="96"/>
        </w:rPr>
        <w:t xml:space="preserve"> FLASH</w:t>
      </w:r>
      <w:r w:rsidRPr="004A21B8">
        <w:rPr>
          <w:b/>
          <w:i/>
          <w:sz w:val="72"/>
          <w:szCs w:val="96"/>
        </w:rPr>
        <w:br w:type="page"/>
      </w:r>
    </w:p>
    <w:p w:rsidR="004F0BE6" w:rsidRDefault="004F0BE6" w:rsidP="004F0BE6">
      <w:r>
        <w:lastRenderedPageBreak/>
        <w:t>La arquitectura con la que optamos trabajar es una arquitectura de conversión paralela tipo Flash de 6 bits de resolución. Su gran ventaja es la velocidad con la cual una conversión se puede llevar a cabo, cada pulso de reloj puede generar una palabra digital de salida. La contracara es que para cada bit extra de resolución del conversor, tenemos una duplicación de la cantidad de comparadores requeridos, aumentando así el área comprendida por el dispositivo.</w:t>
      </w:r>
    </w:p>
    <w:p w:rsidR="004F0BE6" w:rsidRDefault="004F0BE6" w:rsidP="004F0BE6">
      <w:r>
        <w:rPr>
          <w:noProof/>
          <w:lang w:eastAsia="es-AR"/>
        </w:rPr>
        <w:drawing>
          <wp:inline distT="0" distB="0" distL="0" distR="0">
            <wp:extent cx="2339678" cy="3600000"/>
            <wp:effectExtent l="19050" t="0" r="3472"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6" cstate="print"/>
                    <a:srcRect/>
                    <a:stretch>
                      <a:fillRect/>
                    </a:stretch>
                  </pic:blipFill>
                  <pic:spPr bwMode="auto">
                    <a:xfrm>
                      <a:off x="0" y="0"/>
                      <a:ext cx="2339678" cy="3600000"/>
                    </a:xfrm>
                    <a:prstGeom prst="rect">
                      <a:avLst/>
                    </a:prstGeom>
                    <a:noFill/>
                    <a:ln w="9525">
                      <a:noFill/>
                      <a:miter lim="800000"/>
                      <a:headEnd/>
                      <a:tailEnd/>
                    </a:ln>
                  </pic:spPr>
                </pic:pic>
              </a:graphicData>
            </a:graphic>
          </wp:inline>
        </w:drawing>
      </w:r>
      <w:r>
        <w:rPr>
          <w:noProof/>
          <w:lang w:eastAsia="es-AR"/>
        </w:rPr>
        <w:drawing>
          <wp:inline distT="0" distB="0" distL="0" distR="0">
            <wp:extent cx="2701137" cy="2880000"/>
            <wp:effectExtent l="19050" t="0" r="396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7" cstate="print"/>
                    <a:srcRect/>
                    <a:stretch>
                      <a:fillRect/>
                    </a:stretch>
                  </pic:blipFill>
                  <pic:spPr bwMode="auto">
                    <a:xfrm>
                      <a:off x="0" y="0"/>
                      <a:ext cx="2701137" cy="2880000"/>
                    </a:xfrm>
                    <a:prstGeom prst="rect">
                      <a:avLst/>
                    </a:prstGeom>
                    <a:noFill/>
                    <a:ln w="9525">
                      <a:noFill/>
                      <a:miter lim="800000"/>
                      <a:headEnd/>
                      <a:tailEnd/>
                    </a:ln>
                  </pic:spPr>
                </pic:pic>
              </a:graphicData>
            </a:graphic>
          </wp:inline>
        </w:drawing>
      </w:r>
    </w:p>
    <w:p w:rsidR="004F0BE6" w:rsidRDefault="004F0BE6" w:rsidP="004F0BE6">
      <w:pPr>
        <w:pStyle w:val="Epgrafe"/>
      </w:pPr>
      <w:bookmarkStart w:id="0" w:name="_Ref256172852"/>
      <w:r>
        <w:t xml:space="preserve">Figura </w:t>
      </w:r>
      <w:fldSimple w:instr=" SEQ Figura \* ARABIC ">
        <w:r>
          <w:rPr>
            <w:noProof/>
          </w:rPr>
          <w:t>9</w:t>
        </w:r>
      </w:fldSimple>
      <w:bookmarkEnd w:id="0"/>
      <w:r>
        <w:t>) Diagrama conceptual de un conversor Flash A/D.</w:t>
      </w:r>
    </w:p>
    <w:p w:rsidR="004F0BE6" w:rsidRDefault="004F0BE6" w:rsidP="004F0BE6">
      <w:r>
        <w:t xml:space="preserve">Como se ve en la </w:t>
      </w:r>
      <w:fldSimple w:instr=" REF _Ref256172852 \h  \* MERGEFORMAT ">
        <w:r w:rsidRPr="0063234E">
          <w:rPr>
            <w:color w:val="4F81BD" w:themeColor="accent1"/>
          </w:rPr>
          <w:t xml:space="preserve">Figura </w:t>
        </w:r>
        <w:r w:rsidRPr="0063234E">
          <w:rPr>
            <w:noProof/>
            <w:color w:val="4F81BD" w:themeColor="accent1"/>
          </w:rPr>
          <w:t>9</w:t>
        </w:r>
      </w:fldSimple>
      <w:r>
        <w:t>, se utiliza un comparador por cuantizacion de nivel (2</w:t>
      </w:r>
      <w:r>
        <w:rPr>
          <w:vertAlign w:val="superscript"/>
        </w:rPr>
        <w:t>N</w:t>
      </w:r>
      <w:r>
        <w:t>-1) y 2</w:t>
      </w:r>
      <w:r>
        <w:rPr>
          <w:vertAlign w:val="superscript"/>
        </w:rPr>
        <w:t>N</w:t>
      </w:r>
      <w:r>
        <w:t xml:space="preserve"> resistencias (una cadena de resistencias). El divisor resistivo es empleado para generar 2</w:t>
      </w:r>
      <w:r>
        <w:rPr>
          <w:vertAlign w:val="superscript"/>
        </w:rPr>
        <w:t>N</w:t>
      </w:r>
      <w:r>
        <w:t xml:space="preserve"> valores de tensiones de referencia, de los cuales cada uno de ellos alimenta la entrada de un comparador (para la </w:t>
      </w:r>
      <w:r w:rsidRPr="00A059F0">
        <w:rPr>
          <w:color w:val="4F81BD" w:themeColor="accent1"/>
        </w:rPr>
        <w:t>Figura 9</w:t>
      </w:r>
      <w:r>
        <w:t>, del C</w:t>
      </w:r>
      <w:r>
        <w:rPr>
          <w:vertAlign w:val="subscript"/>
        </w:rPr>
        <w:t xml:space="preserve">7 </w:t>
      </w:r>
      <w:r>
        <w:t>al C</w:t>
      </w:r>
      <w:r>
        <w:rPr>
          <w:vertAlign w:val="subscript"/>
        </w:rPr>
        <w:t>1</w:t>
      </w:r>
      <w:r>
        <w:t xml:space="preserve">). El voltaje de entrada es comparado contra cada uno de estos valores de referencia y resulta en un código termómetro a la salida de los comparadores. Este código nos da como resultado valores “0”ceros si el valor de tensión de la señal de entrada </w:t>
      </w:r>
      <w:r w:rsidRPr="00B30CD9">
        <w:rPr>
          <w:i/>
        </w:rPr>
        <w:t>v</w:t>
      </w:r>
      <w:r w:rsidRPr="00B30CD9">
        <w:rPr>
          <w:i/>
          <w:vertAlign w:val="subscript"/>
        </w:rPr>
        <w:t>in</w:t>
      </w:r>
      <w:r>
        <w:rPr>
          <w:i/>
          <w:vertAlign w:val="subscript"/>
        </w:rPr>
        <w:t xml:space="preserve"> </w:t>
      </w:r>
      <w:r>
        <w:t xml:space="preserve">es menor comparado con cada nivel de tensión obtenida de la cadena de resistencias, y nos da como resultado “1”unos si </w:t>
      </w:r>
      <w:r w:rsidRPr="00B30CD9">
        <w:rPr>
          <w:i/>
        </w:rPr>
        <w:t>v</w:t>
      </w:r>
      <w:r w:rsidRPr="00B30CD9">
        <w:rPr>
          <w:i/>
          <w:vertAlign w:val="subscript"/>
        </w:rPr>
        <w:t>in</w:t>
      </w:r>
      <w:r>
        <w:t xml:space="preserve"> es mayor al voltaje de cada nivel de tensión de la cadena de resistencias. El código termómetro generado por los comparadores es conectado a la entrada de la lógica decodificadora la cual nos devuelve como resultado el dato digital.</w:t>
      </w:r>
      <w:r>
        <w:rPr>
          <w:rStyle w:val="Refdenotaalfinal"/>
        </w:rPr>
        <w:endnoteReference w:id="1"/>
      </w:r>
    </w:p>
    <w:p w:rsidR="004F0BE6" w:rsidRDefault="004F0BE6" w:rsidP="004F0BE6">
      <w:r>
        <w:br w:type="page"/>
      </w:r>
    </w:p>
    <w:p w:rsidR="0007302E" w:rsidRDefault="0007302E" w:rsidP="0007302E">
      <w:pPr>
        <w:jc w:val="center"/>
        <w:rPr>
          <w:b/>
          <w:i/>
          <w:sz w:val="72"/>
          <w:szCs w:val="96"/>
        </w:rPr>
      </w:pPr>
      <w:r>
        <w:rPr>
          <w:b/>
          <w:i/>
          <w:sz w:val="72"/>
          <w:szCs w:val="96"/>
        </w:rPr>
        <w:lastRenderedPageBreak/>
        <w:t>CONVERSOR FLASH A/D de 6 bits.</w:t>
      </w:r>
    </w:p>
    <w:p w:rsidR="0007302E" w:rsidRDefault="0007302E" w:rsidP="0007302E">
      <w:pPr>
        <w:rPr>
          <w:b/>
          <w:i/>
          <w:sz w:val="72"/>
          <w:szCs w:val="96"/>
        </w:rPr>
      </w:pPr>
      <w:r>
        <w:rPr>
          <w:b/>
          <w:i/>
          <w:sz w:val="72"/>
          <w:szCs w:val="96"/>
        </w:rPr>
        <w:br w:type="page"/>
      </w:r>
    </w:p>
    <w:p w:rsidR="0007302E" w:rsidRDefault="0007302E" w:rsidP="0007302E">
      <w:pPr>
        <w:rPr>
          <w:b/>
          <w:sz w:val="28"/>
        </w:rPr>
      </w:pPr>
      <w:r>
        <w:rPr>
          <w:b/>
          <w:sz w:val="28"/>
        </w:rPr>
        <w:lastRenderedPageBreak/>
        <w:t>Diseño del Conversor Flash.</w:t>
      </w:r>
    </w:p>
    <w:p w:rsidR="0007302E" w:rsidRDefault="0007302E" w:rsidP="0007302E">
      <w:r>
        <w:rPr>
          <w:highlight w:val="yellow"/>
        </w:rPr>
        <w:t xml:space="preserve">El diseño del conversor está representado en los siguientes esquemáticos. En las </w:t>
      </w:r>
      <w:r>
        <w:rPr>
          <w:highlight w:val="yellow"/>
        </w:rPr>
        <w:fldChar w:fldCharType="begin"/>
      </w:r>
      <w:r>
        <w:rPr>
          <w:highlight w:val="yellow"/>
        </w:rPr>
        <w:instrText xml:space="preserve"> REF _Ref257653292 \h </w:instrText>
      </w:r>
      <w:r>
        <w:rPr>
          <w:highlight w:val="yellow"/>
        </w:rPr>
      </w:r>
      <w:r>
        <w:rPr>
          <w:highlight w:val="yellow"/>
        </w:rPr>
        <w:fldChar w:fldCharType="separate"/>
      </w:r>
      <w:r>
        <w:t xml:space="preserve">Figura </w:t>
      </w:r>
      <w:r>
        <w:rPr>
          <w:noProof/>
        </w:rPr>
        <w:t>77</w:t>
      </w:r>
      <w:r>
        <w:rPr>
          <w:highlight w:val="yellow"/>
        </w:rPr>
        <w:fldChar w:fldCharType="end"/>
      </w:r>
      <w:r>
        <w:rPr>
          <w:highlight w:val="yellow"/>
        </w:rPr>
        <w:t xml:space="preserve"> y </w:t>
      </w:r>
      <w:r>
        <w:rPr>
          <w:highlight w:val="yellow"/>
        </w:rPr>
        <w:fldChar w:fldCharType="begin"/>
      </w:r>
      <w:r>
        <w:rPr>
          <w:highlight w:val="yellow"/>
        </w:rPr>
        <w:instrText xml:space="preserve"> REF _Ref257653301 \h </w:instrText>
      </w:r>
      <w:r>
        <w:rPr>
          <w:highlight w:val="yellow"/>
        </w:rPr>
      </w:r>
      <w:r>
        <w:rPr>
          <w:highlight w:val="yellow"/>
        </w:rPr>
        <w:fldChar w:fldCharType="separate"/>
      </w:r>
      <w:r>
        <w:t xml:space="preserve">Figura </w:t>
      </w:r>
      <w:r>
        <w:rPr>
          <w:noProof/>
        </w:rPr>
        <w:t>78</w:t>
      </w:r>
      <w:r>
        <w:rPr>
          <w:highlight w:val="yellow"/>
        </w:rPr>
        <w:fldChar w:fldCharType="end"/>
      </w:r>
      <w:r>
        <w:rPr>
          <w:highlight w:val="yellow"/>
        </w:rPr>
        <w:t xml:space="preserve"> tenemos los esquemáticos representando los 63 comparadores en los cuales los terminales de entrada positiva (IN+) están conectados independientemente a las diferentes tensiones de referencias, generadas por la escalera de resistencias. En sus terminales de entrada negativa (IN-) se conecta la señal de entrada a convertir (Va), la cual es la misma para todos los comparados, así también como lo es la tensión de bias (Vbias) utilizada para polarizar el transistor inferior en el par diferencial. En el tercer esquemático (</w:t>
      </w:r>
      <w:r>
        <w:rPr>
          <w:highlight w:val="yellow"/>
        </w:rPr>
        <w:fldChar w:fldCharType="begin"/>
      </w:r>
      <w:r>
        <w:rPr>
          <w:highlight w:val="yellow"/>
        </w:rPr>
        <w:instrText xml:space="preserve"> REF _Ref257653322 \h </w:instrText>
      </w:r>
      <w:r>
        <w:rPr>
          <w:highlight w:val="yellow"/>
        </w:rPr>
      </w:r>
      <w:r>
        <w:rPr>
          <w:highlight w:val="yellow"/>
        </w:rPr>
        <w:fldChar w:fldCharType="separate"/>
      </w:r>
      <w:r>
        <w:t xml:space="preserve">Figura </w:t>
      </w:r>
      <w:r>
        <w:rPr>
          <w:noProof/>
        </w:rPr>
        <w:t>79</w:t>
      </w:r>
      <w:r>
        <w:rPr>
          <w:highlight w:val="yellow"/>
        </w:rPr>
        <w:fldChar w:fldCharType="end"/>
      </w:r>
      <w:r>
        <w:rPr>
          <w:highlight w:val="yellow"/>
        </w:rPr>
        <w:t xml:space="preserve">) tenemos el decodificar de 6 bits con sus 63 entradas, las cuales se encuentran conectadas a las salidas de los comparadores de las </w:t>
      </w:r>
      <w:r>
        <w:rPr>
          <w:highlight w:val="yellow"/>
        </w:rPr>
        <w:fldChar w:fldCharType="begin"/>
      </w:r>
      <w:r>
        <w:rPr>
          <w:highlight w:val="yellow"/>
        </w:rPr>
        <w:instrText xml:space="preserve"> REF _Ref257653292 \h </w:instrText>
      </w:r>
      <w:r>
        <w:rPr>
          <w:highlight w:val="yellow"/>
        </w:rPr>
      </w:r>
      <w:r>
        <w:rPr>
          <w:highlight w:val="yellow"/>
        </w:rPr>
        <w:fldChar w:fldCharType="separate"/>
      </w:r>
      <w:r>
        <w:t xml:space="preserve">Figura </w:t>
      </w:r>
      <w:r>
        <w:rPr>
          <w:noProof/>
        </w:rPr>
        <w:t>77</w:t>
      </w:r>
      <w:r>
        <w:rPr>
          <w:highlight w:val="yellow"/>
        </w:rPr>
        <w:fldChar w:fldCharType="end"/>
      </w:r>
      <w:r>
        <w:rPr>
          <w:highlight w:val="yellow"/>
        </w:rPr>
        <w:t xml:space="preserve"> y </w:t>
      </w:r>
      <w:r>
        <w:rPr>
          <w:highlight w:val="yellow"/>
        </w:rPr>
        <w:fldChar w:fldCharType="begin"/>
      </w:r>
      <w:r>
        <w:rPr>
          <w:highlight w:val="yellow"/>
        </w:rPr>
        <w:instrText xml:space="preserve"> REF _Ref257653301 \h </w:instrText>
      </w:r>
      <w:r>
        <w:rPr>
          <w:highlight w:val="yellow"/>
        </w:rPr>
      </w:r>
      <w:r>
        <w:rPr>
          <w:highlight w:val="yellow"/>
        </w:rPr>
        <w:fldChar w:fldCharType="separate"/>
      </w:r>
      <w:r>
        <w:t xml:space="preserve">Figura </w:t>
      </w:r>
      <w:r>
        <w:rPr>
          <w:noProof/>
        </w:rPr>
        <w:t>78</w:t>
      </w:r>
      <w:r>
        <w:rPr>
          <w:highlight w:val="yellow"/>
        </w:rPr>
        <w:fldChar w:fldCharType="end"/>
      </w:r>
      <w:r>
        <w:rPr>
          <w:highlight w:val="yellow"/>
        </w:rPr>
        <w:t>. A la salida del decodificar encontramos el registro del conversor flash, el cual está formado por 6 flip-flops D encargados de mantener el valor de la conversión del decodificador hasta que una nueva decodificación sea completada, la cual es informada por el flanco de subida de una señal de reloj.</w:t>
      </w:r>
    </w:p>
    <w:p w:rsidR="0007302E" w:rsidRDefault="0007302E" w:rsidP="0007302E">
      <w:r>
        <w:rPr>
          <w:noProof/>
          <w:lang w:eastAsia="es-AR"/>
        </w:rPr>
        <w:drawing>
          <wp:inline distT="0" distB="0" distL="0" distR="0">
            <wp:extent cx="5613400" cy="4158615"/>
            <wp:effectExtent l="19050" t="0" r="635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cstate="print"/>
                    <a:srcRect/>
                    <a:stretch>
                      <a:fillRect/>
                    </a:stretch>
                  </pic:blipFill>
                  <pic:spPr bwMode="auto">
                    <a:xfrm>
                      <a:off x="0" y="0"/>
                      <a:ext cx="5613400" cy="4158615"/>
                    </a:xfrm>
                    <a:prstGeom prst="rect">
                      <a:avLst/>
                    </a:prstGeom>
                    <a:noFill/>
                    <a:ln w="9525">
                      <a:noFill/>
                      <a:miter lim="800000"/>
                      <a:headEnd/>
                      <a:tailEnd/>
                    </a:ln>
                  </pic:spPr>
                </pic:pic>
              </a:graphicData>
            </a:graphic>
          </wp:inline>
        </w:drawing>
      </w:r>
    </w:p>
    <w:p w:rsidR="0007302E" w:rsidRDefault="0007302E" w:rsidP="0007302E">
      <w:pPr>
        <w:pStyle w:val="Epgrafe"/>
      </w:pPr>
      <w:bookmarkStart w:id="1" w:name="_Ref257653292"/>
      <w:r>
        <w:t xml:space="preserve">Figura </w:t>
      </w:r>
      <w:fldSimple w:instr=" SEQ Figura \* ARABIC ">
        <w:r>
          <w:rPr>
            <w:noProof/>
          </w:rPr>
          <w:t>77</w:t>
        </w:r>
      </w:fldSimple>
      <w:bookmarkEnd w:id="1"/>
      <w:r>
        <w:t>) Esquemático del Conversor Flash (1 de 3)</w:t>
      </w:r>
    </w:p>
    <w:p w:rsidR="0007302E" w:rsidRDefault="0007302E" w:rsidP="0007302E">
      <w:r>
        <w:rPr>
          <w:noProof/>
          <w:lang w:eastAsia="es-AR"/>
        </w:rPr>
        <w:lastRenderedPageBreak/>
        <w:drawing>
          <wp:inline distT="0" distB="0" distL="0" distR="0">
            <wp:extent cx="5613400" cy="415036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13400" cy="4150360"/>
                    </a:xfrm>
                    <a:prstGeom prst="rect">
                      <a:avLst/>
                    </a:prstGeom>
                    <a:noFill/>
                    <a:ln w="9525">
                      <a:noFill/>
                      <a:miter lim="800000"/>
                      <a:headEnd/>
                      <a:tailEnd/>
                    </a:ln>
                  </pic:spPr>
                </pic:pic>
              </a:graphicData>
            </a:graphic>
          </wp:inline>
        </w:drawing>
      </w:r>
    </w:p>
    <w:p w:rsidR="0007302E" w:rsidRDefault="0007302E" w:rsidP="0007302E">
      <w:pPr>
        <w:pStyle w:val="Epgrafe"/>
      </w:pPr>
      <w:bookmarkStart w:id="2" w:name="_Ref257653301"/>
      <w:r>
        <w:t xml:space="preserve">Figura </w:t>
      </w:r>
      <w:fldSimple w:instr=" SEQ Figura \* ARABIC ">
        <w:r>
          <w:rPr>
            <w:noProof/>
          </w:rPr>
          <w:t>78</w:t>
        </w:r>
      </w:fldSimple>
      <w:bookmarkEnd w:id="2"/>
      <w:r>
        <w:t>) Esquematico del Conversor Flash (2 de 3)</w:t>
      </w:r>
    </w:p>
    <w:p w:rsidR="0007302E" w:rsidRDefault="0007302E" w:rsidP="0007302E">
      <w:r>
        <w:rPr>
          <w:noProof/>
          <w:lang w:eastAsia="es-AR"/>
        </w:rPr>
        <w:drawing>
          <wp:inline distT="0" distB="0" distL="0" distR="0">
            <wp:extent cx="5136515" cy="3235960"/>
            <wp:effectExtent l="19050" t="0" r="6985"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cstate="print"/>
                    <a:srcRect/>
                    <a:stretch>
                      <a:fillRect/>
                    </a:stretch>
                  </pic:blipFill>
                  <pic:spPr bwMode="auto">
                    <a:xfrm>
                      <a:off x="0" y="0"/>
                      <a:ext cx="5136515" cy="3235960"/>
                    </a:xfrm>
                    <a:prstGeom prst="rect">
                      <a:avLst/>
                    </a:prstGeom>
                    <a:noFill/>
                    <a:ln w="9525">
                      <a:noFill/>
                      <a:miter lim="800000"/>
                      <a:headEnd/>
                      <a:tailEnd/>
                    </a:ln>
                  </pic:spPr>
                </pic:pic>
              </a:graphicData>
            </a:graphic>
          </wp:inline>
        </w:drawing>
      </w:r>
    </w:p>
    <w:p w:rsidR="0007302E" w:rsidRDefault="0007302E" w:rsidP="0007302E">
      <w:pPr>
        <w:pStyle w:val="Epgrafe"/>
      </w:pPr>
      <w:bookmarkStart w:id="3" w:name="_Ref257653322"/>
      <w:r>
        <w:t xml:space="preserve">Figura </w:t>
      </w:r>
      <w:fldSimple w:instr=" SEQ Figura \* ARABIC ">
        <w:r>
          <w:rPr>
            <w:noProof/>
          </w:rPr>
          <w:t>79</w:t>
        </w:r>
      </w:fldSimple>
      <w:bookmarkEnd w:id="3"/>
      <w:r>
        <w:t>) Esquemático del Conversor Flash (3 de 3)</w:t>
      </w:r>
    </w:p>
    <w:p w:rsidR="0007302E" w:rsidRDefault="0007302E" w:rsidP="0007302E">
      <w:r>
        <w:rPr>
          <w:highlight w:val="yellow"/>
        </w:rPr>
        <w:lastRenderedPageBreak/>
        <w:t xml:space="preserve">En la </w:t>
      </w:r>
      <w:fldSimple w:instr=" REF _Ref258337305 \h  \* MERGEFORMAT ">
        <w:r>
          <w:rPr>
            <w:highlight w:val="yellow"/>
          </w:rPr>
          <w:t xml:space="preserve">Figura </w:t>
        </w:r>
        <w:r>
          <w:rPr>
            <w:noProof/>
            <w:highlight w:val="yellow"/>
          </w:rPr>
          <w:t>80</w:t>
        </w:r>
      </w:fldSimple>
      <w:r>
        <w:rPr>
          <w:highlight w:val="yellow"/>
        </w:rPr>
        <w:t xml:space="preserve"> tenemos el esquemático completo del Conversor Flash. El bloque de nombre U2 se encuentra conformado por los esquemáticos de las </w:t>
      </w:r>
      <w:fldSimple w:instr=" REF _Ref257653292 \h  \* MERGEFORMAT ">
        <w:r>
          <w:rPr>
            <w:highlight w:val="yellow"/>
          </w:rPr>
          <w:t xml:space="preserve">Figura </w:t>
        </w:r>
        <w:r>
          <w:rPr>
            <w:noProof/>
            <w:highlight w:val="yellow"/>
          </w:rPr>
          <w:t>77</w:t>
        </w:r>
      </w:fldSimple>
      <w:r>
        <w:rPr>
          <w:highlight w:val="yellow"/>
        </w:rPr>
        <w:t xml:space="preserve">, </w:t>
      </w:r>
      <w:fldSimple w:instr=" REF _Ref257653301 \h  \* MERGEFORMAT ">
        <w:r>
          <w:rPr>
            <w:highlight w:val="yellow"/>
          </w:rPr>
          <w:t xml:space="preserve">Figura </w:t>
        </w:r>
        <w:r>
          <w:rPr>
            <w:noProof/>
            <w:highlight w:val="yellow"/>
          </w:rPr>
          <w:t>78</w:t>
        </w:r>
      </w:fldSimple>
      <w:r>
        <w:rPr>
          <w:highlight w:val="yellow"/>
        </w:rPr>
        <w:t xml:space="preserve"> y </w:t>
      </w:r>
      <w:fldSimple w:instr=" REF _Ref257653322 \h  \* MERGEFORMAT ">
        <w:r>
          <w:rPr>
            <w:highlight w:val="yellow"/>
          </w:rPr>
          <w:t xml:space="preserve">Figura </w:t>
        </w:r>
        <w:r>
          <w:rPr>
            <w:noProof/>
            <w:highlight w:val="yellow"/>
          </w:rPr>
          <w:t>79</w:t>
        </w:r>
      </w:fldSimple>
      <w:r>
        <w:rPr>
          <w:highlight w:val="yellow"/>
        </w:rPr>
        <w:t>. Los bloques R-DIV son las escaleras de resistencias de las cuales obtenemos las diferentes tensiones de referencia que son utilizadas por los comparadores dentro del bloque U2 para realizar la conversión a código termómetro.</w:t>
      </w:r>
    </w:p>
    <w:p w:rsidR="0007302E" w:rsidRDefault="0007302E" w:rsidP="0007302E">
      <w:r>
        <w:rPr>
          <w:noProof/>
          <w:lang w:eastAsia="es-AR"/>
        </w:rPr>
        <w:drawing>
          <wp:inline distT="0" distB="0" distL="0" distR="0">
            <wp:extent cx="4079240" cy="3244215"/>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cstate="print"/>
                    <a:srcRect/>
                    <a:stretch>
                      <a:fillRect/>
                    </a:stretch>
                  </pic:blipFill>
                  <pic:spPr bwMode="auto">
                    <a:xfrm>
                      <a:off x="0" y="0"/>
                      <a:ext cx="4079240" cy="3244215"/>
                    </a:xfrm>
                    <a:prstGeom prst="rect">
                      <a:avLst/>
                    </a:prstGeom>
                    <a:noFill/>
                    <a:ln w="9525">
                      <a:noFill/>
                      <a:miter lim="800000"/>
                      <a:headEnd/>
                      <a:tailEnd/>
                    </a:ln>
                  </pic:spPr>
                </pic:pic>
              </a:graphicData>
            </a:graphic>
          </wp:inline>
        </w:drawing>
      </w:r>
    </w:p>
    <w:p w:rsidR="0007302E" w:rsidRDefault="0007302E" w:rsidP="0007302E">
      <w:pPr>
        <w:pStyle w:val="Epgrafe"/>
      </w:pPr>
      <w:bookmarkStart w:id="4" w:name="_Ref258337305"/>
      <w:r>
        <w:t xml:space="preserve">Figura </w:t>
      </w:r>
      <w:fldSimple w:instr=" SEQ Figura \* ARABIC ">
        <w:r>
          <w:rPr>
            <w:noProof/>
          </w:rPr>
          <w:t>80</w:t>
        </w:r>
      </w:fldSimple>
      <w:bookmarkEnd w:id="4"/>
      <w:r>
        <w:t>) Estructura superior del Conversor Flash</w:t>
      </w:r>
    </w:p>
    <w:p w:rsidR="0007302E" w:rsidRDefault="0007302E" w:rsidP="0007302E">
      <w:r>
        <w:rPr>
          <w:highlight w:val="yellow"/>
        </w:rPr>
        <w:t>El nivel superior del Conversor Flash queda representado en el esquemático de la</w:t>
      </w:r>
      <w:r>
        <w:t xml:space="preserve"> </w:t>
      </w:r>
      <w:r>
        <w:rPr>
          <w:highlight w:val="yellow"/>
        </w:rPr>
        <w:fldChar w:fldCharType="begin"/>
      </w:r>
      <w:r>
        <w:instrText xml:space="preserve"> REF _Ref258341350 \h </w:instrText>
      </w:r>
      <w:r>
        <w:rPr>
          <w:highlight w:val="yellow"/>
        </w:rPr>
      </w:r>
      <w:r>
        <w:rPr>
          <w:highlight w:val="yellow"/>
        </w:rPr>
        <w:fldChar w:fldCharType="separate"/>
      </w:r>
      <w:r>
        <w:t xml:space="preserve">Figura </w:t>
      </w:r>
      <w:r>
        <w:rPr>
          <w:noProof/>
        </w:rPr>
        <w:t>81</w:t>
      </w:r>
      <w:r>
        <w:rPr>
          <w:highlight w:val="yellow"/>
        </w:rPr>
        <w:fldChar w:fldCharType="end"/>
      </w:r>
      <w:r>
        <w:t>.</w:t>
      </w:r>
    </w:p>
    <w:p w:rsidR="0007302E" w:rsidRDefault="0007302E" w:rsidP="0007302E">
      <w:r>
        <w:rPr>
          <w:noProof/>
          <w:lang w:eastAsia="es-AR"/>
        </w:rPr>
        <w:drawing>
          <wp:inline distT="0" distB="0" distL="0" distR="0">
            <wp:extent cx="4937760" cy="162179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srcRect/>
                    <a:stretch>
                      <a:fillRect/>
                    </a:stretch>
                  </pic:blipFill>
                  <pic:spPr bwMode="auto">
                    <a:xfrm>
                      <a:off x="0" y="0"/>
                      <a:ext cx="4937760" cy="1621790"/>
                    </a:xfrm>
                    <a:prstGeom prst="rect">
                      <a:avLst/>
                    </a:prstGeom>
                    <a:noFill/>
                    <a:ln w="9525">
                      <a:noFill/>
                      <a:miter lim="800000"/>
                      <a:headEnd/>
                      <a:tailEnd/>
                    </a:ln>
                  </pic:spPr>
                </pic:pic>
              </a:graphicData>
            </a:graphic>
          </wp:inline>
        </w:drawing>
      </w:r>
    </w:p>
    <w:p w:rsidR="0007302E" w:rsidRDefault="0007302E" w:rsidP="0007302E">
      <w:pPr>
        <w:pStyle w:val="Epgrafe"/>
      </w:pPr>
      <w:bookmarkStart w:id="5" w:name="_Ref258341350"/>
      <w:r>
        <w:t xml:space="preserve">Figura </w:t>
      </w:r>
      <w:fldSimple w:instr=" SEQ Figura \* ARABIC ">
        <w:r>
          <w:rPr>
            <w:noProof/>
          </w:rPr>
          <w:t>81</w:t>
        </w:r>
      </w:fldSimple>
      <w:bookmarkEnd w:id="5"/>
      <w:r>
        <w:t>) Esquematico del componente Conversor Flash</w:t>
      </w:r>
    </w:p>
    <w:p w:rsidR="00FE774D" w:rsidRDefault="0007302E">
      <w:r>
        <w:t>V</w:t>
      </w:r>
    </w:p>
    <w:sectPr w:rsidR="00FE774D"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40A2" w:rsidRDefault="00AB40A2" w:rsidP="004F0BE6">
      <w:pPr>
        <w:spacing w:after="0" w:line="240" w:lineRule="auto"/>
      </w:pPr>
      <w:r>
        <w:separator/>
      </w:r>
    </w:p>
  </w:endnote>
  <w:endnote w:type="continuationSeparator" w:id="0">
    <w:p w:rsidR="00AB40A2" w:rsidRDefault="00AB40A2" w:rsidP="004F0BE6">
      <w:pPr>
        <w:spacing w:after="0" w:line="240" w:lineRule="auto"/>
      </w:pPr>
      <w:r>
        <w:continuationSeparator/>
      </w:r>
    </w:p>
  </w:endnote>
  <w:endnote w:id="1">
    <w:p w:rsidR="004F0BE6" w:rsidRPr="00430574" w:rsidRDefault="004F0BE6" w:rsidP="004F0BE6">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352-360 y 985-987.</w:t>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40A2" w:rsidRDefault="00AB40A2" w:rsidP="004F0BE6">
      <w:pPr>
        <w:spacing w:after="0" w:line="240" w:lineRule="auto"/>
      </w:pPr>
      <w:r>
        <w:separator/>
      </w:r>
    </w:p>
  </w:footnote>
  <w:footnote w:type="continuationSeparator" w:id="0">
    <w:p w:rsidR="00AB40A2" w:rsidRDefault="00AB40A2" w:rsidP="004F0BE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4F0BE6"/>
    <w:rsid w:val="0007302E"/>
    <w:rsid w:val="00314508"/>
    <w:rsid w:val="004F0BE6"/>
    <w:rsid w:val="00AB40A2"/>
    <w:rsid w:val="00C21658"/>
    <w:rsid w:val="00E963BF"/>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BE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uiPriority w:val="35"/>
    <w:unhideWhenUsed/>
    <w:qFormat/>
    <w:rsid w:val="004F0BE6"/>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F0B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F0BE6"/>
    <w:rPr>
      <w:sz w:val="20"/>
      <w:szCs w:val="20"/>
    </w:rPr>
  </w:style>
  <w:style w:type="character" w:styleId="Refdenotaalfinal">
    <w:name w:val="endnote reference"/>
    <w:basedOn w:val="Fuentedeprrafopredeter"/>
    <w:uiPriority w:val="99"/>
    <w:semiHidden/>
    <w:unhideWhenUsed/>
    <w:rsid w:val="004F0BE6"/>
    <w:rPr>
      <w:vertAlign w:val="superscript"/>
    </w:rPr>
  </w:style>
  <w:style w:type="paragraph" w:styleId="Textodeglobo">
    <w:name w:val="Balloon Text"/>
    <w:basedOn w:val="Normal"/>
    <w:link w:val="TextodegloboCar"/>
    <w:uiPriority w:val="99"/>
    <w:semiHidden/>
    <w:unhideWhenUsed/>
    <w:rsid w:val="004F0B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0B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6761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600</Words>
  <Characters>3305</Characters>
  <Application>Microsoft Office Word</Application>
  <DocSecurity>0</DocSecurity>
  <Lines>27</Lines>
  <Paragraphs>7</Paragraphs>
  <ScaleCrop>false</ScaleCrop>
  <Company/>
  <LinksUpToDate>false</LinksUpToDate>
  <CharactersWithSpaces>3898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3</cp:revision>
  <dcterms:created xsi:type="dcterms:W3CDTF">2010-06-24T23:45:00Z</dcterms:created>
  <dcterms:modified xsi:type="dcterms:W3CDTF">2010-06-24T23:47:00Z</dcterms:modified>
</cp:coreProperties>
</file>