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514846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AC4FCB" w:rsidRDefault="00AC4FCB">
          <w:pPr>
            <w:pStyle w:val="TtulodeTDC"/>
          </w:pPr>
          <w:r>
            <w:t>Contenido</w:t>
          </w:r>
        </w:p>
        <w:p w:rsidR="00AC4FCB" w:rsidRDefault="00AC4FCB">
          <w:pPr>
            <w:rPr>
              <w:lang w:val="es-ES"/>
            </w:rPr>
          </w:pPr>
          <w:r>
            <w:rPr>
              <w:lang w:val="es-ES"/>
            </w:rPr>
            <w:fldChar w:fldCharType="begin"/>
          </w:r>
          <w:r>
            <w:rPr>
              <w:lang w:val="es-ES"/>
            </w:rPr>
            <w:instrText xml:space="preserve"> TOC \o "1-3" \h \z \u </w:instrText>
          </w:r>
          <w:r>
            <w:rPr>
              <w:lang w:val="es-ES"/>
            </w:rPr>
            <w:fldChar w:fldCharType="separate"/>
          </w:r>
          <w:r>
            <w:rPr>
              <w:b/>
              <w:bCs/>
              <w:noProof/>
              <w:lang w:val="es-ES"/>
            </w:rPr>
            <w:t>No se encontraron elementos de tabla de contenido.</w:t>
          </w:r>
          <w:r>
            <w:rPr>
              <w:lang w:val="es-ES"/>
            </w:rPr>
            <w:fldChar w:fldCharType="end"/>
          </w:r>
        </w:p>
      </w:sdtContent>
    </w:sdt>
    <w:p w:rsidR="00AC4FCB" w:rsidRDefault="00AC4FCB">
      <w:pPr>
        <w:rPr>
          <w:lang w:val="es-ES"/>
        </w:rPr>
      </w:pPr>
      <w:r>
        <w:rPr>
          <w:lang w:val="es-ES"/>
        </w:rPr>
        <w:br w:type="page"/>
      </w:r>
    </w:p>
    <w:p w:rsidR="00AC4FCB" w:rsidRPr="00B078B2" w:rsidRDefault="00AC4FCB" w:rsidP="00B078B2">
      <w:pPr>
        <w:pStyle w:val="Ttulo1"/>
        <w:rPr>
          <w:rStyle w:val="apple-style-span"/>
        </w:rPr>
      </w:pPr>
      <w:r>
        <w:rPr>
          <w:lang w:val="es-ES"/>
        </w:rPr>
        <w:lastRenderedPageBreak/>
        <w:fldChar w:fldCharType="begin"/>
      </w:r>
      <w:r>
        <w:rPr>
          <w:lang w:val="es-ES"/>
        </w:rPr>
        <w:instrText xml:space="preserve"> INCLUDETEXT  "D:\\Documents\\TESIS\\fiocs\\Documentation\\Documentacion\\INTRODUCCION.docx" </w:instrText>
      </w:r>
      <w:r>
        <w:rPr>
          <w:lang w:val="es-ES"/>
        </w:rPr>
        <w:fldChar w:fldCharType="separate"/>
      </w:r>
      <w:bookmarkStart w:id="0" w:name="_Toc266984377"/>
      <w:r w:rsidRPr="00B078B2">
        <w:rPr>
          <w:rStyle w:val="apple-style-span"/>
        </w:rPr>
        <w:t>INTRODUCCIÓN</w:t>
      </w:r>
      <w:bookmarkEnd w:id="0"/>
    </w:p>
    <w:p w:rsidR="00AC4FCB" w:rsidRDefault="00AC4FCB" w:rsidP="00B078B2">
      <w:pPr>
        <w:pStyle w:val="ParrafoTESIS"/>
        <w:rPr>
          <w:rStyle w:val="apple-style-span"/>
        </w:rPr>
      </w:pPr>
      <w:r w:rsidRPr="0022402B">
        <w:rPr>
          <w:rStyle w:val="apple-style-span"/>
        </w:rPr>
        <w:t xml:space="preserve">La ininterrumpida y progresiva </w:t>
      </w:r>
      <w:r>
        <w:rPr>
          <w:rStyle w:val="apple-style-span"/>
        </w:rPr>
        <w:t xml:space="preserve">evolución de circuitos integrados ha llevado a la dramática reducción </w:t>
      </w:r>
      <w:r w:rsidRPr="0022402B">
        <w:rPr>
          <w:rStyle w:val="apple-style-span"/>
        </w:rPr>
        <w:t>en los tamaños de los dispositivos micro</w:t>
      </w:r>
      <w:r>
        <w:rPr>
          <w:rStyle w:val="apple-style-span"/>
        </w:rPr>
        <w:t>-</w:t>
      </w:r>
      <w:r w:rsidRPr="0022402B">
        <w:rPr>
          <w:rStyle w:val="apple-style-span"/>
        </w:rPr>
        <w:t xml:space="preserve">electrónicos, </w:t>
      </w:r>
      <w:r>
        <w:rPr>
          <w:rStyle w:val="apple-style-span"/>
        </w:rPr>
        <w:t>haciéndolos</w:t>
      </w:r>
      <w:r w:rsidRPr="0022402B">
        <w:rPr>
          <w:rStyle w:val="apple-style-span"/>
        </w:rPr>
        <w:t xml:space="preserve"> cada vez más potentes </w:t>
      </w:r>
      <w:r>
        <w:rPr>
          <w:rStyle w:val="apple-style-span"/>
        </w:rPr>
        <w:t xml:space="preserve">y eficientes. Sin embargo, esta evolución </w:t>
      </w:r>
      <w:r w:rsidRPr="0022402B">
        <w:rPr>
          <w:rStyle w:val="apple-style-span"/>
        </w:rPr>
        <w:t>también ocasiona que estos sean cada vez más susceptibles a efectos de ionización por radiación</w:t>
      </w:r>
      <w:r>
        <w:rPr>
          <w:rStyle w:val="apple-style-span"/>
        </w:rPr>
        <w:t xml:space="preserve">, tendiendo a </w:t>
      </w:r>
      <w:r w:rsidRPr="0022402B">
        <w:rPr>
          <w:rStyle w:val="apple-style-span"/>
        </w:rPr>
        <w:t xml:space="preserve">un límite en el cual la vulnerabilidad a errores causados por agentes externos es </w:t>
      </w:r>
      <w:r>
        <w:rPr>
          <w:rStyle w:val="apple-style-span"/>
        </w:rPr>
        <w:t>mayor</w:t>
      </w:r>
      <w:r w:rsidRPr="0022402B">
        <w:rPr>
          <w:rStyle w:val="apple-style-span"/>
        </w:rPr>
        <w:t xml:space="preserve">, reduciendo la </w:t>
      </w:r>
      <w:r>
        <w:rPr>
          <w:rStyle w:val="apple-style-span"/>
        </w:rPr>
        <w:t>con</w:t>
      </w:r>
      <w:r w:rsidRPr="0022402B">
        <w:rPr>
          <w:rStyle w:val="apple-style-span"/>
        </w:rPr>
        <w:t>fiabilidad de los circuitos considera</w:t>
      </w:r>
      <w:r>
        <w:rPr>
          <w:rStyle w:val="apple-style-span"/>
        </w:rPr>
        <w:t>blemente</w:t>
      </w:r>
      <w:r w:rsidRPr="0022402B">
        <w:rPr>
          <w:rStyle w:val="apple-style-span"/>
        </w:rPr>
        <w:t>.</w:t>
      </w:r>
    </w:p>
    <w:p w:rsidR="00AC4FCB" w:rsidRDefault="00AC4FCB" w:rsidP="00B078B2">
      <w:pPr>
        <w:pStyle w:val="ParrafoTESIS"/>
        <w:rPr>
          <w:rStyle w:val="apple-style-span"/>
        </w:rPr>
      </w:pPr>
      <w:r>
        <w:rPr>
          <w:rStyle w:val="apple-style-span"/>
        </w:rPr>
        <w:t>La radiación ionizante produce diferentes efectos sobre los dispositivos electrónicos. En circuitos digitales como una celda de memoria, esta falla puede observarse como una variación de un nivel lógico almacenado, mientras que en circuitos analógicos, se manifiesta como una variación transitoria de un determinado nivel. Dependiendo de su energía, estos efectos pueden producir hasta la destrucción del elemento semiconductor en el que impactan. En el primer capítulo se describirá el fenómeno de manera más detallada.</w:t>
      </w:r>
    </w:p>
    <w:p w:rsidR="00AC4FCB" w:rsidRDefault="00AC4FCB" w:rsidP="00B078B2">
      <w:pPr>
        <w:pStyle w:val="ParrafoTESIS"/>
        <w:rPr>
          <w:rStyle w:val="apple-style-span"/>
        </w:rPr>
      </w:pPr>
      <w:r>
        <w:rPr>
          <w:rStyle w:val="apple-style-span"/>
        </w:rPr>
        <w:t>Cuando estos componentes son elementos críticos de los sistemas, como equipamiento médico o espacial, el problema es aun mayor y la confiabilidad se vuelve un factor sumamente importante. Muchos de los dispositivos utilizados en estas áreas combinan dispositivos analógicos, digitales o mixtos.</w:t>
      </w:r>
    </w:p>
    <w:p w:rsidR="00AC4FCB" w:rsidRDefault="00AC4FCB" w:rsidP="00B078B2">
      <w:pPr>
        <w:pStyle w:val="ParrafoTESIS"/>
        <w:rPr>
          <w:rStyle w:val="apple-style-span"/>
        </w:rPr>
      </w:pPr>
      <w:r>
        <w:rPr>
          <w:rStyle w:val="apple-style-span"/>
        </w:rPr>
        <w:t>Debido a la gran cantidad de bibliografía enfocada en el estudio de las estructuras digitales, en este trabajo se optó por el análisis de los efectos transitorios en estructuras analógicas (Analog Single-Event Transient - ASET).</w:t>
      </w:r>
    </w:p>
    <w:p w:rsidR="00AC4FCB" w:rsidRDefault="00AC4FCB" w:rsidP="00B078B2">
      <w:pPr>
        <w:pStyle w:val="ParrafoTESIS"/>
        <w:rPr>
          <w:rStyle w:val="apple-style-span"/>
        </w:rPr>
      </w:pPr>
      <w:r>
        <w:rPr>
          <w:rStyle w:val="apple-style-span"/>
        </w:rPr>
        <w:t xml:space="preserve">Particularmente, se escogió un conversor analógico-digital (AD) del tipo flash, ya que suelen ser elementos críticos de los sistemas mencionados. Otro factor determinante, fue la estructura del conversor dividido en una etapa analógica y otra digital claramente diferenciadas,  permitiendo la inyección de fallas en la etapa analógica únicamente. A lo largo del segundo capítulo se explicará el sistema diseñado y sus especificaciones. </w:t>
      </w:r>
    </w:p>
    <w:p w:rsidR="00AC4FCB" w:rsidRPr="00941AFE" w:rsidRDefault="00AC4FCB" w:rsidP="00B078B2">
      <w:pPr>
        <w:pStyle w:val="ParrafoTESIS"/>
        <w:rPr>
          <w:rStyle w:val="apple-style-span"/>
        </w:rPr>
      </w:pPr>
      <w:r>
        <w:rPr>
          <w:rStyle w:val="apple-style-span"/>
        </w:rPr>
        <w:t>El conversor flash utilizado se diseñó con una palabra digital de salida de 6 bits, ya que para  este nivel de complejidad se generan más de diez mil puntos de inyección posibles. Con esta cantidad de puntos fue necesario diseñar un sistema automatizado de inyección y simulación paralela que permitiera acortar los tiempos del proceso. En los capítulos tres y cuatro, se hace referencia al sistema de inyección y análisis utilizado.</w:t>
      </w:r>
      <w:r w:rsidDel="005B206D">
        <w:rPr>
          <w:rStyle w:val="apple-style-span"/>
        </w:rPr>
        <w:t xml:space="preserve"> </w:t>
      </w:r>
      <w:r>
        <w:rPr>
          <w:rStyle w:val="apple-style-span"/>
        </w:rPr>
        <w:t>Se hará especial énfasis en la presentación de los resultados de la campaña de inyección, y se determinarán los nodos sensibles del diseño.</w:t>
      </w:r>
    </w:p>
    <w:p w:rsidR="00AC4FCB" w:rsidRDefault="00AC4FCB">
      <w:pPr>
        <w:rPr>
          <w:lang w:val="es-ES"/>
        </w:rPr>
      </w:pPr>
      <w:r>
        <w:rPr>
          <w:lang w:val="es-ES"/>
        </w:rPr>
        <w:fldChar w:fldCharType="end"/>
      </w:r>
    </w:p>
    <w:p w:rsidR="00AC4FCB" w:rsidRPr="00D16526" w:rsidRDefault="00AC4FCB" w:rsidP="00D16526">
      <w:pPr>
        <w:pStyle w:val="Ttulo1"/>
        <w:rPr>
          <w:rStyle w:val="apple-style-span"/>
        </w:rPr>
      </w:pPr>
      <w:r>
        <w:rPr>
          <w:lang w:val="es-ES"/>
        </w:rPr>
        <w:lastRenderedPageBreak/>
        <w:fldChar w:fldCharType="begin"/>
      </w:r>
      <w:r>
        <w:rPr>
          <w:lang w:val="es-ES"/>
        </w:rPr>
        <w:instrText xml:space="preserve"> INCLUDETEXT  "D:\\Documents\\TESIS\\fiocs\\Documentation\\Documentacion\\CAPITULO 1.docx" </w:instrText>
      </w:r>
      <w:r>
        <w:rPr>
          <w:lang w:val="es-ES"/>
        </w:rPr>
        <w:fldChar w:fldCharType="separate"/>
      </w:r>
      <w:bookmarkStart w:id="1" w:name="_Toc266984378"/>
      <w:r w:rsidRPr="00D16526">
        <w:rPr>
          <w:rStyle w:val="apple-style-span"/>
        </w:rPr>
        <w:t>CAPÍTULO 1: Evento transitorio único en estructuras analógicas</w:t>
      </w:r>
      <w:bookmarkEnd w:id="1"/>
      <w:r w:rsidRPr="00D16526">
        <w:rPr>
          <w:rStyle w:val="apple-style-span"/>
        </w:rPr>
        <w:t>.</w:t>
      </w:r>
    </w:p>
    <w:p w:rsidR="00AC4FCB" w:rsidRPr="007D445B" w:rsidRDefault="00AC4FCB" w:rsidP="002C4427">
      <w:pPr>
        <w:pStyle w:val="IntroCAPTESIS"/>
      </w:pPr>
      <w:r>
        <w:t>L</w:t>
      </w:r>
      <w:r w:rsidRPr="007D445B">
        <w:t>as alteraciones por eventos únicos fueran descubiertas en el espacio en 1975,</w:t>
      </w:r>
      <w:r>
        <w:t xml:space="preserve"> pero</w:t>
      </w:r>
      <w:r w:rsidRPr="007D445B">
        <w:t xml:space="preserve"> el potencial de los rayos cósmicos en producir alteraciones a nivel del mar recibió poca atención. Años más tarde, el trabajo de J. Ziegler</w:t>
      </w:r>
      <w:r>
        <w:t>,</w:t>
      </w:r>
      <w:r w:rsidRPr="007D445B">
        <w:t xml:space="preserve"> motivado por la labor de T. May y M. Woods, </w:t>
      </w:r>
      <w:r>
        <w:t>planteó</w:t>
      </w:r>
      <w:r w:rsidRPr="007D445B">
        <w:t xml:space="preserve"> una nueva preocupación para los fabricantes de memorias de computadoras. Pero no fue hasta 1992 que estos efectos comenzaron a cobrar mayor importancia debido a sus consecuencias en la aviación demostradas en </w:t>
      </w:r>
      <w:sdt>
        <w:sdtPr>
          <w:id w:val="829380"/>
          <w:citation/>
        </w:sdtPr>
        <w:sdtContent>
          <w:fldSimple w:instr=" CITATION Tab \l 11274 ">
            <w:r>
              <w:rPr>
                <w:noProof/>
              </w:rPr>
              <w:t>(1)</w:t>
            </w:r>
          </w:fldSimple>
        </w:sdtContent>
      </w:sdt>
      <w:sdt>
        <w:sdtPr>
          <w:id w:val="829381"/>
          <w:citation/>
        </w:sdtPr>
        <w:sdtContent>
          <w:fldSimple w:instr=" CITATION Nor96 \l 11274 ">
            <w:r>
              <w:rPr>
                <w:noProof/>
              </w:rPr>
              <w:t>(2)</w:t>
            </w:r>
          </w:fldSimple>
        </w:sdtContent>
      </w:sdt>
      <w:r w:rsidRPr="0032585D">
        <w:t>.</w:t>
      </w:r>
    </w:p>
    <w:p w:rsidR="00AC4FCB" w:rsidRPr="007D445B" w:rsidRDefault="00AC4FCB" w:rsidP="002C4427">
      <w:pPr>
        <w:pStyle w:val="IntroCAPTESIS"/>
      </w:pPr>
      <w:r>
        <w:t>En e</w:t>
      </w:r>
      <w:r w:rsidRPr="007D445B">
        <w:t xml:space="preserve">ste capítulo se </w:t>
      </w:r>
      <w:r>
        <w:t xml:space="preserve">brinda </w:t>
      </w:r>
      <w:r w:rsidRPr="007D445B">
        <w:t xml:space="preserve">un marco de referencia sobre los efectos producidos por eventos únicos. Comenzando por una definición formal, </w:t>
      </w:r>
      <w:r>
        <w:t>se</w:t>
      </w:r>
      <w:r w:rsidRPr="006F36DA">
        <w:t xml:space="preserve"> continuar</w:t>
      </w:r>
      <w:r>
        <w:t>á</w:t>
      </w:r>
      <w:r w:rsidRPr="006F36DA">
        <w:t xml:space="preserve"> </w:t>
      </w:r>
      <w:r>
        <w:t>con</w:t>
      </w:r>
      <w:r w:rsidRPr="006F36DA">
        <w:t xml:space="preserve"> las principales causas</w:t>
      </w:r>
      <w:r>
        <w:t xml:space="preserve"> que lo producen</w:t>
      </w:r>
      <w:r w:rsidRPr="006F36DA">
        <w:t xml:space="preserve"> para posteriormente pasar a una clasificación de</w:t>
      </w:r>
      <w:r>
        <w:t xml:space="preserve"> los efectos. Por último, </w:t>
      </w:r>
      <w:r w:rsidRPr="007D445B">
        <w:t>s</w:t>
      </w:r>
      <w:r>
        <w:t>e realizará</w:t>
      </w:r>
      <w:r w:rsidRPr="007D445B">
        <w:t xml:space="preserve"> una breve mención de los modelos empíricos más </w:t>
      </w:r>
      <w:r>
        <w:t>frecuentes,</w:t>
      </w:r>
      <w:r w:rsidRPr="007D445B">
        <w:t xml:space="preserve"> y los utilizados en este trabajo. </w:t>
      </w:r>
    </w:p>
    <w:p w:rsidR="00AC4FCB" w:rsidRPr="0047682D" w:rsidRDefault="00AC4FCB" w:rsidP="00F302F8">
      <w:pPr>
        <w:pStyle w:val="Ttulo2"/>
      </w:pPr>
      <w:bookmarkStart w:id="2" w:name="_Toc266984379"/>
      <w:r w:rsidRPr="00CC29BC">
        <w:rPr>
          <w:bCs w:val="0"/>
        </w:rPr>
        <w:t>1.</w:t>
      </w:r>
      <w:r w:rsidRPr="00CC29BC">
        <w:t>1</w:t>
      </w:r>
      <w:r>
        <w:t xml:space="preserve">) </w:t>
      </w:r>
      <w:r w:rsidRPr="0047682D">
        <w:t>CONCEPTO</w:t>
      </w:r>
      <w:bookmarkEnd w:id="2"/>
    </w:p>
    <w:p w:rsidR="00AC4FCB" w:rsidRPr="00544EF9" w:rsidRDefault="00AC4FCB" w:rsidP="00F302F8">
      <w:pPr>
        <w:pStyle w:val="Ttulo3"/>
      </w:pPr>
      <w:bookmarkStart w:id="3" w:name="_Toc266984380"/>
      <w:r w:rsidRPr="00544EF9">
        <w:t>1.1.1) Definición</w:t>
      </w:r>
      <w:bookmarkEnd w:id="3"/>
    </w:p>
    <w:p w:rsidR="00AC4FCB" w:rsidRPr="00DE714D" w:rsidRDefault="00AC4FCB" w:rsidP="002C4427">
      <w:pPr>
        <w:pStyle w:val="ParrafoTESIS"/>
      </w:pPr>
      <w:r w:rsidRPr="00DE714D">
        <w:t>Debido a la multiplicidad de definiciones, antes de comenzar con el análisis de los eventos transitorios, se presentará la definición adoptada en el trabajo. La siguiente, es tomada de la especificación JESD 89A publicada por Consejo de Ingeniería Electrónica Común (JEDEC por sus siglas en inglés):</w:t>
      </w:r>
    </w:p>
    <w:p w:rsidR="00AC4FCB" w:rsidRPr="00B97AEB" w:rsidRDefault="00AC4FCB" w:rsidP="002C4427">
      <w:pPr>
        <w:pStyle w:val="ParrafoTESIS"/>
        <w:rPr>
          <w:lang w:eastAsia="es-AR"/>
        </w:rPr>
      </w:pPr>
      <w:r w:rsidRPr="00B97AEB">
        <w:rPr>
          <w:lang w:eastAsia="es-AR"/>
        </w:rPr>
        <w:t xml:space="preserve">“Un </w:t>
      </w:r>
      <w:r>
        <w:rPr>
          <w:lang w:eastAsia="es-AR"/>
        </w:rPr>
        <w:t>Efecto de Evento Único</w:t>
      </w:r>
      <w:r w:rsidRPr="00B97AEB">
        <w:rPr>
          <w:lang w:eastAsia="es-AR"/>
        </w:rPr>
        <w:t xml:space="preserve"> (SEE) es cualquier cambio medible u observable, en el estado o rendimiento, de un dispositivo, componente, subsistema o sistema (analógico o digital) micro-electrónico, resultado del impacto de una</w:t>
      </w:r>
      <w:r>
        <w:rPr>
          <w:lang w:eastAsia="es-AR"/>
        </w:rPr>
        <w:t xml:space="preserve"> única</w:t>
      </w:r>
      <w:r w:rsidRPr="00B97AEB">
        <w:rPr>
          <w:lang w:eastAsia="es-AR"/>
        </w:rPr>
        <w:t xml:space="preserve"> partícula</w:t>
      </w:r>
      <w:r>
        <w:rPr>
          <w:lang w:eastAsia="es-AR"/>
        </w:rPr>
        <w:t xml:space="preserve"> </w:t>
      </w:r>
      <w:r w:rsidRPr="00B97AEB">
        <w:rPr>
          <w:lang w:eastAsia="es-AR"/>
        </w:rPr>
        <w:t>de alta energía.</w:t>
      </w:r>
    </w:p>
    <w:p w:rsidR="00AC4FCB" w:rsidRDefault="00AC4FCB" w:rsidP="002C4427">
      <w:pPr>
        <w:pStyle w:val="ParrafoTESIS"/>
        <w:rPr>
          <w:lang w:eastAsia="es-AR"/>
        </w:rPr>
      </w:pPr>
      <w:r w:rsidRPr="00B97AEB">
        <w:rPr>
          <w:lang w:eastAsia="es-AR"/>
        </w:rPr>
        <w:t xml:space="preserve">Los SEE incluyen, alteraciones de evento </w:t>
      </w:r>
      <w:r>
        <w:rPr>
          <w:lang w:eastAsia="es-AR"/>
        </w:rPr>
        <w:t>único</w:t>
      </w:r>
      <w:r w:rsidRPr="00B97AEB">
        <w:rPr>
          <w:lang w:eastAsia="es-AR"/>
        </w:rPr>
        <w:t xml:space="preserve"> (SEU), alteraciones de múltiples bits (MBU), alteraciones de múltiples celdas (MCU), interrupciones funcionales de evento </w:t>
      </w:r>
      <w:r>
        <w:rPr>
          <w:lang w:eastAsia="es-AR"/>
        </w:rPr>
        <w:t>único</w:t>
      </w:r>
      <w:r w:rsidRPr="00B97AEB">
        <w:rPr>
          <w:lang w:eastAsia="es-AR"/>
        </w:rPr>
        <w:t xml:space="preserve"> (SEFI), </w:t>
      </w:r>
      <w:r>
        <w:rPr>
          <w:lang w:eastAsia="es-AR"/>
        </w:rPr>
        <w:t>enclavamiento</w:t>
      </w:r>
      <w:r w:rsidRPr="00B97AEB">
        <w:rPr>
          <w:lang w:eastAsia="es-AR"/>
        </w:rPr>
        <w:t xml:space="preserve"> de evento </w:t>
      </w:r>
      <w:r>
        <w:rPr>
          <w:lang w:eastAsia="es-AR"/>
        </w:rPr>
        <w:t>único</w:t>
      </w:r>
      <w:r w:rsidRPr="00B97AEB">
        <w:rPr>
          <w:lang w:eastAsia="es-AR"/>
        </w:rPr>
        <w:t xml:space="preserve"> (SEL), </w:t>
      </w:r>
      <w:r>
        <w:rPr>
          <w:lang w:eastAsia="es-AR"/>
        </w:rPr>
        <w:t>errores físicos</w:t>
      </w:r>
      <w:r w:rsidRPr="00B97AEB">
        <w:rPr>
          <w:lang w:eastAsia="es-AR"/>
        </w:rPr>
        <w:t xml:space="preserve"> de evento </w:t>
      </w:r>
      <w:r>
        <w:rPr>
          <w:lang w:eastAsia="es-AR"/>
        </w:rPr>
        <w:t>único</w:t>
      </w:r>
      <w:r w:rsidRPr="00B97AEB">
        <w:rPr>
          <w:lang w:eastAsia="es-AR"/>
        </w:rPr>
        <w:t xml:space="preserve"> (SHE), transitorio de evento </w:t>
      </w:r>
      <w:r>
        <w:rPr>
          <w:lang w:eastAsia="es-AR"/>
        </w:rPr>
        <w:t>único</w:t>
      </w:r>
      <w:r w:rsidRPr="00B97AEB">
        <w:rPr>
          <w:lang w:eastAsia="es-AR"/>
        </w:rPr>
        <w:t xml:space="preserve"> (SET), </w:t>
      </w:r>
      <w:r>
        <w:rPr>
          <w:lang w:eastAsia="es-AR"/>
        </w:rPr>
        <w:t>destrucción</w:t>
      </w:r>
      <w:r w:rsidRPr="00B97AEB">
        <w:rPr>
          <w:lang w:eastAsia="es-AR"/>
        </w:rPr>
        <w:t xml:space="preserve"> de evento </w:t>
      </w:r>
      <w:r>
        <w:rPr>
          <w:lang w:eastAsia="es-AR"/>
        </w:rPr>
        <w:t>único</w:t>
      </w:r>
      <w:r w:rsidRPr="00B97AEB">
        <w:rPr>
          <w:lang w:eastAsia="es-AR"/>
        </w:rPr>
        <w:t xml:space="preserve"> (SEB), y ruptura de compuerta de evento </w:t>
      </w:r>
      <w:r>
        <w:rPr>
          <w:lang w:eastAsia="es-AR"/>
        </w:rPr>
        <w:t>único</w:t>
      </w:r>
      <w:r w:rsidRPr="00B97AEB">
        <w:rPr>
          <w:lang w:eastAsia="es-AR"/>
        </w:rPr>
        <w:t xml:space="preserve"> (SEGR).”</w:t>
      </w:r>
      <w:sdt>
        <w:sdtPr>
          <w:rPr>
            <w:lang w:eastAsia="es-AR"/>
          </w:rPr>
          <w:id w:val="829382"/>
          <w:citation/>
        </w:sdtPr>
        <w:sdtContent>
          <w:r>
            <w:rPr>
              <w:lang w:eastAsia="es-AR"/>
            </w:rPr>
            <w:fldChar w:fldCharType="begin"/>
          </w:r>
          <w:r>
            <w:rPr>
              <w:lang w:eastAsia="es-AR"/>
            </w:rPr>
            <w:instrText xml:space="preserve"> CITATION JED06 \l 11274 </w:instrText>
          </w:r>
          <w:r>
            <w:rPr>
              <w:lang w:eastAsia="es-AR"/>
            </w:rPr>
            <w:fldChar w:fldCharType="separate"/>
          </w:r>
          <w:r>
            <w:rPr>
              <w:noProof/>
              <w:lang w:eastAsia="es-AR"/>
            </w:rPr>
            <w:t>(3)</w:t>
          </w:r>
          <w:r>
            <w:rPr>
              <w:lang w:eastAsia="es-AR"/>
            </w:rPr>
            <w:fldChar w:fldCharType="end"/>
          </w:r>
        </w:sdtContent>
      </w:sdt>
      <w:r>
        <w:rPr>
          <w:lang w:eastAsia="es-AR"/>
        </w:rPr>
        <w:t>.</w:t>
      </w:r>
    </w:p>
    <w:p w:rsidR="00AC4FCB" w:rsidRDefault="00AC4FCB">
      <w:pPr>
        <w:rPr>
          <w:rFonts w:cstheme="minorHAnsi"/>
          <w:i/>
          <w:lang w:eastAsia="es-AR"/>
        </w:rPr>
      </w:pPr>
      <w:r>
        <w:rPr>
          <w:i/>
          <w:lang w:eastAsia="es-AR"/>
        </w:rPr>
        <w:br w:type="page"/>
      </w:r>
    </w:p>
    <w:p w:rsidR="00AC4FCB" w:rsidRPr="0086269B" w:rsidRDefault="00AC4FCB" w:rsidP="00F302F8">
      <w:pPr>
        <w:pStyle w:val="Ttulo3"/>
      </w:pPr>
      <w:bookmarkStart w:id="4" w:name="_Toc266984381"/>
      <w:r>
        <w:lastRenderedPageBreak/>
        <w:t>1.1.2)</w:t>
      </w:r>
      <w:r w:rsidRPr="00E86273">
        <w:t xml:space="preserve"> </w:t>
      </w:r>
      <w:r w:rsidRPr="0086269B">
        <w:t>Causas</w:t>
      </w:r>
      <w:bookmarkEnd w:id="4"/>
    </w:p>
    <w:p w:rsidR="00AC4FCB" w:rsidRDefault="00AC4FCB" w:rsidP="002C4427">
      <w:pPr>
        <w:pStyle w:val="ParrafoTESIS"/>
      </w:pPr>
      <w:r>
        <w:t>La radiación es la principal fuente de partículas de alta energía que tiene por consecuencia los SEEs. El sol es, por defecto, la fuente de radiación en nuestro sistema solar y se ve afectada por el campo magnético de la tierra. Éste</w:t>
      </w:r>
      <w:r w:rsidRPr="00806920">
        <w:t xml:space="preserve"> influye en el movimiento de las partículas que intentan ingresar en la órbita </w:t>
      </w:r>
      <w:r>
        <w:t>terrestre</w:t>
      </w:r>
      <w:r w:rsidRPr="00806920">
        <w:t>, desviándolas de su trayectoria original.</w:t>
      </w:r>
    </w:p>
    <w:p w:rsidR="00AC4FCB" w:rsidRDefault="00AC4FCB" w:rsidP="002C4427">
      <w:pPr>
        <w:pStyle w:val="ParrafoTESIS"/>
      </w:pPr>
      <w:r>
        <w:t xml:space="preserve">Pensando a la tierra como un gran imán, se tendería a creer que la forma del campo sería como la de un gran dipolo, pero esto no es así debido a </w:t>
      </w:r>
      <w:r w:rsidRPr="00806920">
        <w:t>la influencia del viento solar que distorsiona el campo magnético en forma parabólica.</w:t>
      </w:r>
      <w:r>
        <w:t xml:space="preserve"> Esto crea una cavidad en la que se conforman dos cinturones conocidos como “cinturones de radiación de </w:t>
      </w:r>
      <w:r w:rsidRPr="00EB209D">
        <w:t>Van Allen”</w:t>
      </w:r>
      <w:r>
        <w:t xml:space="preserve"> (</w:t>
      </w:r>
      <w:r>
        <w:fldChar w:fldCharType="begin"/>
      </w:r>
      <w:r>
        <w:instrText xml:space="preserve"> REF _Ref268963942 \h </w:instrText>
      </w:r>
      <w:r>
        <w:fldChar w:fldCharType="separate"/>
      </w:r>
      <w:r w:rsidRPr="009C5050">
        <w:t xml:space="preserve">Figura </w:t>
      </w:r>
      <w:r>
        <w:rPr>
          <w:noProof/>
        </w:rPr>
        <w:t>1</w:t>
      </w:r>
      <w:r>
        <w:fldChar w:fldCharType="end"/>
      </w:r>
      <w:r>
        <w:t>)</w:t>
      </w:r>
      <w:r w:rsidRPr="00EB209D">
        <w:t xml:space="preserve">, </w:t>
      </w:r>
      <w:r>
        <w:t xml:space="preserve">los cuales se </w:t>
      </w:r>
      <w:r w:rsidRPr="00EB209D">
        <w:t>encarga</w:t>
      </w:r>
      <w:r>
        <w:t>n</w:t>
      </w:r>
      <w:r w:rsidRPr="00EB209D">
        <w:t xml:space="preserve"> de atrapar las partículas cargadas, como los electrones y protones.  Estas partículas están altamente cargadas con energía desde los 10MeV hasta l</w:t>
      </w:r>
      <w:r>
        <w:t>os 100MeV, y se desplazan entre los polos del campo magnético con movimientos helicoidales. Cuando un rayo cósmico impacta con estas partículas de alta energía se produce lo que conocemos como proceso de espalación, liberando gran cantidad de partículas que penetran en la tierra provocando los SEEs.</w:t>
      </w:r>
    </w:p>
    <w:p w:rsidR="00AC4FCB" w:rsidRDefault="00AC4FCB" w:rsidP="00096EDE">
      <w:pPr>
        <w:pStyle w:val="Epgrafe"/>
        <w:jc w:val="center"/>
        <w:rPr>
          <w:lang w:val="en-US"/>
        </w:rPr>
      </w:pPr>
      <w:r w:rsidRPr="0047682D">
        <w:rPr>
          <w:rFonts w:cstheme="minorHAnsi"/>
          <w:noProof/>
          <w:color w:val="548DD4" w:themeColor="text2" w:themeTint="99"/>
          <w:lang w:eastAsia="es-AR"/>
        </w:rPr>
        <w:drawing>
          <wp:inline distT="0" distB="0" distL="0" distR="0">
            <wp:extent cx="3794335" cy="2751152"/>
            <wp:effectExtent l="19050" t="0" r="0" b="0"/>
            <wp:docPr id="5" name="Imagen 4" descr="sphere8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here8x"/>
                    <pic:cNvPicPr>
                      <a:picLocks noChangeAspect="1" noChangeArrowheads="1"/>
                    </pic:cNvPicPr>
                  </pic:nvPicPr>
                  <pic:blipFill>
                    <a:blip r:embed="rId8" cstate="print"/>
                    <a:srcRect/>
                    <a:stretch>
                      <a:fillRect/>
                    </a:stretch>
                  </pic:blipFill>
                  <pic:spPr bwMode="auto">
                    <a:xfrm>
                      <a:off x="0" y="0"/>
                      <a:ext cx="3794335" cy="2751152"/>
                    </a:xfrm>
                    <a:prstGeom prst="rect">
                      <a:avLst/>
                    </a:prstGeom>
                    <a:noFill/>
                    <a:ln w="9525">
                      <a:noFill/>
                      <a:miter lim="800000"/>
                      <a:headEnd/>
                      <a:tailEnd/>
                    </a:ln>
                  </pic:spPr>
                </pic:pic>
              </a:graphicData>
            </a:graphic>
          </wp:inline>
        </w:drawing>
      </w:r>
    </w:p>
    <w:p w:rsidR="00AC4FCB" w:rsidRPr="009C5050" w:rsidRDefault="00AC4FCB" w:rsidP="00096EDE">
      <w:pPr>
        <w:pStyle w:val="Epgrafe"/>
        <w:jc w:val="center"/>
        <w:rPr>
          <w:rFonts w:cstheme="minorHAnsi"/>
        </w:rPr>
      </w:pPr>
      <w:bookmarkStart w:id="5" w:name="_Ref268963942"/>
      <w:r w:rsidRPr="009C5050">
        <w:t xml:space="preserve">Figura </w:t>
      </w:r>
      <w:r>
        <w:fldChar w:fldCharType="begin"/>
      </w:r>
      <w:r w:rsidRPr="009C5050">
        <w:instrText xml:space="preserve"> SEQ Figura \* ARABIC </w:instrText>
      </w:r>
      <w:r>
        <w:fldChar w:fldCharType="separate"/>
      </w:r>
      <w:r>
        <w:rPr>
          <w:noProof/>
        </w:rPr>
        <w:t>1</w:t>
      </w:r>
      <w:r>
        <w:fldChar w:fldCharType="end"/>
      </w:r>
      <w:bookmarkEnd w:id="5"/>
      <w:r w:rsidRPr="009C5050">
        <w:t xml:space="preserve">) Representación de la </w:t>
      </w:r>
      <w:r>
        <w:t>m</w:t>
      </w:r>
      <w:r w:rsidRPr="009C5050">
        <w:t>agnetosfera Terrestre.</w:t>
      </w:r>
    </w:p>
    <w:p w:rsidR="00AC4FCB" w:rsidRPr="006208DE" w:rsidRDefault="00AC4FCB" w:rsidP="002C4427">
      <w:pPr>
        <w:pStyle w:val="ParrafoTESIS"/>
      </w:pPr>
      <w:r>
        <w:t xml:space="preserve">Los primeros SEEs, observados en el trabajo de Ziegler, no tuvieron tanta relevancia ya que para la tecnología de la época, la energía con la que impactaban las partículas no era comparable con las cargas intervinientes en los circuitos integrados. Mucho más importante eran los SEEs producidos por los encapsulados de circuitos que contenían entre sus materiales pequeñas cantidades de elementos radioactivos. Estos emitían partículas cargadas que </w:t>
      </w:r>
      <w:r>
        <w:lastRenderedPageBreak/>
        <w:t xml:space="preserve">impactaban en los circuitos de las memorias ocasionando una tasa de errores muy alta </w:t>
      </w:r>
      <w:sdt>
        <w:sdtPr>
          <w:id w:val="829383"/>
          <w:citation/>
        </w:sdtPr>
        <w:sdtContent>
          <w:fldSimple w:instr=" CITATION Bed96 \l 11274 ">
            <w:r>
              <w:rPr>
                <w:noProof/>
              </w:rPr>
              <w:t>(4)</w:t>
            </w:r>
          </w:fldSimple>
        </w:sdtContent>
      </w:sdt>
      <w:sdt>
        <w:sdtPr>
          <w:id w:val="829384"/>
          <w:citation/>
        </w:sdtPr>
        <w:sdtContent>
          <w:fldSimple w:instr=" CITATION Ols93 \l 11274 ">
            <w:r>
              <w:rPr>
                <w:noProof/>
              </w:rPr>
              <w:t>(5)</w:t>
            </w:r>
          </w:fldSimple>
        </w:sdtContent>
      </w:sdt>
      <w:sdt>
        <w:sdtPr>
          <w:id w:val="829385"/>
          <w:citation/>
        </w:sdtPr>
        <w:sdtContent>
          <w:fldSimple w:instr=" CITATION HKo07 \l 11274 ">
            <w:r>
              <w:rPr>
                <w:noProof/>
              </w:rPr>
              <w:t>(6)</w:t>
            </w:r>
          </w:fldSimple>
        </w:sdtContent>
      </w:sdt>
      <w:r w:rsidRPr="006208DE">
        <w:t>.</w:t>
      </w:r>
    </w:p>
    <w:p w:rsidR="00AC4FCB" w:rsidRDefault="00AC4FCB" w:rsidP="002C4427">
      <w:pPr>
        <w:pStyle w:val="ParrafoTESIS"/>
      </w:pPr>
      <w:r>
        <w:t>Con el avance de los procesos litográficos y la disminución constante de las dimensiones de los transistores, las tensiones de alimentación han disminuido al igual que las corrientes que circulan en los circuitos. Debido a esto, los impactos de las partículas producen SEEs que tienen desde hace una década efectos importantes en los circuitos integrados, que serán analizados en la siguiente</w:t>
      </w:r>
      <w:r w:rsidRPr="00E4539D">
        <w:t xml:space="preserve"> </w:t>
      </w:r>
      <w:r>
        <w:t>sección.</w:t>
      </w:r>
    </w:p>
    <w:p w:rsidR="00AC4FCB" w:rsidRPr="007F28E6" w:rsidRDefault="00AC4FCB" w:rsidP="00F302F8">
      <w:pPr>
        <w:pStyle w:val="Ttulo2"/>
      </w:pPr>
      <w:bookmarkStart w:id="6" w:name="_Toc266984382"/>
      <w:r>
        <w:t xml:space="preserve">1.2) </w:t>
      </w:r>
      <w:r w:rsidRPr="007F28E6">
        <w:t>EFECTOS Y CLASIFICACIÓN</w:t>
      </w:r>
      <w:bookmarkEnd w:id="6"/>
    </w:p>
    <w:p w:rsidR="00AC4FCB" w:rsidRPr="007F28E6" w:rsidRDefault="00AC4FCB" w:rsidP="00F302F8">
      <w:pPr>
        <w:pStyle w:val="Ttulo3"/>
      </w:pPr>
      <w:bookmarkStart w:id="7" w:name="_Toc266984383"/>
      <w:r>
        <w:t xml:space="preserve">1.2.1) </w:t>
      </w:r>
      <w:r w:rsidRPr="007F28E6">
        <w:t>Efectos en semiconductor</w:t>
      </w:r>
      <w:bookmarkEnd w:id="7"/>
      <w:r>
        <w:t>es</w:t>
      </w:r>
    </w:p>
    <w:p w:rsidR="00AC4FCB" w:rsidRPr="007F28E6" w:rsidRDefault="00AC4FCB" w:rsidP="002C4427">
      <w:pPr>
        <w:pStyle w:val="ParrafoTESIS"/>
        <w:rPr>
          <w:b/>
        </w:rPr>
      </w:pPr>
      <w:r w:rsidRPr="007F28E6">
        <w:t xml:space="preserve">Cuando una partícula choca contra un dispositivo micro-electrónico, la región más vulnerable a los efectos de la radiación es usualmente la juntura p/n en polarización inversa. El poderoso campo presente en la región de depleción de la juntura polarizada en </w:t>
      </w:r>
      <w:r>
        <w:t>in</w:t>
      </w:r>
      <w:r w:rsidRPr="007F28E6">
        <w:t>versa</w:t>
      </w:r>
      <w:r>
        <w:t>,</w:t>
      </w:r>
      <w:r w:rsidRPr="007F28E6">
        <w:t xml:space="preserve"> puede ser muy efectivo recolectando las cargas inducidas por las partículas durante el proceso de frenado de la misma, dando como resultado una corriente transitoria en el contacto de la juntura. En el pe</w:t>
      </w:r>
      <w:r>
        <w:t>o</w:t>
      </w:r>
      <w:r w:rsidRPr="007F28E6">
        <w:t xml:space="preserve">r de los casos, la juntura se encuentra en un estado no definido (flotando) y </w:t>
      </w:r>
      <w:r>
        <w:t>el nivel de l</w:t>
      </w:r>
      <w:r w:rsidRPr="007F28E6">
        <w:t>a carga almacenada está siendo reducid</w:t>
      </w:r>
      <w:r>
        <w:t>o</w:t>
      </w:r>
      <w:r w:rsidRPr="007F28E6">
        <w:t xml:space="preserve"> por alguna carga inyectada a través de la radiación. Como los electrones tienen mayor movilidad en comparación a los huecos, la juntura n</w:t>
      </w:r>
      <w:r w:rsidRPr="007F28E6">
        <w:rPr>
          <w:vertAlign w:val="superscript"/>
        </w:rPr>
        <w:t>+</w:t>
      </w:r>
      <w:r w:rsidRPr="007F28E6">
        <w:t xml:space="preserve">/p es más sensible a los eventos de radiación. La </w:t>
      </w:r>
      <w:fldSimple w:instr=" REF _Ref266985981 \h  \* MERGEFORMAT ">
        <w:r w:rsidRPr="00AC4FCB">
          <w:t xml:space="preserve">Figura </w:t>
        </w:r>
        <w:r w:rsidRPr="00AC4FCB">
          <w:rPr>
            <w:noProof/>
          </w:rPr>
          <w:t>2</w:t>
        </w:r>
      </w:fldSimple>
      <w:r w:rsidRPr="007F28E6">
        <w:t xml:space="preserve"> muestra el efecto de un ion chocando la juntura polarizada en inversa n</w:t>
      </w:r>
      <w:r w:rsidRPr="007F28E6">
        <w:rPr>
          <w:vertAlign w:val="superscript"/>
        </w:rPr>
        <w:t>+</w:t>
      </w:r>
      <w:r w:rsidRPr="007F28E6">
        <w:t>/p con un voltaje positivo conectado al nodo n</w:t>
      </w:r>
      <w:r w:rsidRPr="007F28E6">
        <w:rPr>
          <w:vertAlign w:val="superscript"/>
        </w:rPr>
        <w:t>+</w:t>
      </w:r>
      <w:r w:rsidRPr="007F28E6">
        <w:t>.</w:t>
      </w:r>
    </w:p>
    <w:p w:rsidR="00AC4FCB" w:rsidRDefault="00AC4FCB" w:rsidP="00F302F8">
      <w:pPr>
        <w:pStyle w:val="NormalWeb"/>
        <w:keepNext/>
        <w:jc w:val="center"/>
        <w:rPr>
          <w:rFonts w:asciiTheme="minorHAnsi" w:hAnsiTheme="minorHAnsi" w:cstheme="minorHAnsi"/>
          <w:b/>
          <w:color w:val="4F81BD" w:themeColor="accent1"/>
          <w:sz w:val="18"/>
          <w:szCs w:val="18"/>
        </w:rPr>
      </w:pPr>
      <w:r>
        <w:rPr>
          <w:rFonts w:asciiTheme="minorHAnsi" w:hAnsiTheme="minorHAnsi" w:cstheme="minorHAnsi"/>
          <w:noProof/>
          <w:sz w:val="22"/>
          <w:szCs w:val="22"/>
        </w:rPr>
        <w:drawing>
          <wp:inline distT="0" distB="0" distL="0" distR="0">
            <wp:extent cx="3324225" cy="1961074"/>
            <wp:effectExtent l="1905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27847" cy="1963210"/>
                    </a:xfrm>
                    <a:prstGeom prst="rect">
                      <a:avLst/>
                    </a:prstGeom>
                    <a:noFill/>
                    <a:ln w="9525">
                      <a:noFill/>
                      <a:miter lim="800000"/>
                      <a:headEnd/>
                      <a:tailEnd/>
                    </a:ln>
                  </pic:spPr>
                </pic:pic>
              </a:graphicData>
            </a:graphic>
          </wp:inline>
        </w:drawing>
      </w:r>
    </w:p>
    <w:p w:rsidR="00AC4FCB" w:rsidRPr="004E1261" w:rsidRDefault="00AC4FCB" w:rsidP="00F302F8">
      <w:pPr>
        <w:pStyle w:val="NormalWeb"/>
        <w:keepNext/>
        <w:jc w:val="center"/>
      </w:pPr>
      <w:bookmarkStart w:id="8" w:name="_Ref266985981"/>
      <w:r w:rsidRPr="001E0CC3">
        <w:rPr>
          <w:rFonts w:asciiTheme="minorHAnsi" w:hAnsiTheme="minorHAnsi" w:cstheme="minorHAnsi"/>
          <w:b/>
          <w:color w:val="4F81BD" w:themeColor="accent1"/>
          <w:sz w:val="18"/>
          <w:szCs w:val="18"/>
        </w:rPr>
        <w:t xml:space="preserve">Figura </w:t>
      </w:r>
      <w:r w:rsidRPr="001E0CC3">
        <w:rPr>
          <w:rFonts w:asciiTheme="minorHAnsi" w:hAnsiTheme="minorHAnsi" w:cstheme="minorHAnsi"/>
          <w:b/>
          <w:color w:val="4F81BD" w:themeColor="accent1"/>
          <w:sz w:val="18"/>
          <w:szCs w:val="18"/>
        </w:rPr>
        <w:fldChar w:fldCharType="begin"/>
      </w:r>
      <w:r w:rsidRPr="001E0CC3">
        <w:rPr>
          <w:rFonts w:asciiTheme="minorHAnsi" w:hAnsiTheme="minorHAnsi" w:cstheme="minorHAnsi"/>
          <w:b/>
          <w:color w:val="4F81BD" w:themeColor="accent1"/>
          <w:sz w:val="18"/>
          <w:szCs w:val="18"/>
        </w:rPr>
        <w:instrText xml:space="preserve"> SEQ Figura \* ARABIC </w:instrText>
      </w:r>
      <w:r w:rsidRPr="001E0CC3">
        <w:rPr>
          <w:rFonts w:asciiTheme="minorHAnsi" w:hAnsiTheme="minorHAnsi" w:cstheme="minorHAnsi"/>
          <w:b/>
          <w:color w:val="4F81BD" w:themeColor="accent1"/>
          <w:sz w:val="18"/>
          <w:szCs w:val="18"/>
        </w:rPr>
        <w:fldChar w:fldCharType="separate"/>
      </w:r>
      <w:r>
        <w:rPr>
          <w:rFonts w:asciiTheme="minorHAnsi" w:hAnsiTheme="minorHAnsi" w:cstheme="minorHAnsi"/>
          <w:b/>
          <w:noProof/>
          <w:color w:val="4F81BD" w:themeColor="accent1"/>
          <w:sz w:val="18"/>
          <w:szCs w:val="18"/>
        </w:rPr>
        <w:t>2</w:t>
      </w:r>
      <w:r w:rsidRPr="001E0CC3">
        <w:rPr>
          <w:rFonts w:asciiTheme="minorHAnsi" w:hAnsiTheme="minorHAnsi" w:cstheme="minorHAnsi"/>
          <w:b/>
          <w:color w:val="4F81BD" w:themeColor="accent1"/>
          <w:sz w:val="18"/>
          <w:szCs w:val="18"/>
        </w:rPr>
        <w:fldChar w:fldCharType="end"/>
      </w:r>
      <w:bookmarkEnd w:id="8"/>
      <w:r w:rsidRPr="001E0CC3">
        <w:rPr>
          <w:rFonts w:asciiTheme="minorHAnsi" w:hAnsiTheme="minorHAnsi" w:cstheme="minorHAnsi"/>
          <w:b/>
          <w:color w:val="4F81BD" w:themeColor="accent1"/>
          <w:sz w:val="18"/>
          <w:szCs w:val="18"/>
        </w:rPr>
        <w:t>) Generación de pares electrón-hueco y recolección durante una perturbación en una juntura</w:t>
      </w:r>
      <w:r w:rsidRPr="004E1261">
        <w:rPr>
          <w:rFonts w:cstheme="minorHAnsi"/>
          <w:sz w:val="20"/>
          <w:szCs w:val="22"/>
        </w:rPr>
        <w:t>.</w:t>
      </w:r>
    </w:p>
    <w:p w:rsidR="00AC4FCB" w:rsidRPr="004E1261" w:rsidRDefault="00AC4FCB" w:rsidP="002C4427">
      <w:pPr>
        <w:pStyle w:val="ParrafoTESIS"/>
      </w:pPr>
      <w:r w:rsidRPr="004E1261">
        <w:t xml:space="preserve">En la </w:t>
      </w:r>
      <w:fldSimple w:instr=" REF _Ref266985981 \h  \* MERGEFORMAT ">
        <w:r w:rsidRPr="00AC4FCB">
          <w:t xml:space="preserve">Figura </w:t>
        </w:r>
        <w:r w:rsidRPr="00AC4FCB">
          <w:rPr>
            <w:noProof/>
          </w:rPr>
          <w:t>2</w:t>
        </w:r>
      </w:fldSimple>
      <w:r w:rsidRPr="00536948">
        <w:t>.a</w:t>
      </w:r>
      <w:r w:rsidRPr="004E1261">
        <w:t xml:space="preserve"> se observa el ion atravesando la juntura</w:t>
      </w:r>
      <w:r>
        <w:t>,</w:t>
      </w:r>
      <w:r w:rsidRPr="004E1261">
        <w:t xml:space="preserve"> y dejando en su recorrido pares electrón-hueco. Los pares generados en</w:t>
      </w:r>
      <w:r>
        <w:t xml:space="preserve"> la interacción</w:t>
      </w:r>
      <w:r w:rsidRPr="004E1261">
        <w:t xml:space="preserve"> son rápidamente recolectados por el campo eléctrico y generan un gran transitorio (corriente/voltaje) en el nodo </w:t>
      </w:r>
      <w:r w:rsidRPr="00536948">
        <w:t>(</w:t>
      </w:r>
      <w:fldSimple w:instr=" REF _Ref266985981 \h  \* MERGEFORMAT ">
        <w:r w:rsidRPr="00AC4FCB">
          <w:t xml:space="preserve">Figura </w:t>
        </w:r>
        <w:r w:rsidRPr="00AC4FCB">
          <w:rPr>
            <w:noProof/>
          </w:rPr>
          <w:t>2</w:t>
        </w:r>
      </w:fldSimple>
      <w:r w:rsidRPr="00536948">
        <w:t>.b</w:t>
      </w:r>
      <w:r w:rsidRPr="004E1261">
        <w:t>). Esta fase de recolección usualmente es completada en nanosegundos</w:t>
      </w:r>
      <w:r>
        <w:t>,</w:t>
      </w:r>
      <w:r w:rsidRPr="004E1261">
        <w:t xml:space="preserve"> seguida de una segunda </w:t>
      </w:r>
      <w:r w:rsidRPr="004E1261">
        <w:lastRenderedPageBreak/>
        <w:t>fase</w:t>
      </w:r>
      <w:r>
        <w:t xml:space="preserve"> d</w:t>
      </w:r>
      <w:r w:rsidRPr="004E1261">
        <w:t xml:space="preserve">ada </w:t>
      </w:r>
      <w:r>
        <w:t>por</w:t>
      </w:r>
      <w:r w:rsidRPr="004E1261">
        <w:t xml:space="preserve"> una difusión que es significativamente más lenta (cientos de nanosegundos) y menos intensa (</w:t>
      </w:r>
      <w:fldSimple w:instr=" REF _Ref266985981 \h  \* MERGEFORMAT ">
        <w:r w:rsidRPr="00AC4FCB">
          <w:t xml:space="preserve">Figura </w:t>
        </w:r>
        <w:r w:rsidRPr="00AC4FCB">
          <w:rPr>
            <w:noProof/>
          </w:rPr>
          <w:t>2</w:t>
        </w:r>
      </w:fldSimple>
      <w:r w:rsidRPr="00536948">
        <w:t>.c</w:t>
      </w:r>
      <w:r w:rsidRPr="004E1261">
        <w:t>).</w:t>
      </w:r>
    </w:p>
    <w:p w:rsidR="00AC4FCB" w:rsidRPr="0047682D" w:rsidRDefault="00AC4FCB" w:rsidP="00F302F8">
      <w:pPr>
        <w:pStyle w:val="NormalWeb"/>
        <w:keepNext/>
        <w:jc w:val="center"/>
        <w:rPr>
          <w:rFonts w:asciiTheme="minorHAnsi" w:hAnsiTheme="minorHAnsi" w:cstheme="minorHAnsi"/>
          <w:color w:val="548DD4" w:themeColor="text2" w:themeTint="99"/>
          <w:sz w:val="22"/>
          <w:szCs w:val="22"/>
        </w:rPr>
      </w:pPr>
      <w:r w:rsidRPr="0047682D">
        <w:rPr>
          <w:rFonts w:asciiTheme="minorHAnsi" w:hAnsiTheme="minorHAnsi" w:cstheme="minorHAnsi"/>
          <w:noProof/>
          <w:color w:val="548DD4" w:themeColor="text2" w:themeTint="99"/>
          <w:sz w:val="22"/>
          <w:szCs w:val="22"/>
        </w:rPr>
        <w:drawing>
          <wp:inline distT="0" distB="0" distL="0" distR="0">
            <wp:extent cx="3080989" cy="2724108"/>
            <wp:effectExtent l="19050" t="0" r="5111"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91711" cy="2733588"/>
                    </a:xfrm>
                    <a:prstGeom prst="rect">
                      <a:avLst/>
                    </a:prstGeom>
                    <a:noFill/>
                    <a:ln w="9525">
                      <a:noFill/>
                      <a:miter lim="800000"/>
                      <a:headEnd/>
                      <a:tailEnd/>
                    </a:ln>
                  </pic:spPr>
                </pic:pic>
              </a:graphicData>
            </a:graphic>
          </wp:inline>
        </w:drawing>
      </w:r>
    </w:p>
    <w:p w:rsidR="00AC4FCB" w:rsidRPr="0040462E" w:rsidRDefault="00AC4FCB" w:rsidP="00F302F8">
      <w:pPr>
        <w:pStyle w:val="Epgrafe"/>
        <w:jc w:val="center"/>
      </w:pPr>
      <w:bookmarkStart w:id="9" w:name="_Ref266986213"/>
      <w:r w:rsidRPr="0040462E">
        <w:t xml:space="preserve">Figura </w:t>
      </w:r>
      <w:fldSimple w:instr=" SEQ Figura \* ARABIC ">
        <w:r>
          <w:rPr>
            <w:noProof/>
          </w:rPr>
          <w:t>3</w:t>
        </w:r>
      </w:fldSimple>
      <w:bookmarkEnd w:id="9"/>
      <w:r w:rsidRPr="0040462E">
        <w:t>)</w:t>
      </w:r>
      <w:r w:rsidRPr="0040462E">
        <w:rPr>
          <w:rFonts w:cstheme="minorHAnsi"/>
        </w:rPr>
        <w:t xml:space="preserve"> Corriente generada por </w:t>
      </w:r>
      <w:r>
        <w:rPr>
          <w:rFonts w:cstheme="minorHAnsi"/>
        </w:rPr>
        <w:t>la interacción</w:t>
      </w:r>
      <w:r w:rsidRPr="0040462E">
        <w:rPr>
          <w:rFonts w:cstheme="minorHAnsi"/>
        </w:rPr>
        <w:t xml:space="preserve"> de un ion.</w:t>
      </w:r>
    </w:p>
    <w:p w:rsidR="00AC4FCB" w:rsidRPr="00C42594" w:rsidRDefault="00AC4FCB" w:rsidP="002C4427">
      <w:pPr>
        <w:pStyle w:val="ParrafoTESIS"/>
      </w:pPr>
      <w:r w:rsidRPr="004E1261">
        <w:t xml:space="preserve">La curva de corriente resultante generada por </w:t>
      </w:r>
      <w:r>
        <w:t>la interacción</w:t>
      </w:r>
      <w:r w:rsidRPr="004E1261">
        <w:t xml:space="preserve"> de un ion puede ser dividida en dos secciones, como lo muestra la </w:t>
      </w:r>
      <w:fldSimple w:instr=" REF _Ref266986213 \h  \* MERGEFORMAT ">
        <w:r w:rsidRPr="0040462E">
          <w:t xml:space="preserve">Figura </w:t>
        </w:r>
        <w:r>
          <w:rPr>
            <w:noProof/>
          </w:rPr>
          <w:t>3</w:t>
        </w:r>
      </w:fldSimple>
      <w:r w:rsidRPr="004E1261">
        <w:t>. El pico</w:t>
      </w:r>
      <w:r>
        <w:t xml:space="preserve"> de la grafica</w:t>
      </w:r>
      <w:r w:rsidRPr="004E1261">
        <w:t xml:space="preserve"> indica la primera fase de frenado (generación de pares electrón-hueco) y recolección</w:t>
      </w:r>
      <w:r>
        <w:t>,</w:t>
      </w:r>
      <w:r w:rsidRPr="004E1261">
        <w:t xml:space="preserve"> mientras que el gradiente de la segunda parte resulta de la difusión de recolección de las cargas</w:t>
      </w:r>
      <w:r>
        <w:t xml:space="preserve"> </w:t>
      </w:r>
      <w:sdt>
        <w:sdtPr>
          <w:id w:val="829386"/>
          <w:citation/>
        </w:sdtPr>
        <w:sdtContent>
          <w:fldSimple w:instr=" CITATION Bau07 \l 11274 ">
            <w:r>
              <w:rPr>
                <w:noProof/>
              </w:rPr>
              <w:t>(7)</w:t>
            </w:r>
          </w:fldSimple>
        </w:sdtContent>
      </w:sdt>
      <w:r w:rsidRPr="008E24CD">
        <w:t>.</w:t>
      </w:r>
    </w:p>
    <w:p w:rsidR="00AC4FCB" w:rsidRPr="00C42594" w:rsidRDefault="00AC4FCB" w:rsidP="00F302F8">
      <w:pPr>
        <w:pStyle w:val="Ttulo3"/>
      </w:pPr>
      <w:bookmarkStart w:id="10" w:name="_Toc266984384"/>
      <w:r>
        <w:t xml:space="preserve">1.2.2) </w:t>
      </w:r>
      <w:r w:rsidRPr="00C42594">
        <w:t>Ionización directa e indirecta</w:t>
      </w:r>
      <w:bookmarkEnd w:id="10"/>
    </w:p>
    <w:p w:rsidR="00AC4FCB" w:rsidRPr="00C42594" w:rsidRDefault="00AC4FCB" w:rsidP="002C4427">
      <w:pPr>
        <w:pStyle w:val="ParrafoTESIS"/>
      </w:pPr>
      <w:r>
        <w:t>La ionización es el método por el cual la radiación libera cargas en un dispositivo semiconductor, ésta puede ser directa o indirecta.</w:t>
      </w:r>
    </w:p>
    <w:p w:rsidR="00AC4FCB" w:rsidRPr="00C42594" w:rsidRDefault="00AC4FCB" w:rsidP="002C4427">
      <w:pPr>
        <w:pStyle w:val="ParrafoTESIS"/>
      </w:pPr>
      <w:r w:rsidRPr="00C42594">
        <w:rPr>
          <w:b/>
          <w:i/>
        </w:rPr>
        <w:t>Ionización Directa</w:t>
      </w:r>
      <w:r w:rsidRPr="00C42594">
        <w:t>: Cuando una partícula cargada atraviesa el material semiconductor</w:t>
      </w:r>
      <w:r>
        <w:t>,</w:t>
      </w:r>
      <w:r w:rsidRPr="00C42594">
        <w:t xml:space="preserve"> libera</w:t>
      </w:r>
      <w:r>
        <w:t xml:space="preserve"> </w:t>
      </w:r>
      <w:r w:rsidRPr="00C42594">
        <w:t xml:space="preserve">pares electrón-hueco perdiendo energía a lo largo de de su trayectoria. </w:t>
      </w:r>
      <w:r>
        <w:t>Una vez que</w:t>
      </w:r>
      <w:r w:rsidRPr="00C42594">
        <w:t xml:space="preserve"> toda la energía es liberada, la partícula descansa en el semiconductor</w:t>
      </w:r>
      <w:r>
        <w:t xml:space="preserve"> luego de haber</w:t>
      </w:r>
      <w:r w:rsidRPr="00C42594">
        <w:t xml:space="preserve"> viajado una longitud determina</w:t>
      </w:r>
      <w:r>
        <w:t>da</w:t>
      </w:r>
      <w:r w:rsidRPr="00C42594">
        <w:t xml:space="preserve"> conocida como el </w:t>
      </w:r>
      <w:r w:rsidRPr="00C42594">
        <w:rPr>
          <w:i/>
        </w:rPr>
        <w:t>rango de la partícula</w:t>
      </w:r>
      <w:r w:rsidRPr="00C42594">
        <w:t>. El t</w:t>
      </w:r>
      <w:r>
        <w:t>é</w:t>
      </w:r>
      <w:r w:rsidRPr="00C42594">
        <w:t xml:space="preserve">rmino </w:t>
      </w:r>
      <w:r>
        <w:rPr>
          <w:i/>
        </w:rPr>
        <w:t>t</w:t>
      </w:r>
      <w:r w:rsidRPr="008E24CD">
        <w:rPr>
          <w:rStyle w:val="apple-style-span"/>
          <w:i/>
          <w:color w:val="000000"/>
          <w:szCs w:val="15"/>
        </w:rPr>
        <w:t>ransferencia de energía lineal</w:t>
      </w:r>
      <w:r>
        <w:rPr>
          <w:rStyle w:val="apple-style-span"/>
          <w:i/>
          <w:color w:val="000000"/>
          <w:szCs w:val="15"/>
        </w:rPr>
        <w:t xml:space="preserve"> (</w:t>
      </w:r>
      <w:r w:rsidRPr="00C42594">
        <w:rPr>
          <w:i/>
        </w:rPr>
        <w:t xml:space="preserve">Linear Energy Transfer </w:t>
      </w:r>
      <w:r>
        <w:rPr>
          <w:i/>
        </w:rPr>
        <w:t xml:space="preserve">- </w:t>
      </w:r>
      <w:r w:rsidRPr="00C42594">
        <w:rPr>
          <w:i/>
        </w:rPr>
        <w:t>LET)</w:t>
      </w:r>
      <w:r w:rsidRPr="00C42594">
        <w:t xml:space="preserve"> es frecuentemente usado para describir la energía perdida de la partícula por unidad de longitud</w:t>
      </w:r>
      <w:r>
        <w:t>,</w:t>
      </w:r>
      <w:r w:rsidRPr="00C42594">
        <w:t xml:space="preserve"> mientras recorre el material. Las unidades del LET están dadas por MeV/cm</w:t>
      </w:r>
      <w:r w:rsidRPr="00C42594">
        <w:rPr>
          <w:vertAlign w:val="superscript"/>
        </w:rPr>
        <w:t>2</w:t>
      </w:r>
      <w:r w:rsidRPr="00C42594">
        <w:t>/mg</w:t>
      </w:r>
      <w:r>
        <w:t>,</w:t>
      </w:r>
      <w:r w:rsidRPr="00C42594">
        <w:t xml:space="preserve"> </w:t>
      </w:r>
      <w:r>
        <w:t>ya que</w:t>
      </w:r>
      <w:r w:rsidRPr="00C42594">
        <w:t xml:space="preserve"> la energía perdida por unidad de longitud (en MeV/cm) es normalizada por la densidad del material atravesado (en mg/cm</w:t>
      </w:r>
      <w:r w:rsidRPr="00C42594">
        <w:rPr>
          <w:vertAlign w:val="superscript"/>
        </w:rPr>
        <w:t>3</w:t>
      </w:r>
      <w:r w:rsidRPr="00C42594">
        <w:t xml:space="preserve">), por lo tanto, las unidades del LET pueden ser expresadas independientemente del semiconductor. </w:t>
      </w:r>
      <w:r>
        <w:t>Por e</w:t>
      </w:r>
      <w:r w:rsidRPr="00C42594">
        <w:t>j</w:t>
      </w:r>
      <w:r>
        <w:t>emplo</w:t>
      </w:r>
      <w:r w:rsidRPr="00C42594">
        <w:t xml:space="preserve"> en el silicio, un LET de 97 MeV-cm</w:t>
      </w:r>
      <w:r w:rsidRPr="00C42594">
        <w:rPr>
          <w:vertAlign w:val="superscript"/>
        </w:rPr>
        <w:t>2</w:t>
      </w:r>
      <w:r w:rsidRPr="00C42594">
        <w:t xml:space="preserve">/mg corresponde a depositar una carga de 1pC/um. </w:t>
      </w:r>
      <w:r w:rsidRPr="00C42594">
        <w:lastRenderedPageBreak/>
        <w:t xml:space="preserve">La </w:t>
      </w:r>
      <w:fldSimple w:instr=" REF _Ref268964126 \h  \* MERGEFORMAT ">
        <w:r w:rsidRPr="00AC4FCB">
          <w:rPr>
            <w:sz w:val="20"/>
            <w:szCs w:val="18"/>
          </w:rPr>
          <w:t xml:space="preserve">Figura </w:t>
        </w:r>
        <w:r w:rsidRPr="00AC4FCB">
          <w:rPr>
            <w:noProof/>
            <w:sz w:val="20"/>
            <w:szCs w:val="18"/>
          </w:rPr>
          <w:t>4</w:t>
        </w:r>
      </w:fldSimple>
      <w:r w:rsidRPr="00C42594">
        <w:t xml:space="preserve"> muestra una curva </w:t>
      </w:r>
      <w:r>
        <w:t xml:space="preserve">de variación LET </w:t>
      </w:r>
      <w:r w:rsidRPr="00C42594">
        <w:t>de un ion</w:t>
      </w:r>
      <w:r>
        <w:t xml:space="preserve"> </w:t>
      </w:r>
      <w:r w:rsidRPr="00C42594">
        <w:t xml:space="preserve">de cloro </w:t>
      </w:r>
      <w:r>
        <w:t>según la profundidad de penetración del mismo en un semiconductor.</w:t>
      </w:r>
    </w:p>
    <w:p w:rsidR="00AC4FCB" w:rsidRPr="00C42594" w:rsidRDefault="00AC4FCB" w:rsidP="002C4427">
      <w:pPr>
        <w:pStyle w:val="ParrafoTESIS"/>
      </w:pPr>
      <w:r w:rsidRPr="00C42594">
        <w:t>La ionización directa es el mecanismo principal de deposición de cargas causadas por iones pesados que generan perturbaciones, donde definimos a los iones pesados como cualquier ion con un número atómico mayor o igual a dos (partículas diferentes a protones, electrones, neutrones o ion</w:t>
      </w:r>
      <w:r>
        <w:t>e</w:t>
      </w:r>
      <w:r w:rsidRPr="00C42594">
        <w:t>s).</w:t>
      </w:r>
      <w:r w:rsidRPr="00C42594">
        <w:rPr>
          <w:noProof/>
          <w:lang w:eastAsia="es-AR"/>
        </w:rPr>
        <w:t xml:space="preserve"> </w:t>
      </w:r>
    </w:p>
    <w:p w:rsidR="00AC4FCB" w:rsidRDefault="00AC4FCB" w:rsidP="00385C7A">
      <w:pPr>
        <w:jc w:val="center"/>
        <w:rPr>
          <w:color w:val="4F81BD" w:themeColor="accent1"/>
          <w:sz w:val="18"/>
          <w:szCs w:val="18"/>
        </w:rPr>
      </w:pPr>
      <w:r w:rsidRPr="0047682D">
        <w:rPr>
          <w:noProof/>
          <w:lang w:eastAsia="es-AR"/>
        </w:rPr>
        <w:drawing>
          <wp:inline distT="0" distB="0" distL="0" distR="0">
            <wp:extent cx="2343619" cy="188446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342487" cy="1884460"/>
                    </a:xfrm>
                    <a:prstGeom prst="rect">
                      <a:avLst/>
                    </a:prstGeom>
                    <a:noFill/>
                    <a:ln w="9525">
                      <a:noFill/>
                      <a:miter lim="800000"/>
                      <a:headEnd/>
                      <a:tailEnd/>
                    </a:ln>
                  </pic:spPr>
                </pic:pic>
              </a:graphicData>
            </a:graphic>
          </wp:inline>
        </w:drawing>
      </w:r>
      <w:bookmarkStart w:id="11" w:name="_Ref266986260"/>
      <w:bookmarkStart w:id="12" w:name="_Ref267331794"/>
    </w:p>
    <w:p w:rsidR="00AC4FCB" w:rsidRPr="00385C7A" w:rsidRDefault="00AC4FCB" w:rsidP="00385C7A">
      <w:pPr>
        <w:jc w:val="center"/>
        <w:rPr>
          <w:b/>
          <w:color w:val="4F81BD" w:themeColor="accent1"/>
          <w:sz w:val="18"/>
        </w:rPr>
      </w:pPr>
      <w:bookmarkStart w:id="13" w:name="_Ref268964126"/>
      <w:r w:rsidRPr="00385C7A">
        <w:rPr>
          <w:b/>
          <w:color w:val="4F81BD" w:themeColor="accent1"/>
          <w:sz w:val="18"/>
        </w:rPr>
        <w:t xml:space="preserve">Figura </w:t>
      </w:r>
      <w:r w:rsidRPr="00385C7A">
        <w:rPr>
          <w:b/>
          <w:color w:val="4F81BD" w:themeColor="accent1"/>
          <w:sz w:val="18"/>
        </w:rPr>
        <w:fldChar w:fldCharType="begin"/>
      </w:r>
      <w:r w:rsidRPr="00385C7A">
        <w:rPr>
          <w:b/>
          <w:color w:val="4F81BD" w:themeColor="accent1"/>
          <w:sz w:val="18"/>
        </w:rPr>
        <w:instrText xml:space="preserve"> SEQ Figura \* ARABIC </w:instrText>
      </w:r>
      <w:r w:rsidRPr="00385C7A">
        <w:rPr>
          <w:b/>
          <w:color w:val="4F81BD" w:themeColor="accent1"/>
          <w:sz w:val="18"/>
        </w:rPr>
        <w:fldChar w:fldCharType="separate"/>
      </w:r>
      <w:r>
        <w:rPr>
          <w:b/>
          <w:noProof/>
          <w:color w:val="4F81BD" w:themeColor="accent1"/>
          <w:sz w:val="18"/>
        </w:rPr>
        <w:t>4</w:t>
      </w:r>
      <w:r w:rsidRPr="00385C7A">
        <w:rPr>
          <w:b/>
          <w:color w:val="4F81BD" w:themeColor="accent1"/>
          <w:sz w:val="18"/>
        </w:rPr>
        <w:fldChar w:fldCharType="end"/>
      </w:r>
      <w:bookmarkEnd w:id="11"/>
      <w:bookmarkEnd w:id="12"/>
      <w:bookmarkEnd w:id="13"/>
      <w:r w:rsidRPr="00385C7A">
        <w:rPr>
          <w:b/>
          <w:color w:val="4F81BD" w:themeColor="accent1"/>
          <w:sz w:val="18"/>
        </w:rPr>
        <w:t>) Curva</w:t>
      </w:r>
      <w:r>
        <w:rPr>
          <w:b/>
          <w:color w:val="4F81BD" w:themeColor="accent1"/>
          <w:sz w:val="18"/>
        </w:rPr>
        <w:t xml:space="preserve"> de</w:t>
      </w:r>
      <w:r w:rsidRPr="00385C7A">
        <w:rPr>
          <w:b/>
          <w:color w:val="4F81BD" w:themeColor="accent1"/>
          <w:sz w:val="18"/>
        </w:rPr>
        <w:t xml:space="preserve"> </w:t>
      </w:r>
      <w:r>
        <w:rPr>
          <w:b/>
          <w:color w:val="4F81BD" w:themeColor="accent1"/>
          <w:sz w:val="18"/>
        </w:rPr>
        <w:t>LET de</w:t>
      </w:r>
      <w:r w:rsidRPr="00385C7A">
        <w:rPr>
          <w:b/>
          <w:color w:val="4F81BD" w:themeColor="accent1"/>
          <w:sz w:val="18"/>
        </w:rPr>
        <w:t xml:space="preserve"> un ion de cloro de 210MeV viajando a través del silicio.</w:t>
      </w:r>
    </w:p>
    <w:p w:rsidR="00AC4FCB" w:rsidRPr="00C42594" w:rsidRDefault="00AC4FCB" w:rsidP="002C4427">
      <w:pPr>
        <w:pStyle w:val="ParrafoTESIS"/>
        <w:rPr>
          <w:b/>
          <w:i/>
        </w:rPr>
      </w:pPr>
      <w:r w:rsidRPr="00C42594">
        <w:rPr>
          <w:b/>
          <w:i/>
        </w:rPr>
        <w:t xml:space="preserve">Ionización Indirecta: </w:t>
      </w:r>
      <w:r w:rsidRPr="00C42594">
        <w:t>Cuando un protón o un neutrón de alta energía entra a una red semiconductora pueden sufrir colisiones inelásticas con un núcleo blando.</w:t>
      </w:r>
      <w:r w:rsidRPr="00820E94">
        <w:rPr>
          <w:i/>
        </w:rPr>
        <w:t xml:space="preserve"> </w:t>
      </w:r>
      <w:r w:rsidRPr="004A1C6C">
        <w:t xml:space="preserve">La ionización directa con partículas ligeras generalmente no genera suficiente energía en su paso como para producir una perturbación, sin embargo protones y neutrones pueden generar niveles significativos de perturbación a </w:t>
      </w:r>
      <w:r>
        <w:t>través de la mecánica indirecta</w:t>
      </w:r>
      <w:r w:rsidRPr="00C42594">
        <w:rPr>
          <w:i/>
        </w:rPr>
        <w:t>.</w:t>
      </w:r>
      <w:r w:rsidRPr="00C42594">
        <w:t xml:space="preserve"> Esto puede desencadenar cualquiera de las siguientes reacciones nucleares posibles:</w:t>
      </w:r>
    </w:p>
    <w:p w:rsidR="00AC4FCB" w:rsidRDefault="00AC4FCB" w:rsidP="004A1C6C">
      <w:pPr>
        <w:pStyle w:val="ParrafoTESIS"/>
        <w:numPr>
          <w:ilvl w:val="0"/>
          <w:numId w:val="6"/>
        </w:numPr>
        <w:rPr>
          <w:b/>
        </w:rPr>
      </w:pPr>
      <w:r w:rsidRPr="00C42594">
        <w:t>Que la colisión inelástica produzca un retroceso de Si</w:t>
      </w:r>
      <w:r>
        <w:t xml:space="preserve"> (silicio)</w:t>
      </w:r>
      <w:r w:rsidRPr="00C42594">
        <w:t>,</w:t>
      </w:r>
    </w:p>
    <w:p w:rsidR="00AC4FCB" w:rsidRDefault="00AC4FCB" w:rsidP="004A1C6C">
      <w:pPr>
        <w:pStyle w:val="ParrafoTESIS"/>
        <w:numPr>
          <w:ilvl w:val="0"/>
          <w:numId w:val="6"/>
        </w:numPr>
        <w:rPr>
          <w:b/>
        </w:rPr>
      </w:pPr>
      <w:r w:rsidRPr="00C42594">
        <w:t>La emisión de partículas alfa y gamma y el retroceso del núcleo hijo (ejemplo, Si emite partículas alfa y retroceso de un núcleo Mg),</w:t>
      </w:r>
    </w:p>
    <w:p w:rsidR="00AC4FCB" w:rsidRDefault="00AC4FCB" w:rsidP="004A1C6C">
      <w:pPr>
        <w:pStyle w:val="ParrafoTESIS"/>
        <w:numPr>
          <w:ilvl w:val="0"/>
          <w:numId w:val="6"/>
        </w:numPr>
        <w:rPr>
          <w:b/>
        </w:rPr>
      </w:pPr>
      <w:r w:rsidRPr="00C42594">
        <w:t>Reacciones de espalación (spallation reactions), donde el núcleo afectado se divide en dos fragmentos, cada uno de los cuales puede retroceder.</w:t>
      </w:r>
    </w:p>
    <w:p w:rsidR="00AC4FCB" w:rsidRPr="00C42594" w:rsidRDefault="00AC4FCB" w:rsidP="002C4427">
      <w:pPr>
        <w:pStyle w:val="ParrafoTESIS"/>
      </w:pPr>
      <w:r w:rsidRPr="00C42594">
        <w:t xml:space="preserve">Cualquiera de estas reacciones puede depositar suficiente energía en su trayectoria de ionización directa, </w:t>
      </w:r>
      <w:r>
        <w:t>siendo</w:t>
      </w:r>
      <w:r w:rsidRPr="00C42594">
        <w:t xml:space="preserve"> partículas más pesadas que los protones y neutrones originales, pudiendo causar perturbaciones en su trayectoria.</w:t>
      </w:r>
    </w:p>
    <w:p w:rsidR="00AC4FCB" w:rsidRPr="00C42594" w:rsidRDefault="00AC4FCB" w:rsidP="002C4427">
      <w:pPr>
        <w:pStyle w:val="ParrafoTESIS"/>
      </w:pPr>
      <w:r w:rsidRPr="00C42594">
        <w:t>El producto de estas colisiones inelásticas típicamente tiene</w:t>
      </w:r>
      <w:r>
        <w:t>n</w:t>
      </w:r>
      <w:r w:rsidRPr="00C42594">
        <w:t xml:space="preserve"> poca energía y no viajan más allá del sitio de impacto de la partícula</w:t>
      </w:r>
      <w:r>
        <w:t xml:space="preserve">, </w:t>
      </w:r>
      <w:r w:rsidRPr="00C42594">
        <w:t xml:space="preserve">tienden a dispersarse hacia adelante en la </w:t>
      </w:r>
      <w:r w:rsidRPr="00C42594">
        <w:lastRenderedPageBreak/>
        <w:t xml:space="preserve">dirección de la partícula original. Como consecuencia, la sensibilidad del SEE pasaría a ser función del ángulo de incidencia de la </w:t>
      </w:r>
      <w:r w:rsidRPr="00820E94">
        <w:t xml:space="preserve">partícula </w:t>
      </w:r>
      <w:sdt>
        <w:sdtPr>
          <w:id w:val="829387"/>
          <w:citation/>
        </w:sdtPr>
        <w:sdtContent>
          <w:fldSimple w:instr=" CITATION Dod03 \l 11274 ">
            <w:r>
              <w:rPr>
                <w:noProof/>
              </w:rPr>
              <w:t>(8)</w:t>
            </w:r>
          </w:fldSimple>
        </w:sdtContent>
      </w:sdt>
      <w:r w:rsidRPr="00820E94">
        <w:t>.</w:t>
      </w:r>
    </w:p>
    <w:p w:rsidR="00AC4FCB" w:rsidRDefault="00AC4FCB" w:rsidP="00CC29BC">
      <w:pPr>
        <w:pStyle w:val="NormalWeb"/>
        <w:keepNext/>
        <w:jc w:val="center"/>
      </w:pPr>
      <w:r>
        <w:rPr>
          <w:rFonts w:asciiTheme="minorHAnsi" w:hAnsiTheme="minorHAnsi" w:cstheme="minorHAnsi"/>
          <w:noProof/>
          <w:sz w:val="22"/>
          <w:szCs w:val="22"/>
        </w:rPr>
        <w:drawing>
          <wp:inline distT="0" distB="0" distL="0" distR="0">
            <wp:extent cx="4541461" cy="1852654"/>
            <wp:effectExtent l="0" t="0" r="0" b="0"/>
            <wp:docPr id="9" name="Imagen 5" descr="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pic:cNvPicPr>
                      <a:picLocks noChangeAspect="1" noChangeArrowheads="1"/>
                    </pic:cNvPicPr>
                  </pic:nvPicPr>
                  <pic:blipFill>
                    <a:blip r:embed="rId12" cstate="print"/>
                    <a:srcRect t="9697" b="21818"/>
                    <a:stretch>
                      <a:fillRect/>
                    </a:stretch>
                  </pic:blipFill>
                  <pic:spPr bwMode="auto">
                    <a:xfrm>
                      <a:off x="0" y="0"/>
                      <a:ext cx="4558229" cy="1859494"/>
                    </a:xfrm>
                    <a:prstGeom prst="rect">
                      <a:avLst/>
                    </a:prstGeom>
                    <a:noFill/>
                    <a:ln w="9525">
                      <a:noFill/>
                      <a:miter lim="800000"/>
                      <a:headEnd/>
                      <a:tailEnd/>
                    </a:ln>
                  </pic:spPr>
                </pic:pic>
              </a:graphicData>
            </a:graphic>
          </wp:inline>
        </w:drawing>
      </w:r>
    </w:p>
    <w:p w:rsidR="00AC4FCB" w:rsidRPr="00820E94" w:rsidRDefault="00AC4FCB" w:rsidP="00CC29BC">
      <w:pPr>
        <w:pStyle w:val="Epgrafe"/>
        <w:jc w:val="center"/>
      </w:pPr>
      <w:r w:rsidRPr="00820E94">
        <w:t xml:space="preserve">Figura </w:t>
      </w:r>
      <w:fldSimple w:instr=" SEQ Figura \* ARABIC ">
        <w:r>
          <w:rPr>
            <w:noProof/>
          </w:rPr>
          <w:t>5</w:t>
        </w:r>
      </w:fldSimple>
      <w:r w:rsidRPr="00820E94">
        <w:t>)</w:t>
      </w:r>
      <w:r w:rsidRPr="00820E94">
        <w:rPr>
          <w:rFonts w:cstheme="minorHAnsi"/>
          <w:sz w:val="22"/>
          <w:szCs w:val="22"/>
        </w:rPr>
        <w:t xml:space="preserve"> </w:t>
      </w:r>
      <w:r>
        <w:rPr>
          <w:rFonts w:cstheme="minorHAnsi"/>
          <w:szCs w:val="22"/>
        </w:rPr>
        <w:t>Rayo</w:t>
      </w:r>
      <w:r w:rsidRPr="00820E94">
        <w:rPr>
          <w:rFonts w:cstheme="minorHAnsi"/>
          <w:szCs w:val="22"/>
        </w:rPr>
        <w:t xml:space="preserve"> cósmico deposita</w:t>
      </w:r>
      <w:r>
        <w:rPr>
          <w:rFonts w:cstheme="minorHAnsi"/>
          <w:szCs w:val="22"/>
        </w:rPr>
        <w:t>ndo</w:t>
      </w:r>
      <w:r w:rsidRPr="00820E94">
        <w:rPr>
          <w:rFonts w:cstheme="minorHAnsi"/>
          <w:szCs w:val="22"/>
        </w:rPr>
        <w:t xml:space="preserve"> energía en un dispositivo </w:t>
      </w:r>
      <w:r>
        <w:rPr>
          <w:rFonts w:cstheme="minorHAnsi"/>
          <w:szCs w:val="22"/>
        </w:rPr>
        <w:t>micro-</w:t>
      </w:r>
      <w:r w:rsidRPr="00820E94">
        <w:rPr>
          <w:rFonts w:cstheme="minorHAnsi"/>
          <w:szCs w:val="22"/>
        </w:rPr>
        <w:t xml:space="preserve">electrónico </w:t>
      </w:r>
      <w:sdt>
        <w:sdtPr>
          <w:rPr>
            <w:rFonts w:cstheme="minorHAnsi"/>
            <w:szCs w:val="22"/>
          </w:rPr>
          <w:id w:val="829389"/>
          <w:citation/>
        </w:sdtPr>
        <w:sdtContent>
          <w:r>
            <w:rPr>
              <w:rFonts w:cstheme="minorHAnsi"/>
              <w:szCs w:val="22"/>
            </w:rPr>
            <w:fldChar w:fldCharType="begin"/>
          </w:r>
          <w:r>
            <w:rPr>
              <w:rFonts w:cstheme="minorHAnsi"/>
              <w:szCs w:val="22"/>
            </w:rPr>
            <w:instrText xml:space="preserve"> CITATION Bed96 \l 11274 </w:instrText>
          </w:r>
          <w:r>
            <w:rPr>
              <w:rFonts w:cstheme="minorHAnsi"/>
              <w:szCs w:val="22"/>
            </w:rPr>
            <w:fldChar w:fldCharType="separate"/>
          </w:r>
          <w:r w:rsidRPr="00AC4FCB">
            <w:rPr>
              <w:rFonts w:cstheme="minorHAnsi"/>
              <w:noProof/>
              <w:szCs w:val="22"/>
            </w:rPr>
            <w:t>(4)</w:t>
          </w:r>
          <w:r>
            <w:rPr>
              <w:rFonts w:cstheme="minorHAnsi"/>
              <w:szCs w:val="22"/>
            </w:rPr>
            <w:fldChar w:fldCharType="end"/>
          </w:r>
        </w:sdtContent>
      </w:sdt>
      <w:r w:rsidRPr="00820E94">
        <w:rPr>
          <w:rFonts w:cstheme="minorHAnsi"/>
          <w:i/>
          <w:szCs w:val="22"/>
        </w:rPr>
        <w:t>.</w:t>
      </w:r>
    </w:p>
    <w:p w:rsidR="00AC4FCB" w:rsidRPr="00C42594" w:rsidRDefault="00AC4FCB" w:rsidP="00F302F8">
      <w:pPr>
        <w:pStyle w:val="Ttulo3"/>
      </w:pPr>
      <w:bookmarkStart w:id="14" w:name="_Toc266984385"/>
      <w:r>
        <w:t xml:space="preserve">1.2.3) </w:t>
      </w:r>
      <w:r w:rsidRPr="00C42594">
        <w:t>Duración del evento</w:t>
      </w:r>
      <w:bookmarkEnd w:id="14"/>
    </w:p>
    <w:p w:rsidR="00AC4FCB" w:rsidRPr="00C42594" w:rsidRDefault="00AC4FCB" w:rsidP="002C4427">
      <w:pPr>
        <w:pStyle w:val="ParrafoTESIS"/>
        <w:rPr>
          <w:lang w:eastAsia="es-AR"/>
        </w:rPr>
      </w:pPr>
      <w:r>
        <w:rPr>
          <w:lang w:eastAsia="es-AR"/>
        </w:rPr>
        <w:t>Los SEEs</w:t>
      </w:r>
      <w:r w:rsidRPr="00C42594">
        <w:rPr>
          <w:lang w:eastAsia="es-AR"/>
        </w:rPr>
        <w:t xml:space="preserve"> pueden ser </w:t>
      </w:r>
      <w:r>
        <w:rPr>
          <w:lang w:eastAsia="es-AR"/>
        </w:rPr>
        <w:t>clasificados</w:t>
      </w:r>
      <w:r w:rsidRPr="00C42594">
        <w:rPr>
          <w:lang w:eastAsia="es-AR"/>
        </w:rPr>
        <w:t xml:space="preserve"> en 3</w:t>
      </w:r>
      <w:r>
        <w:rPr>
          <w:lang w:eastAsia="es-AR"/>
        </w:rPr>
        <w:t xml:space="preserve"> categorías</w:t>
      </w:r>
      <w:r w:rsidRPr="00C42594">
        <w:rPr>
          <w:lang w:eastAsia="es-AR"/>
        </w:rPr>
        <w:t>:</w:t>
      </w:r>
    </w:p>
    <w:p w:rsidR="00AC4FCB" w:rsidRPr="006C2467" w:rsidRDefault="00AC4FCB" w:rsidP="00FF4FDD">
      <w:pPr>
        <w:pStyle w:val="ParrafoTESIS"/>
        <w:numPr>
          <w:ilvl w:val="0"/>
          <w:numId w:val="7"/>
        </w:numPr>
        <w:rPr>
          <w:lang w:eastAsia="es-AR"/>
        </w:rPr>
      </w:pPr>
      <w:r w:rsidRPr="006C2467">
        <w:rPr>
          <w:i/>
          <w:lang w:eastAsia="es-AR"/>
        </w:rPr>
        <w:t>Single Event Upset</w:t>
      </w:r>
      <w:r w:rsidRPr="006C2467">
        <w:rPr>
          <w:lang w:eastAsia="es-AR"/>
        </w:rPr>
        <w:t xml:space="preserve"> (erro</w:t>
      </w:r>
      <w:r>
        <w:rPr>
          <w:lang w:eastAsia="es-AR"/>
        </w:rPr>
        <w:t>r</w:t>
      </w:r>
      <w:r w:rsidRPr="006C2467">
        <w:rPr>
          <w:lang w:eastAsia="es-AR"/>
        </w:rPr>
        <w:t xml:space="preserve"> </w:t>
      </w:r>
      <w:r>
        <w:rPr>
          <w:lang w:eastAsia="es-AR"/>
        </w:rPr>
        <w:t>temporal</w:t>
      </w:r>
      <w:r w:rsidRPr="006C2467">
        <w:rPr>
          <w:lang w:eastAsia="es-AR"/>
        </w:rPr>
        <w:t xml:space="preserve"> de funcionamiento)</w:t>
      </w:r>
    </w:p>
    <w:p w:rsidR="00AC4FCB" w:rsidRPr="003067E0" w:rsidRDefault="00AC4FCB" w:rsidP="00FF4FDD">
      <w:pPr>
        <w:pStyle w:val="ParrafoTESIS"/>
        <w:numPr>
          <w:ilvl w:val="0"/>
          <w:numId w:val="7"/>
        </w:numPr>
        <w:rPr>
          <w:lang w:eastAsia="es-AR"/>
        </w:rPr>
      </w:pPr>
      <w:r w:rsidRPr="003067E0">
        <w:rPr>
          <w:i/>
          <w:lang w:eastAsia="es-AR"/>
        </w:rPr>
        <w:t>Single Event Latchup</w:t>
      </w:r>
      <w:r w:rsidRPr="003067E0">
        <w:rPr>
          <w:lang w:eastAsia="es-AR"/>
        </w:rPr>
        <w:t xml:space="preserve"> (error </w:t>
      </w:r>
      <w:r>
        <w:rPr>
          <w:lang w:eastAsia="es-AR"/>
        </w:rPr>
        <w:t>temporal</w:t>
      </w:r>
      <w:r w:rsidRPr="003067E0">
        <w:rPr>
          <w:lang w:eastAsia="es-AR"/>
        </w:rPr>
        <w:t xml:space="preserve"> o permanent</w:t>
      </w:r>
      <w:r>
        <w:rPr>
          <w:lang w:eastAsia="es-AR"/>
        </w:rPr>
        <w:t>e</w:t>
      </w:r>
      <w:r w:rsidRPr="003067E0">
        <w:rPr>
          <w:lang w:eastAsia="es-AR"/>
        </w:rPr>
        <w:t xml:space="preserve"> de funcionamiento)</w:t>
      </w:r>
    </w:p>
    <w:p w:rsidR="00AC4FCB" w:rsidRPr="006C2467" w:rsidRDefault="00AC4FCB" w:rsidP="00FF4FDD">
      <w:pPr>
        <w:pStyle w:val="ParrafoTESIS"/>
        <w:numPr>
          <w:ilvl w:val="0"/>
          <w:numId w:val="7"/>
        </w:numPr>
        <w:rPr>
          <w:lang w:val="en-US" w:eastAsia="es-AR"/>
        </w:rPr>
      </w:pPr>
      <w:r w:rsidRPr="006C2467">
        <w:rPr>
          <w:i/>
          <w:lang w:val="en-US" w:eastAsia="es-AR"/>
        </w:rPr>
        <w:t>Single Event Burnout</w:t>
      </w:r>
      <w:r w:rsidRPr="006C2467">
        <w:rPr>
          <w:lang w:val="en-US" w:eastAsia="es-AR"/>
        </w:rPr>
        <w:t xml:space="preserve"> (err</w:t>
      </w:r>
      <w:r>
        <w:rPr>
          <w:lang w:val="en-US" w:eastAsia="es-AR"/>
        </w:rPr>
        <w:t xml:space="preserve">or a </w:t>
      </w:r>
      <w:r w:rsidRPr="006B1E00">
        <w:rPr>
          <w:lang w:eastAsia="es-AR"/>
        </w:rPr>
        <w:t>nivel</w:t>
      </w:r>
      <w:r>
        <w:rPr>
          <w:lang w:val="en-US" w:eastAsia="es-AR"/>
        </w:rPr>
        <w:t xml:space="preserve"> hardware, </w:t>
      </w:r>
      <w:r w:rsidRPr="006B1E00">
        <w:rPr>
          <w:lang w:eastAsia="es-AR"/>
        </w:rPr>
        <w:t>destrucción</w:t>
      </w:r>
      <w:r w:rsidRPr="006C2467">
        <w:rPr>
          <w:lang w:val="en-US" w:eastAsia="es-AR"/>
        </w:rPr>
        <w:t>)</w:t>
      </w:r>
    </w:p>
    <w:p w:rsidR="00AC4FCB" w:rsidRPr="00CC76A5" w:rsidRDefault="00AC4FCB" w:rsidP="00CC76A5">
      <w:pPr>
        <w:pStyle w:val="Ttulo4"/>
      </w:pPr>
      <w:r w:rsidRPr="00CC76A5">
        <w:t>Single Event Upset</w:t>
      </w:r>
    </w:p>
    <w:p w:rsidR="00AC4FCB" w:rsidRPr="00C42594" w:rsidRDefault="00AC4FCB" w:rsidP="002C4427">
      <w:pPr>
        <w:pStyle w:val="ParrafoTESIS"/>
        <w:rPr>
          <w:lang w:eastAsia="es-AR"/>
        </w:rPr>
      </w:pPr>
      <w:r w:rsidRPr="00664E6D">
        <w:rPr>
          <w:lang w:eastAsia="es-AR"/>
        </w:rPr>
        <w:t>Single Event Upset (SEU) es definido por la NASA como “</w:t>
      </w:r>
      <w:r w:rsidRPr="00820E94">
        <w:rPr>
          <w:lang w:eastAsia="es-AR"/>
        </w:rPr>
        <w:t>Errores inducidos por radiación en circuitos micro</w:t>
      </w:r>
      <w:r>
        <w:rPr>
          <w:lang w:eastAsia="es-AR"/>
        </w:rPr>
        <w:t>-</w:t>
      </w:r>
      <w:r w:rsidRPr="00820E94">
        <w:rPr>
          <w:lang w:eastAsia="es-AR"/>
        </w:rPr>
        <w:t>electrónicos causados por una partícula cargada (usualmente proveniente del cinturón de radiación o de rayos cósmicos) que pierde energía mientras ioniza el medio que atraviesa, dejado en su recorrido un sendero de pares electr</w:t>
      </w:r>
      <w:r>
        <w:rPr>
          <w:lang w:eastAsia="es-AR"/>
        </w:rPr>
        <w:t>ón-hueco”</w:t>
      </w:r>
      <w:r w:rsidRPr="00664E6D">
        <w:rPr>
          <w:lang w:eastAsia="es-AR"/>
        </w:rPr>
        <w:t xml:space="preserve"> </w:t>
      </w:r>
      <w:sdt>
        <w:sdtPr>
          <w:rPr>
            <w:lang w:eastAsia="es-AR"/>
          </w:rPr>
          <w:id w:val="829390"/>
          <w:citation/>
        </w:sdtPr>
        <w:sdtContent>
          <w:r>
            <w:rPr>
              <w:lang w:eastAsia="es-AR"/>
            </w:rPr>
            <w:fldChar w:fldCharType="begin"/>
          </w:r>
          <w:r>
            <w:rPr>
              <w:lang w:eastAsia="es-AR"/>
            </w:rPr>
            <w:instrText xml:space="preserve"> CITATION LaB96 \l 11274 </w:instrText>
          </w:r>
          <w:r>
            <w:rPr>
              <w:lang w:eastAsia="es-AR"/>
            </w:rPr>
            <w:fldChar w:fldCharType="separate"/>
          </w:r>
          <w:r>
            <w:rPr>
              <w:noProof/>
              <w:lang w:eastAsia="es-AR"/>
            </w:rPr>
            <w:t>(9)</w:t>
          </w:r>
          <w:r>
            <w:rPr>
              <w:lang w:eastAsia="es-AR"/>
            </w:rPr>
            <w:fldChar w:fldCharType="end"/>
          </w:r>
        </w:sdtContent>
      </w:sdt>
      <w:r>
        <w:rPr>
          <w:lang w:eastAsia="es-AR"/>
        </w:rPr>
        <w:t>.</w:t>
      </w:r>
      <w:r w:rsidRPr="00820E94">
        <w:rPr>
          <w:highlight w:val="yellow"/>
          <w:lang w:eastAsia="es-AR"/>
        </w:rPr>
        <w:t xml:space="preserve"> </w:t>
      </w:r>
    </w:p>
    <w:p w:rsidR="00AC4FCB" w:rsidRPr="00C42594" w:rsidRDefault="00AC4FCB" w:rsidP="002C4427">
      <w:pPr>
        <w:pStyle w:val="ParrafoTESIS"/>
        <w:rPr>
          <w:lang w:eastAsia="es-AR"/>
        </w:rPr>
      </w:pPr>
      <w:r w:rsidRPr="00C42594">
        <w:rPr>
          <w:lang w:eastAsia="es-AR"/>
        </w:rPr>
        <w:t>SEUs son errores transitorios de software y no destructivos para el circuito, tan solo afectan a su funcionamiento temporalmente, por lo cual, un re</w:t>
      </w:r>
      <w:r>
        <w:rPr>
          <w:lang w:eastAsia="es-AR"/>
        </w:rPr>
        <w:t>inicio</w:t>
      </w:r>
      <w:r w:rsidRPr="00C42594">
        <w:rPr>
          <w:lang w:eastAsia="es-AR"/>
        </w:rPr>
        <w:t xml:space="preserve"> o un</w:t>
      </w:r>
      <w:r>
        <w:rPr>
          <w:lang w:eastAsia="es-AR"/>
        </w:rPr>
        <w:t>a</w:t>
      </w:r>
      <w:r w:rsidRPr="00C42594">
        <w:rPr>
          <w:lang w:eastAsia="es-AR"/>
        </w:rPr>
        <w:t xml:space="preserve"> sobre-escritura en el dispositivo </w:t>
      </w:r>
      <w:r>
        <w:rPr>
          <w:lang w:eastAsia="es-AR"/>
        </w:rPr>
        <w:t>es necesaria para llevarlo</w:t>
      </w:r>
      <w:r w:rsidRPr="00C42594">
        <w:rPr>
          <w:lang w:eastAsia="es-AR"/>
        </w:rPr>
        <w:t xml:space="preserve"> a su funcionamiento normal.</w:t>
      </w:r>
    </w:p>
    <w:p w:rsidR="00AC4FCB" w:rsidRPr="00C42594" w:rsidRDefault="00AC4FCB" w:rsidP="002C4427">
      <w:pPr>
        <w:pStyle w:val="ParrafoTESIS"/>
        <w:rPr>
          <w:lang w:eastAsia="es-AR"/>
        </w:rPr>
      </w:pPr>
      <w:r w:rsidRPr="00C42594">
        <w:rPr>
          <w:lang w:eastAsia="es-AR"/>
        </w:rPr>
        <w:t>Los SEUs pueden ocurrir en circuitos analógicos, digitales o en componentes ópticos, también</w:t>
      </w:r>
      <w:r>
        <w:rPr>
          <w:lang w:eastAsia="es-AR"/>
        </w:rPr>
        <w:t xml:space="preserve"> pueden</w:t>
      </w:r>
      <w:r w:rsidRPr="00C42594">
        <w:rPr>
          <w:lang w:eastAsia="es-AR"/>
        </w:rPr>
        <w:t xml:space="preserve"> generar un efecto no deseado en las zonas que </w:t>
      </w:r>
      <w:r>
        <w:rPr>
          <w:lang w:eastAsia="es-AR"/>
        </w:rPr>
        <w:t xml:space="preserve">lo </w:t>
      </w:r>
      <w:r w:rsidRPr="00C42594">
        <w:rPr>
          <w:lang w:eastAsia="es-AR"/>
        </w:rPr>
        <w:t>rodean. T</w:t>
      </w:r>
      <w:r>
        <w:rPr>
          <w:lang w:eastAsia="es-AR"/>
        </w:rPr>
        <w:t>í</w:t>
      </w:r>
      <w:r w:rsidRPr="00C42594">
        <w:rPr>
          <w:lang w:eastAsia="es-AR"/>
        </w:rPr>
        <w:t xml:space="preserve">picamente aparecen en el circuito como un pulso transitorio o un cambio de estado lógico de algún bit en celdas de memoria o registros. En algunas ocasiones, un ion puede afectar dos o múltiples bits ocasionando varios cambios, a lo </w:t>
      </w:r>
      <w:r>
        <w:rPr>
          <w:lang w:eastAsia="es-AR"/>
        </w:rPr>
        <w:t>que</w:t>
      </w:r>
      <w:r w:rsidRPr="00C42594">
        <w:rPr>
          <w:lang w:eastAsia="es-AR"/>
        </w:rPr>
        <w:t xml:space="preserve"> llamamos </w:t>
      </w:r>
      <w:r>
        <w:rPr>
          <w:i/>
          <w:lang w:eastAsia="es-AR"/>
        </w:rPr>
        <w:t>Perturbación de Múltiples Bits</w:t>
      </w:r>
      <w:r w:rsidRPr="00C42594">
        <w:rPr>
          <w:lang w:eastAsia="es-AR"/>
        </w:rPr>
        <w:t xml:space="preserve"> o MBU (Multiple Bit Upset), </w:t>
      </w:r>
      <w:r>
        <w:rPr>
          <w:lang w:eastAsia="es-AR"/>
        </w:rPr>
        <w:t>implicando</w:t>
      </w:r>
      <w:r w:rsidRPr="00C42594">
        <w:rPr>
          <w:lang w:eastAsia="es-AR"/>
        </w:rPr>
        <w:t xml:space="preserve"> un gran problema para el sistema de detección</w:t>
      </w:r>
      <w:r>
        <w:rPr>
          <w:lang w:eastAsia="es-AR"/>
        </w:rPr>
        <w:t xml:space="preserve"> y corrección de errores EDAC (E</w:t>
      </w:r>
      <w:r w:rsidRPr="00C42594">
        <w:rPr>
          <w:lang w:eastAsia="es-AR"/>
        </w:rPr>
        <w:t xml:space="preserve">rror </w:t>
      </w:r>
      <w:r>
        <w:rPr>
          <w:lang w:eastAsia="es-AR"/>
        </w:rPr>
        <w:t>Detection A</w:t>
      </w:r>
      <w:r w:rsidRPr="00C42594">
        <w:rPr>
          <w:lang w:eastAsia="es-AR"/>
        </w:rPr>
        <w:t xml:space="preserve">nd </w:t>
      </w:r>
      <w:r>
        <w:rPr>
          <w:lang w:eastAsia="es-AR"/>
        </w:rPr>
        <w:t>C</w:t>
      </w:r>
      <w:r w:rsidRPr="00C42594">
        <w:rPr>
          <w:lang w:eastAsia="es-AR"/>
        </w:rPr>
        <w:t>orrection).</w:t>
      </w:r>
    </w:p>
    <w:p w:rsidR="00AC4FCB" w:rsidRDefault="00AC4FCB" w:rsidP="002C4427">
      <w:pPr>
        <w:pStyle w:val="ParrafoTESIS"/>
        <w:rPr>
          <w:lang w:eastAsia="es-AR"/>
        </w:rPr>
      </w:pPr>
      <w:r w:rsidRPr="00C42594">
        <w:rPr>
          <w:lang w:eastAsia="es-AR"/>
        </w:rPr>
        <w:lastRenderedPageBreak/>
        <w:t xml:space="preserve">Un SEU de severa gravedad es un </w:t>
      </w:r>
      <w:r>
        <w:rPr>
          <w:i/>
          <w:lang w:eastAsia="es-AR"/>
        </w:rPr>
        <w:t xml:space="preserve">Evento Único de Interrupción Funcional </w:t>
      </w:r>
      <w:r>
        <w:rPr>
          <w:lang w:eastAsia="es-AR"/>
        </w:rPr>
        <w:t>(</w:t>
      </w:r>
      <w:r w:rsidRPr="00C42594">
        <w:rPr>
          <w:lang w:eastAsia="es-AR"/>
        </w:rPr>
        <w:t xml:space="preserve">Single Event Functional </w:t>
      </w:r>
      <w:r>
        <w:rPr>
          <w:lang w:eastAsia="es-AR"/>
        </w:rPr>
        <w:t>I</w:t>
      </w:r>
      <w:r w:rsidRPr="00C42594">
        <w:rPr>
          <w:lang w:eastAsia="es-AR"/>
        </w:rPr>
        <w:t xml:space="preserve">nterrupt </w:t>
      </w:r>
      <w:r>
        <w:rPr>
          <w:lang w:eastAsia="es-AR"/>
        </w:rPr>
        <w:t xml:space="preserve">- </w:t>
      </w:r>
      <w:r w:rsidRPr="00C42594">
        <w:rPr>
          <w:lang w:eastAsia="es-AR"/>
        </w:rPr>
        <w:t>SEFI)</w:t>
      </w:r>
      <w:r>
        <w:rPr>
          <w:lang w:eastAsia="es-AR"/>
        </w:rPr>
        <w:t xml:space="preserve"> el cual afecta a</w:t>
      </w:r>
      <w:r w:rsidRPr="00C42594">
        <w:rPr>
          <w:lang w:eastAsia="es-AR"/>
        </w:rPr>
        <w:t>l sistema de control del circuito</w:t>
      </w:r>
      <w:r>
        <w:rPr>
          <w:lang w:eastAsia="es-AR"/>
        </w:rPr>
        <w:t>,</w:t>
      </w:r>
      <w:r w:rsidRPr="00C42594">
        <w:rPr>
          <w:lang w:eastAsia="es-AR"/>
        </w:rPr>
        <w:t xml:space="preserve"> pudiendo configurarlo en un modo de test</w:t>
      </w:r>
      <w:r>
        <w:rPr>
          <w:lang w:eastAsia="es-AR"/>
        </w:rPr>
        <w:t>e</w:t>
      </w:r>
      <w:r w:rsidRPr="00C42594">
        <w:rPr>
          <w:lang w:eastAsia="es-AR"/>
        </w:rPr>
        <w:t>o, de cambio de estado de trabajo, o simplemente a uno no definido en el sistema. El SEFI saca al dispositivo de su</w:t>
      </w:r>
      <w:r>
        <w:rPr>
          <w:lang w:eastAsia="es-AR"/>
        </w:rPr>
        <w:t xml:space="preserve"> correcto</w:t>
      </w:r>
      <w:r w:rsidRPr="00C42594">
        <w:rPr>
          <w:lang w:eastAsia="es-AR"/>
        </w:rPr>
        <w:t xml:space="preserve"> funcionamient</w:t>
      </w:r>
      <w:r>
        <w:rPr>
          <w:lang w:eastAsia="es-AR"/>
        </w:rPr>
        <w:t>o, por lo que requiere de un reinicio (</w:t>
      </w:r>
      <w:r w:rsidRPr="00C42594">
        <w:rPr>
          <w:lang w:eastAsia="es-AR"/>
        </w:rPr>
        <w:t>power</w:t>
      </w:r>
      <w:r>
        <w:rPr>
          <w:lang w:eastAsia="es-AR"/>
        </w:rPr>
        <w:t>-</w:t>
      </w:r>
      <w:r w:rsidRPr="00C42594">
        <w:rPr>
          <w:lang w:eastAsia="es-AR"/>
        </w:rPr>
        <w:t>reset</w:t>
      </w:r>
      <w:r>
        <w:rPr>
          <w:lang w:eastAsia="es-AR"/>
        </w:rPr>
        <w:t>)</w:t>
      </w:r>
      <w:r w:rsidRPr="00C42594">
        <w:rPr>
          <w:lang w:eastAsia="es-AR"/>
        </w:rPr>
        <w:t xml:space="preserve"> para </w:t>
      </w:r>
      <w:r>
        <w:rPr>
          <w:lang w:eastAsia="es-AR"/>
        </w:rPr>
        <w:t>normalizarse</w:t>
      </w:r>
      <w:r w:rsidRPr="00C42594">
        <w:rPr>
          <w:lang w:eastAsia="es-AR"/>
        </w:rPr>
        <w:t>.</w:t>
      </w:r>
    </w:p>
    <w:p w:rsidR="00AC4FCB" w:rsidRPr="001F1F48" w:rsidRDefault="00AC4FCB" w:rsidP="00CC76A5">
      <w:pPr>
        <w:pStyle w:val="Ttulo4"/>
        <w:rPr>
          <w:rFonts w:eastAsia="Times New Roman"/>
          <w:lang w:eastAsia="es-AR"/>
        </w:rPr>
      </w:pPr>
      <w:r w:rsidRPr="001F1F48">
        <w:rPr>
          <w:rFonts w:eastAsia="Times New Roman"/>
          <w:lang w:eastAsia="es-AR"/>
        </w:rPr>
        <w:t>Single Event Latchup</w:t>
      </w:r>
    </w:p>
    <w:p w:rsidR="00AC4FCB" w:rsidRPr="00C42594" w:rsidRDefault="00AC4FCB" w:rsidP="002C4427">
      <w:pPr>
        <w:pStyle w:val="ParrafoTESIS"/>
        <w:rPr>
          <w:lang w:eastAsia="es-AR"/>
        </w:rPr>
      </w:pPr>
      <w:r w:rsidRPr="00C42594">
        <w:rPr>
          <w:lang w:eastAsia="es-AR"/>
        </w:rPr>
        <w:t>Single Event Latchup (SEL</w:t>
      </w:r>
      <w:r>
        <w:rPr>
          <w:lang w:eastAsia="es-AR"/>
        </w:rPr>
        <w:t xml:space="preserve"> – Evento Único de Enclavamiento</w:t>
      </w:r>
      <w:r w:rsidRPr="00C42594">
        <w:rPr>
          <w:lang w:eastAsia="es-AR"/>
        </w:rPr>
        <w:t xml:space="preserve">) </w:t>
      </w:r>
      <w:r>
        <w:rPr>
          <w:lang w:eastAsia="es-AR"/>
        </w:rPr>
        <w:t>es una condición que causa pé</w:t>
      </w:r>
      <w:r w:rsidRPr="00C42594">
        <w:rPr>
          <w:lang w:eastAsia="es-AR"/>
        </w:rPr>
        <w:t>rdida de funcionalidad del dispositivo debido a un SEU</w:t>
      </w:r>
      <w:r>
        <w:rPr>
          <w:lang w:eastAsia="es-AR"/>
        </w:rPr>
        <w:t>,</w:t>
      </w:r>
      <w:r w:rsidRPr="00C42594">
        <w:rPr>
          <w:lang w:eastAsia="es-AR"/>
        </w:rPr>
        <w:t xml:space="preserve"> llevándolo a un estado estacionario. Los SELs se clasifican como </w:t>
      </w:r>
      <w:r>
        <w:rPr>
          <w:lang w:eastAsia="es-AR"/>
        </w:rPr>
        <w:t xml:space="preserve">errores físicos </w:t>
      </w:r>
      <w:r w:rsidRPr="00C42594">
        <w:rPr>
          <w:lang w:eastAsia="es-AR"/>
        </w:rPr>
        <w:t xml:space="preserve">y son potencialmente destructivos, pudiendo causar daños permanentes </w:t>
      </w:r>
      <w:r>
        <w:rPr>
          <w:lang w:eastAsia="es-AR"/>
        </w:rPr>
        <w:t>como</w:t>
      </w:r>
      <w:r w:rsidRPr="00C42594">
        <w:rPr>
          <w:lang w:eastAsia="es-AR"/>
        </w:rPr>
        <w:t xml:space="preserve"> consecuencia de un estado de alta corriente de funcionamiento, por arriba de las especificaciones. Esta condición de </w:t>
      </w:r>
      <w:r>
        <w:rPr>
          <w:lang w:eastAsia="es-AR"/>
        </w:rPr>
        <w:t>enclavamiento</w:t>
      </w:r>
      <w:r w:rsidRPr="00C42594">
        <w:rPr>
          <w:lang w:eastAsia="es-AR"/>
        </w:rPr>
        <w:t xml:space="preserve"> puede destruir los dispositivos, </w:t>
      </w:r>
      <w:r>
        <w:rPr>
          <w:lang w:eastAsia="es-AR"/>
        </w:rPr>
        <w:t>llevar</w:t>
      </w:r>
      <w:r w:rsidRPr="00C42594">
        <w:rPr>
          <w:lang w:eastAsia="es-AR"/>
        </w:rPr>
        <w:t xml:space="preserve"> la tensión del bus a cero, o dañar la fuente de alimentación. Originalmente, el concepto de </w:t>
      </w:r>
      <w:r>
        <w:rPr>
          <w:lang w:eastAsia="es-AR"/>
        </w:rPr>
        <w:t>enclavamiento</w:t>
      </w:r>
      <w:r w:rsidRPr="00C42594">
        <w:rPr>
          <w:lang w:eastAsia="es-AR"/>
        </w:rPr>
        <w:t xml:space="preserve"> era causado por un ion pesado, pero en dispositivos muy sensibles, puede ser originado por protones.</w:t>
      </w:r>
    </w:p>
    <w:p w:rsidR="00AC4FCB" w:rsidRPr="00C42594" w:rsidRDefault="00AC4FCB" w:rsidP="002C4427">
      <w:pPr>
        <w:pStyle w:val="ParrafoTESIS"/>
        <w:rPr>
          <w:lang w:eastAsia="es-AR"/>
        </w:rPr>
      </w:pPr>
      <w:r w:rsidRPr="00C42594">
        <w:rPr>
          <w:lang w:eastAsia="es-AR"/>
        </w:rPr>
        <w:t>Un SEL puede ser eliminado del circui</w:t>
      </w:r>
      <w:r>
        <w:rPr>
          <w:lang w:eastAsia="es-AR"/>
        </w:rPr>
        <w:t>to a través de un encendido-apagado (power off-on</w:t>
      </w:r>
      <w:r w:rsidRPr="00C42594">
        <w:rPr>
          <w:lang w:eastAsia="es-AR"/>
        </w:rPr>
        <w:t xml:space="preserve">) del mismo. Si dicho </w:t>
      </w:r>
      <w:r>
        <w:rPr>
          <w:lang w:eastAsia="es-AR"/>
        </w:rPr>
        <w:t>proceso</w:t>
      </w:r>
      <w:r w:rsidRPr="00C42594">
        <w:rPr>
          <w:lang w:eastAsia="es-AR"/>
        </w:rPr>
        <w:t xml:space="preserve"> no es realizado en </w:t>
      </w:r>
      <w:r>
        <w:rPr>
          <w:lang w:eastAsia="es-AR"/>
        </w:rPr>
        <w:t xml:space="preserve">la </w:t>
      </w:r>
      <w:r w:rsidRPr="00C42594">
        <w:rPr>
          <w:lang w:eastAsia="es-AR"/>
        </w:rPr>
        <w:t xml:space="preserve">brevedad, el calentamiento del dispositivo por condiciones no favorables de funcionamiento podría concluir en una falla permanente. Los SELs son fuertemente dependientes de la temperatura, el umbral para el </w:t>
      </w:r>
      <w:r>
        <w:rPr>
          <w:lang w:eastAsia="es-AR"/>
        </w:rPr>
        <w:t>enclavamiento</w:t>
      </w:r>
      <w:r w:rsidRPr="00C42594">
        <w:rPr>
          <w:lang w:eastAsia="es-AR"/>
        </w:rPr>
        <w:t xml:space="preserve"> disminuye con el aumento de la temperatura, así como con el aumento de la sección transversal</w:t>
      </w:r>
      <w:r>
        <w:rPr>
          <w:lang w:eastAsia="es-AR"/>
        </w:rPr>
        <w:t xml:space="preserve"> </w:t>
      </w:r>
      <w:sdt>
        <w:sdtPr>
          <w:rPr>
            <w:lang w:eastAsia="es-AR"/>
          </w:rPr>
          <w:id w:val="829391"/>
          <w:citation/>
        </w:sdtPr>
        <w:sdtContent>
          <w:r>
            <w:rPr>
              <w:lang w:eastAsia="es-AR"/>
            </w:rPr>
            <w:fldChar w:fldCharType="begin"/>
          </w:r>
          <w:r>
            <w:rPr>
              <w:lang w:eastAsia="es-AR"/>
            </w:rPr>
            <w:instrText xml:space="preserve"> CITATION Mou94 \l 11274 </w:instrText>
          </w:r>
          <w:r>
            <w:rPr>
              <w:lang w:eastAsia="es-AR"/>
            </w:rPr>
            <w:fldChar w:fldCharType="separate"/>
          </w:r>
          <w:r>
            <w:rPr>
              <w:noProof/>
              <w:lang w:eastAsia="es-AR"/>
            </w:rPr>
            <w:t>(10)</w:t>
          </w:r>
          <w:r>
            <w:rPr>
              <w:lang w:eastAsia="es-AR"/>
            </w:rPr>
            <w:fldChar w:fldCharType="end"/>
          </w:r>
        </w:sdtContent>
      </w:sdt>
      <w:r w:rsidRPr="00C42594">
        <w:rPr>
          <w:lang w:eastAsia="es-AR"/>
        </w:rPr>
        <w:t>.</w:t>
      </w:r>
    </w:p>
    <w:p w:rsidR="00AC4FCB" w:rsidRPr="001F1F48" w:rsidRDefault="00AC4FCB" w:rsidP="00CC76A5">
      <w:pPr>
        <w:pStyle w:val="Ttulo4"/>
        <w:rPr>
          <w:rFonts w:eastAsia="Times New Roman"/>
          <w:lang w:eastAsia="es-AR"/>
        </w:rPr>
      </w:pPr>
      <w:r w:rsidRPr="001F1F48">
        <w:rPr>
          <w:rFonts w:eastAsia="Times New Roman"/>
          <w:lang w:eastAsia="es-AR"/>
        </w:rPr>
        <w:t>Single Event Burnout</w:t>
      </w:r>
    </w:p>
    <w:p w:rsidR="00AC4FCB" w:rsidRPr="00C42594" w:rsidRDefault="00AC4FCB" w:rsidP="002C4427">
      <w:pPr>
        <w:pStyle w:val="ParrafoTESIS"/>
      </w:pPr>
      <w:r w:rsidRPr="00C42594">
        <w:t>Single Event Burnout (SEB</w:t>
      </w:r>
      <w:r>
        <w:t xml:space="preserve"> – Evento Destructivo Único</w:t>
      </w:r>
      <w:r w:rsidRPr="00C42594">
        <w:t xml:space="preserve">) es una condición que puede causar la destrucción del dispositivo por un estado de alta corriente en un transistor de potencia. </w:t>
      </w:r>
      <w:r>
        <w:t xml:space="preserve">Un </w:t>
      </w:r>
      <w:r w:rsidRPr="00C42594">
        <w:t>SEB causa que el dispositivo falle permanentemente, incluyendo destrucción de MOSFET de potencia, ruptura de compuertas</w:t>
      </w:r>
      <w:r>
        <w:t xml:space="preserve"> (Gates), congelamiento de bits o</w:t>
      </w:r>
      <w:r w:rsidRPr="00C42594">
        <w:t xml:space="preserve"> ruido en </w:t>
      </w:r>
      <w:r w:rsidRPr="00CC29BC">
        <w:t>CCDs (charge-couple devices</w:t>
      </w:r>
      <w:r>
        <w:t xml:space="preserve"> – dispositivos acopladores de cargas</w:t>
      </w:r>
      <w:r w:rsidRPr="00CC29BC">
        <w:t>).</w:t>
      </w:r>
      <w:r w:rsidRPr="00C42594">
        <w:t xml:space="preserve"> </w:t>
      </w:r>
      <w:r>
        <w:t>P</w:t>
      </w:r>
      <w:r w:rsidRPr="00C42594">
        <w:t>uede</w:t>
      </w:r>
      <w:r>
        <w:t>n</w:t>
      </w:r>
      <w:r w:rsidRPr="00C42594">
        <w:t xml:space="preserve"> desencadenar un</w:t>
      </w:r>
      <w:r>
        <w:t xml:space="preserve"> cambio del punto de trabajo </w:t>
      </w:r>
      <w:r w:rsidRPr="00C42594">
        <w:t xml:space="preserve">de un MOSFET de </w:t>
      </w:r>
      <w:r>
        <w:t>potencia que haya estado en OFF-S</w:t>
      </w:r>
      <w:r w:rsidRPr="00C42594">
        <w:t>tate (estado inactivo)</w:t>
      </w:r>
      <w:r>
        <w:t>,</w:t>
      </w:r>
      <w:r w:rsidRPr="00C42594">
        <w:t xml:space="preserve"> cuando un ion pesado deposite suficiente carga como para encender dicho dispositivo</w:t>
      </w:r>
      <w:r w:rsidRPr="00CA44A3">
        <w:t xml:space="preserve"> </w:t>
      </w:r>
      <w:r>
        <w:t>cuando</w:t>
      </w:r>
      <w:r w:rsidRPr="00C42594">
        <w:t xml:space="preserve"> lo atraviese. Fue demostrado que la susceptibilidad de los dispositivos a los SEB di</w:t>
      </w:r>
      <w:r>
        <w:t>sminuye con el aumento</w:t>
      </w:r>
      <w:r w:rsidRPr="00C42594">
        <w:t xml:space="preserve"> </w:t>
      </w:r>
      <w:r>
        <w:t>de</w:t>
      </w:r>
      <w:r w:rsidRPr="00C42594">
        <w:t xml:space="preserve"> la temperatura</w:t>
      </w:r>
      <w:r>
        <w:t xml:space="preserve"> </w:t>
      </w:r>
      <w:sdt>
        <w:sdtPr>
          <w:id w:val="829392"/>
          <w:citation/>
        </w:sdtPr>
        <w:sdtContent>
          <w:fldSimple w:instr=" CITATION Joh92 \l 11274 ">
            <w:r>
              <w:rPr>
                <w:noProof/>
              </w:rPr>
              <w:t>(11)</w:t>
            </w:r>
          </w:fldSimple>
        </w:sdtContent>
      </w:sdt>
      <w:r w:rsidRPr="00C42594">
        <w:t>.</w:t>
      </w:r>
    </w:p>
    <w:p w:rsidR="00AC4FCB" w:rsidRDefault="00AC4FCB" w:rsidP="002C4427">
      <w:pPr>
        <w:pStyle w:val="ParrafoTESIS"/>
      </w:pPr>
      <w:r w:rsidRPr="00C42594">
        <w:t>Un</w:t>
      </w:r>
      <w:r>
        <w:t xml:space="preserve"> SEB puede producir en un</w:t>
      </w:r>
      <w:r w:rsidRPr="00C42594">
        <w:t xml:space="preserve"> MOSFET de potencia un </w:t>
      </w:r>
      <w:r w:rsidRPr="004D5352">
        <w:rPr>
          <w:i/>
        </w:rPr>
        <w:t>Single Event Gate Rupture</w:t>
      </w:r>
      <w:r w:rsidRPr="00C42594">
        <w:t xml:space="preserve"> (SEGR</w:t>
      </w:r>
      <w:r>
        <w:t xml:space="preserve"> – Evento Único de Ruptura de Compuerta</w:t>
      </w:r>
      <w:r w:rsidRPr="00C42594">
        <w:t>)</w:t>
      </w:r>
      <w:r>
        <w:t>,</w:t>
      </w:r>
      <w:r w:rsidRPr="00C42594">
        <w:t xml:space="preserve"> que es la formación de un camino conductor (ruptura dieléctrica localizada) en la </w:t>
      </w:r>
      <w:r>
        <w:t>compuerta,</w:t>
      </w:r>
      <w:r w:rsidRPr="00C42594">
        <w:t xml:space="preserve"> originando la destrucción del dispositivo</w:t>
      </w:r>
      <w:r>
        <w:t xml:space="preserve"> </w:t>
      </w:r>
      <w:sdt>
        <w:sdtPr>
          <w:id w:val="829393"/>
          <w:citation/>
        </w:sdtPr>
        <w:sdtContent>
          <w:fldSimple w:instr=" CITATION Hol06 \l 11274 ">
            <w:r>
              <w:rPr>
                <w:noProof/>
              </w:rPr>
              <w:t>(12)</w:t>
            </w:r>
          </w:fldSimple>
        </w:sdtContent>
      </w:sdt>
      <w:r w:rsidRPr="00C42594">
        <w:t>.</w:t>
      </w:r>
    </w:p>
    <w:p w:rsidR="00AC4FCB" w:rsidRPr="00CA268A" w:rsidRDefault="00AC4FCB" w:rsidP="00F302F8">
      <w:pPr>
        <w:pStyle w:val="Ttulo2"/>
      </w:pPr>
      <w:bookmarkStart w:id="15" w:name="_Toc266984387"/>
      <w:r>
        <w:lastRenderedPageBreak/>
        <w:t xml:space="preserve">1.3) </w:t>
      </w:r>
      <w:r w:rsidRPr="00CA268A">
        <w:t>MODELADO DE LA FALLA</w:t>
      </w:r>
      <w:bookmarkEnd w:id="15"/>
    </w:p>
    <w:p w:rsidR="00AC4FCB" w:rsidRPr="00CA268A" w:rsidRDefault="00AC4FCB" w:rsidP="00F302F8">
      <w:pPr>
        <w:pStyle w:val="Ttulo3"/>
      </w:pPr>
      <w:bookmarkStart w:id="16" w:name="_Toc266984388"/>
      <w:r>
        <w:t xml:space="preserve">1.3.1) </w:t>
      </w:r>
      <w:r w:rsidRPr="00CA268A">
        <w:t xml:space="preserve">Modelo </w:t>
      </w:r>
      <w:bookmarkEnd w:id="16"/>
      <w:r>
        <w:t>típico</w:t>
      </w:r>
    </w:p>
    <w:p w:rsidR="00AC4FCB" w:rsidRPr="00CA268A" w:rsidRDefault="00AC4FCB" w:rsidP="002C4427">
      <w:pPr>
        <w:pStyle w:val="ParrafoTESIS"/>
      </w:pPr>
      <w:r>
        <w:t>Los SETs son</w:t>
      </w:r>
      <w:r w:rsidRPr="00CA268A">
        <w:t xml:space="preserve"> difícil</w:t>
      </w:r>
      <w:r>
        <w:t>es</w:t>
      </w:r>
      <w:r w:rsidRPr="00CA268A">
        <w:t xml:space="preserve"> de simular debido a que </w:t>
      </w:r>
      <w:r>
        <w:t>dependen, no solo de las características del pul</w:t>
      </w:r>
      <w:r w:rsidRPr="00CA268A">
        <w:t>so</w:t>
      </w:r>
      <w:r>
        <w:t xml:space="preserve"> generado, sino también a la </w:t>
      </w:r>
      <w:r w:rsidRPr="00CA268A">
        <w:t xml:space="preserve">respuesta dinámica del circuito en sí. El transitorio puede ser modelado como una inyección de tipo doble exponencial de corriente, </w:t>
      </w:r>
      <w:r w:rsidRPr="00545093">
        <w:t xml:space="preserve">según </w:t>
      </w:r>
      <w:sdt>
        <w:sdtPr>
          <w:id w:val="829397"/>
          <w:citation/>
        </w:sdtPr>
        <w:sdtContent>
          <w:fldSimple w:instr=" CITATION Mes82 \l 11274 ">
            <w:r>
              <w:rPr>
                <w:noProof/>
              </w:rPr>
              <w:t>(13)</w:t>
            </w:r>
          </w:fldSimple>
        </w:sdtContent>
      </w:sdt>
      <w:r>
        <w:t>.</w:t>
      </w:r>
    </w:p>
    <w:p w:rsidR="00AC4FCB" w:rsidRPr="00CA268A" w:rsidRDefault="00AC4FCB" w:rsidP="002C4427">
      <w:pPr>
        <w:pStyle w:val="ParrafoTESIS"/>
      </w:pPr>
      <m:oMathPara>
        <m:oMath>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Q</m:t>
              </m:r>
            </m:num>
            <m:den>
              <m:sSub>
                <m:sSubPr>
                  <m:ctrlPr>
                    <w:rPr>
                      <w:rFonts w:ascii="Cambria Math" w:hAnsi="Cambria Math"/>
                    </w:rPr>
                  </m:ctrlPr>
                </m:sSubPr>
                <m:e>
                  <m:r>
                    <w:rPr>
                      <w:rFonts w:ascii="Cambria Math" w:hAnsi="Cambria Math"/>
                    </w:rPr>
                    <m:t>τ</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den>
          </m:f>
          <m:d>
            <m:dPr>
              <m:ctrlPr>
                <w:rPr>
                  <w:rFonts w:ascii="Cambria Math" w:hAnsi="Cambria Math"/>
                </w:rPr>
              </m:ctrlPr>
            </m:dPr>
            <m:e>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t</m:t>
                      </m:r>
                    </m:num>
                    <m:den>
                      <m:sSub>
                        <m:sSubPr>
                          <m:ctrlPr>
                            <w:rPr>
                              <w:rFonts w:ascii="Cambria Math" w:hAnsi="Cambria Math"/>
                            </w:rPr>
                          </m:ctrlPr>
                        </m:sSubPr>
                        <m:e>
                          <m:r>
                            <w:rPr>
                              <w:rFonts w:ascii="Cambria Math" w:hAnsi="Cambria Math"/>
                            </w:rPr>
                            <m:t>τ</m:t>
                          </m:r>
                        </m:e>
                        <m:sub>
                          <m:r>
                            <m:rPr>
                              <m:sty m:val="p"/>
                            </m:rPr>
                            <w:rPr>
                              <w:rFonts w:ascii="Cambria Math" w:hAnsi="Cambria Math"/>
                            </w:rPr>
                            <m:t>1</m:t>
                          </m:r>
                        </m:sub>
                      </m:sSub>
                    </m:den>
                  </m:f>
                </m:sup>
              </m:sSup>
              <m:r>
                <m:rPr>
                  <m:sty m:val="p"/>
                </m:rP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t</m:t>
                      </m:r>
                    </m:num>
                    <m:den>
                      <m:sSub>
                        <m:sSubPr>
                          <m:ctrlPr>
                            <w:rPr>
                              <w:rFonts w:ascii="Cambria Math" w:hAnsi="Cambria Math"/>
                            </w:rPr>
                          </m:ctrlPr>
                        </m:sSubPr>
                        <m:e>
                          <m:r>
                            <w:rPr>
                              <w:rFonts w:ascii="Cambria Math" w:hAnsi="Cambria Math"/>
                            </w:rPr>
                            <m:t>τ</m:t>
                          </m:r>
                        </m:e>
                        <m:sub>
                          <m:r>
                            <m:rPr>
                              <m:sty m:val="p"/>
                            </m:rPr>
                            <w:rPr>
                              <w:rFonts w:ascii="Cambria Math" w:hAnsi="Cambria Math"/>
                            </w:rPr>
                            <m:t>2</m:t>
                          </m:r>
                        </m:sub>
                      </m:sSub>
                    </m:den>
                  </m:f>
                </m:sup>
              </m:sSup>
            </m:e>
          </m:d>
        </m:oMath>
      </m:oMathPara>
    </w:p>
    <w:p w:rsidR="00AC4FCB" w:rsidRPr="00CA268A" w:rsidRDefault="00AC4FCB" w:rsidP="002C4427">
      <w:pPr>
        <w:pStyle w:val="ParrafoTESIS"/>
      </w:pPr>
      <m:oMath>
        <m:sSub>
          <m:sSubPr>
            <m:ctrlPr>
              <w:rPr>
                <w:rFonts w:ascii="Cambria Math" w:hAnsi="Cambria Math"/>
                <w:i/>
              </w:rPr>
            </m:ctrlPr>
          </m:sSubPr>
          <m:e>
            <m:r>
              <w:rPr>
                <w:rFonts w:ascii="Cambria Math" w:hAnsi="Cambria Math"/>
              </w:rPr>
              <m:t>τ</m:t>
            </m:r>
          </m:e>
          <m:sub>
            <m:r>
              <w:rPr>
                <w:rFonts w:ascii="Cambria Math"/>
              </w:rPr>
              <m:t>1</m:t>
            </m:r>
          </m:sub>
        </m:sSub>
      </m:oMath>
      <w:r w:rsidRPr="00CA268A">
        <w:t xml:space="preserve">representa la constante de tiempo de recolección de la juntura, y </w:t>
      </w:r>
      <m:oMath>
        <m:sSub>
          <m:sSubPr>
            <m:ctrlPr>
              <w:rPr>
                <w:rFonts w:ascii="Cambria Math" w:hAnsi="Cambria Math"/>
                <w:i/>
              </w:rPr>
            </m:ctrlPr>
          </m:sSubPr>
          <m:e>
            <m:r>
              <w:rPr>
                <w:rFonts w:ascii="Cambria Math" w:hAnsi="Cambria Math"/>
              </w:rPr>
              <m:t>τ</m:t>
            </m:r>
          </m:e>
          <m:sub>
            <m:r>
              <w:rPr>
                <w:rFonts w:ascii="Cambria Math"/>
              </w:rPr>
              <m:t>2</m:t>
            </m:r>
          </m:sub>
        </m:sSub>
      </m:oMath>
      <w:r w:rsidRPr="00CA268A">
        <w:t xml:space="preserve"> la constante de tiempo inicialmente establecida </w:t>
      </w:r>
      <w:r>
        <w:t xml:space="preserve">por la </w:t>
      </w:r>
      <w:r w:rsidRPr="00CA268A">
        <w:t>dirección del ion. Estas dos constantes dependen de varios factores relacionados con el proceso</w:t>
      </w:r>
      <w:r>
        <w:t>,</w:t>
      </w:r>
      <w:r w:rsidRPr="00CA268A">
        <w:t xml:space="preserve"> y por lo tanto</w:t>
      </w:r>
      <w:r>
        <w:t>,</w:t>
      </w:r>
      <w:r w:rsidRPr="00CA268A">
        <w:t xml:space="preserve"> con la tecnología. </w:t>
      </w:r>
    </w:p>
    <w:p w:rsidR="00AC4FCB" w:rsidRPr="00545093" w:rsidRDefault="00AC4FCB" w:rsidP="00F302F8">
      <w:pPr>
        <w:pStyle w:val="Ttulo3"/>
      </w:pPr>
      <w:bookmarkStart w:id="17" w:name="_Toc266984389"/>
      <w:r w:rsidRPr="006B611D">
        <w:t>1.3.2) Modelo a utilizar</w:t>
      </w:r>
      <w:bookmarkEnd w:id="17"/>
    </w:p>
    <w:p w:rsidR="00AC4FCB" w:rsidRDefault="00AC4FCB" w:rsidP="002C4427">
      <w:pPr>
        <w:pStyle w:val="ParrafoTESIS"/>
      </w:pPr>
      <w:r w:rsidRPr="006B611D">
        <w:t xml:space="preserve">Como el modelo del transitorio de doble exponencial </w:t>
      </w:r>
      <w:r>
        <w:t xml:space="preserve">exige </w:t>
      </w:r>
      <w:r w:rsidRPr="006B611D">
        <w:t>mucho tiempo y procesamiento computacional complejo</w:t>
      </w:r>
      <w:r>
        <w:t xml:space="preserve">, se </w:t>
      </w:r>
      <w:r w:rsidRPr="006B611D">
        <w:t>opt</w:t>
      </w:r>
      <w:r>
        <w:t>ó</w:t>
      </w:r>
      <w:r w:rsidRPr="006B611D">
        <w:t xml:space="preserve"> por reemplazar dicho modelo por  aproximaciones más simple</w:t>
      </w:r>
      <w:r>
        <w:t>s</w:t>
      </w:r>
      <w:r w:rsidRPr="006B611D">
        <w:t>.</w:t>
      </w:r>
    </w:p>
    <w:p w:rsidR="00AC4FCB" w:rsidRPr="00570E5C" w:rsidRDefault="00AC4FCB" w:rsidP="00CC76A5">
      <w:pPr>
        <w:pStyle w:val="Ttulo4"/>
      </w:pPr>
      <w:r w:rsidRPr="00664E6D">
        <w:t>M</w:t>
      </w:r>
      <w:r>
        <w:t>odelo Exponencial</w:t>
      </w:r>
    </w:p>
    <w:p w:rsidR="00AC4FCB" w:rsidRDefault="00AC4FCB" w:rsidP="002C4427">
      <w:pPr>
        <w:pStyle w:val="ParrafoTESIS"/>
      </w:pPr>
      <w:r>
        <w:t>Un modelo de menor complejidad que la doble exponencial es la exponencial simple (</w:t>
      </w:r>
      <w:r>
        <w:fldChar w:fldCharType="begin"/>
      </w:r>
      <w:r>
        <w:instrText xml:space="preserve"> REF _Ref266984405 \h  \* MERGEFORMAT </w:instrText>
      </w:r>
      <w:r>
        <w:fldChar w:fldCharType="separate"/>
      </w:r>
      <w:r>
        <w:t>La</w:t>
      </w:r>
      <w:r>
        <w:rPr>
          <w:noProof/>
        </w:rPr>
        <w:t xml:space="preserve"> representación</w:t>
      </w:r>
      <w:r>
        <w:t xml:space="preserve"> en SPICE del modelo de la falla exponencial es:</w:t>
      </w:r>
    </w:p>
    <w:p w:rsidR="00AC4FCB" w:rsidRDefault="00AC4FCB" w:rsidP="00CC76A5">
      <w:pPr>
        <w:pStyle w:val="Epgrafe"/>
        <w:jc w:val="center"/>
      </w:pPr>
      <w:r>
        <w:rPr>
          <w:b w:val="0"/>
          <w:bCs w:val="0"/>
          <w:noProof/>
          <w:lang w:eastAsia="es-AR"/>
        </w:rPr>
        <w:drawing>
          <wp:inline distT="0" distB="0" distL="0" distR="0">
            <wp:extent cx="5114665" cy="3240000"/>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114665" cy="3240000"/>
                    </a:xfrm>
                    <a:prstGeom prst="rect">
                      <a:avLst/>
                    </a:prstGeom>
                    <a:noFill/>
                    <a:ln w="9525">
                      <a:noFill/>
                      <a:miter lim="800000"/>
                      <a:headEnd/>
                      <a:tailEnd/>
                    </a:ln>
                  </pic:spPr>
                </pic:pic>
              </a:graphicData>
            </a:graphic>
          </wp:inline>
        </w:drawing>
      </w:r>
    </w:p>
    <w:p w:rsidR="00AC4FCB" w:rsidRDefault="00AC4FCB" w:rsidP="002C4427">
      <w:pPr>
        <w:pStyle w:val="ParrafoTESIS"/>
      </w:pPr>
      <w:r>
        <w:lastRenderedPageBreak/>
        <w:t xml:space="preserve">Figura </w:t>
      </w:r>
      <w:r>
        <w:rPr>
          <w:noProof/>
        </w:rPr>
        <w:t>6</w:t>
      </w:r>
      <w:r>
        <w:fldChar w:fldCharType="end"/>
      </w:r>
      <w:r>
        <w:t>), que</w:t>
      </w:r>
      <w:r w:rsidRPr="00F83B3A">
        <w:rPr>
          <w:szCs w:val="18"/>
        </w:rPr>
        <w:t xml:space="preserve"> </w:t>
      </w:r>
      <w:r>
        <w:rPr>
          <w:szCs w:val="18"/>
        </w:rPr>
        <w:t xml:space="preserve">representa con gran semejanza el proceso de </w:t>
      </w:r>
      <w:r w:rsidRPr="006B611D">
        <w:rPr>
          <w:i/>
          <w:szCs w:val="18"/>
        </w:rPr>
        <w:t>recolección de</w:t>
      </w:r>
      <w:r>
        <w:rPr>
          <w:i/>
          <w:szCs w:val="18"/>
        </w:rPr>
        <w:t xml:space="preserve"> cargas</w:t>
      </w:r>
      <w:r>
        <w:t xml:space="preserve">. El proceso de </w:t>
      </w:r>
      <w:r w:rsidRPr="006B611D">
        <w:rPr>
          <w:i/>
        </w:rPr>
        <w:t>difusión de cargas</w:t>
      </w:r>
      <w:r>
        <w:t xml:space="preserve"> no se asemeja a la referencia (ver modelo de la doble exponencial en la </w:t>
      </w:r>
      <w:r>
        <w:fldChar w:fldCharType="begin"/>
      </w:r>
      <w:r>
        <w:instrText xml:space="preserve"> REF _Ref266986213 \h </w:instrText>
      </w:r>
      <w:r>
        <w:fldChar w:fldCharType="separate"/>
      </w:r>
      <w:r w:rsidRPr="0040462E">
        <w:t xml:space="preserve">Figura </w:t>
      </w:r>
      <w:r>
        <w:rPr>
          <w:noProof/>
        </w:rPr>
        <w:t>3</w:t>
      </w:r>
      <w:r>
        <w:fldChar w:fldCharType="end"/>
      </w:r>
      <w:r>
        <w:t>), ya que el tiempo y amplitud que se puede generar con la exponencial simple para este proceso imposibilita hacerlo.</w:t>
      </w:r>
    </w:p>
    <w:p w:rsidR="00AC4FCB" w:rsidRDefault="00AC4FCB" w:rsidP="002C4427">
      <w:pPr>
        <w:pStyle w:val="ParrafoTESIS"/>
      </w:pPr>
      <w:r>
        <w:t>La expresión matemática del modelo de la falla exponencial es:</w:t>
      </w:r>
    </w:p>
    <w:p w:rsidR="00AC4FCB" w:rsidRDefault="00AC4FCB" w:rsidP="002C4427">
      <w:pPr>
        <w:pStyle w:val="ParrafoTESIS"/>
        <w:rPr>
          <w:rFonts w:eastAsiaTheme="minorEastAsia"/>
        </w:rPr>
      </w:pPr>
      <m:oMathPara>
        <m:oMath>
          <m:r>
            <w:rPr>
              <w:rFonts w:ascii="Cambria Math" w:hAnsi="Cambria Math"/>
            </w:rPr>
            <m:t>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t</m:t>
                      </m:r>
                    </m:num>
                    <m:den>
                      <m:r>
                        <w:rPr>
                          <w:rFonts w:ascii="Cambria Math" w:hAnsi="Cambria Math"/>
                        </w:rPr>
                        <m:t>τ</m:t>
                      </m:r>
                    </m:den>
                  </m:f>
                </m:sup>
              </m:sSup>
            </m:e>
          </m:d>
        </m:oMath>
      </m:oMathPara>
    </w:p>
    <w:p w:rsidR="00AC4FCB" w:rsidRDefault="00AC4FCB">
      <w:pPr>
        <w:rPr>
          <w:rFonts w:eastAsiaTheme="minorEastAsia" w:cstheme="minorHAnsi"/>
          <w:shd w:val="clear" w:color="auto" w:fill="EBEFF9"/>
        </w:rPr>
      </w:pPr>
      <w:r>
        <w:rPr>
          <w:rFonts w:eastAsiaTheme="minorEastAsia"/>
        </w:rPr>
        <w:br w:type="page"/>
      </w:r>
    </w:p>
    <w:p w:rsidR="00AC4FCB" w:rsidRDefault="00AC4FCB" w:rsidP="002C4427">
      <w:pPr>
        <w:pStyle w:val="ParrafoTESIS"/>
      </w:pPr>
      <w:bookmarkStart w:id="18" w:name="_Ref266984405"/>
      <w:bookmarkStart w:id="19" w:name="_Ref266984402"/>
      <w:r>
        <w:lastRenderedPageBreak/>
        <w:t>La representación en SPICE del modelo de la falla exponencial es:</w:t>
      </w:r>
    </w:p>
    <w:p w:rsidR="00AC4FCB" w:rsidRDefault="00AC4FCB" w:rsidP="00CC76A5">
      <w:pPr>
        <w:pStyle w:val="Epgrafe"/>
        <w:jc w:val="center"/>
      </w:pPr>
      <w:r>
        <w:rPr>
          <w:b w:val="0"/>
          <w:bCs w:val="0"/>
          <w:noProof/>
          <w:lang w:eastAsia="es-AR"/>
        </w:rPr>
        <w:drawing>
          <wp:inline distT="0" distB="0" distL="0" distR="0">
            <wp:extent cx="5114665" cy="3240000"/>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114665" cy="3240000"/>
                    </a:xfrm>
                    <a:prstGeom prst="rect">
                      <a:avLst/>
                    </a:prstGeom>
                    <a:noFill/>
                    <a:ln w="9525">
                      <a:noFill/>
                      <a:miter lim="800000"/>
                      <a:headEnd/>
                      <a:tailEnd/>
                    </a:ln>
                  </pic:spPr>
                </pic:pic>
              </a:graphicData>
            </a:graphic>
          </wp:inline>
        </w:drawing>
      </w:r>
    </w:p>
    <w:p w:rsidR="00AC4FCB" w:rsidRPr="00AA28FE" w:rsidRDefault="00AC4FCB" w:rsidP="00CC76A5">
      <w:pPr>
        <w:pStyle w:val="Epgrafe"/>
        <w:jc w:val="center"/>
      </w:pPr>
      <w:bookmarkStart w:id="20" w:name="_Ref268967482"/>
      <w:r>
        <w:t xml:space="preserve">Figura </w:t>
      </w:r>
      <w:fldSimple w:instr=" SEQ Figura \* ARABIC ">
        <w:r>
          <w:rPr>
            <w:noProof/>
          </w:rPr>
          <w:t>6</w:t>
        </w:r>
      </w:fldSimple>
      <w:bookmarkEnd w:id="18"/>
      <w:bookmarkEnd w:id="20"/>
      <w:r>
        <w:t>) Gráfica del modelo de inyección exponencial.</w:t>
      </w:r>
      <w:bookmarkEnd w:id="19"/>
    </w:p>
    <w:p w:rsidR="00AC4FCB" w:rsidRPr="00570E5C" w:rsidRDefault="00AC4FCB" w:rsidP="00CC76A5">
      <w:pPr>
        <w:pStyle w:val="Ttulo4"/>
      </w:pPr>
      <w:r>
        <w:t>Modelo Trapezoidal</w:t>
      </w:r>
    </w:p>
    <w:p w:rsidR="00AC4FCB" w:rsidRDefault="00AC4FCB" w:rsidP="002C4427">
      <w:pPr>
        <w:pStyle w:val="ParrafoTESIS"/>
      </w:pPr>
      <w:r>
        <w:t>Otra opción de modelado de la falla es a través de una función trapezoidal (</w:t>
      </w:r>
      <w:fldSimple w:instr=" REF _Ref266990746 \h  \* MERGEFORMAT ">
        <w:r>
          <w:t xml:space="preserve">Figura </w:t>
        </w:r>
        <w:r>
          <w:rPr>
            <w:noProof/>
          </w:rPr>
          <w:t>7</w:t>
        </w:r>
      </w:fldSimple>
      <w:r>
        <w:t>), con la cual el costo computacional decrece por la simplicidad de la función, en comparación a la exponencial. Con este modelo agrupamos las dos etapas del proceso que se da ante un SEU (proceso de recolección y difusión de cargas) generando una perturbación con intensidad constante por un tiempo determinado. La influencia sobre el circuito es mayor con este modelo, ya que la corriente inyectada mantiene su amplitud máxima por un periodo prolongado, en comparación al modelo típico (doble exponencial).</w:t>
      </w:r>
    </w:p>
    <w:p w:rsidR="00AC4FCB" w:rsidRDefault="00AC4FCB">
      <w:pPr>
        <w:rPr>
          <w:rFonts w:cstheme="minorHAnsi"/>
          <w:shd w:val="clear" w:color="auto" w:fill="EBEFF9"/>
        </w:rPr>
      </w:pPr>
      <w:r>
        <w:br w:type="page"/>
      </w:r>
    </w:p>
    <w:p w:rsidR="00AC4FCB" w:rsidRDefault="00AC4FCB" w:rsidP="002C4427">
      <w:pPr>
        <w:pStyle w:val="ParrafoTESIS"/>
      </w:pPr>
      <w:r>
        <w:lastRenderedPageBreak/>
        <w:t>La representación en SPICE del modelo de la falla trapezoidal es:</w:t>
      </w:r>
    </w:p>
    <w:p w:rsidR="00AC4FCB" w:rsidRDefault="00AC4FCB" w:rsidP="00CC76A5">
      <w:pPr>
        <w:pStyle w:val="Epgrafe"/>
        <w:jc w:val="center"/>
      </w:pPr>
      <w:r>
        <w:rPr>
          <w:b w:val="0"/>
          <w:bCs w:val="0"/>
          <w:noProof/>
          <w:lang w:eastAsia="es-AR"/>
        </w:rPr>
        <w:drawing>
          <wp:inline distT="0" distB="0" distL="0" distR="0">
            <wp:extent cx="5125809" cy="3240000"/>
            <wp:effectExtent l="1905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25809" cy="3240000"/>
                    </a:xfrm>
                    <a:prstGeom prst="rect">
                      <a:avLst/>
                    </a:prstGeom>
                    <a:noFill/>
                    <a:ln w="9525">
                      <a:noFill/>
                      <a:miter lim="800000"/>
                      <a:headEnd/>
                      <a:tailEnd/>
                    </a:ln>
                  </pic:spPr>
                </pic:pic>
              </a:graphicData>
            </a:graphic>
          </wp:inline>
        </w:drawing>
      </w:r>
    </w:p>
    <w:p w:rsidR="00AC4FCB" w:rsidRDefault="00AC4FCB" w:rsidP="00CC76A5">
      <w:pPr>
        <w:pStyle w:val="Epgrafe"/>
        <w:jc w:val="center"/>
      </w:pPr>
      <w:bookmarkStart w:id="21" w:name="_Ref266990746"/>
      <w:r>
        <w:t xml:space="preserve">Figura </w:t>
      </w:r>
      <w:fldSimple w:instr=" SEQ Figura \* ARABIC ">
        <w:r>
          <w:rPr>
            <w:noProof/>
          </w:rPr>
          <w:t>7</w:t>
        </w:r>
      </w:fldSimple>
      <w:bookmarkEnd w:id="21"/>
      <w:r>
        <w:t>) Gráfica del modelo de inyección trapezoidal.</w:t>
      </w:r>
    </w:p>
    <w:p w:rsidR="00AC4FCB" w:rsidRDefault="00AC4FCB" w:rsidP="002C4427">
      <w:pPr>
        <w:pStyle w:val="ParrafoTESIS"/>
      </w:pPr>
      <w:r w:rsidRPr="00707401">
        <w:t xml:space="preserve">En ambos casos, </w:t>
      </w:r>
      <w:r>
        <w:t xml:space="preserve">las características de corriente máxima y tiempos de perturbación fueron elegidas en base a las </w:t>
      </w:r>
      <w:r w:rsidRPr="00741B54">
        <w:t xml:space="preserve">bibliografías </w:t>
      </w:r>
      <w:sdt>
        <w:sdtPr>
          <w:id w:val="829398"/>
          <w:citation/>
        </w:sdtPr>
        <w:sdtContent>
          <w:fldSimple w:instr=" CITATION Sri94 \l 11274 ">
            <w:r>
              <w:rPr>
                <w:noProof/>
              </w:rPr>
              <w:t>(14)</w:t>
            </w:r>
          </w:fldSimple>
        </w:sdtContent>
      </w:sdt>
      <w:r w:rsidRPr="00741B54">
        <w:t xml:space="preserve"> </w:t>
      </w:r>
      <w:sdt>
        <w:sdtPr>
          <w:id w:val="829399"/>
          <w:citation/>
        </w:sdtPr>
        <w:sdtContent>
          <w:fldSimple w:instr=" CITATION Nau98 \l 11274 ">
            <w:r>
              <w:rPr>
                <w:noProof/>
              </w:rPr>
              <w:t>(15)</w:t>
            </w:r>
          </w:fldSimple>
        </w:sdtContent>
      </w:sdt>
      <w:r w:rsidRPr="00741B54">
        <w:t xml:space="preserve"> </w:t>
      </w:r>
      <w:sdt>
        <w:sdtPr>
          <w:id w:val="829400"/>
          <w:citation/>
        </w:sdtPr>
        <w:sdtContent>
          <w:fldSimple w:instr=" CITATION Tan04 \l 11274 ">
            <w:r>
              <w:rPr>
                <w:noProof/>
              </w:rPr>
              <w:t>(16)</w:t>
            </w:r>
          </w:fldSimple>
        </w:sdtContent>
      </w:sdt>
      <w:r>
        <w:t>. En los procesos de inyección, existe un tiempo de reposo del circuito (sin perturbaciones) durante 2nS, en los cuales el sistema se estabiliza. A diferencia del modelado exponencial, en el modelo de falla tipo trapezoidal esta definido el momento de finalización de la perturbación, permitiendo asegurar que el circuito se encuentra libre de alteraciones externas, y por lo tanto, debería de volver a su estado inicial. Para el modelo exponencial, es difícil definir dicho momento.</w:t>
      </w:r>
    </w:p>
    <w:p w:rsidR="00AC4FCB" w:rsidRDefault="00AC4FCB" w:rsidP="00AC4FCB">
      <w:pPr>
        <w:rPr>
          <w:lang w:val="es-ES"/>
        </w:rPr>
      </w:pPr>
      <w:r>
        <w:rPr>
          <w:lang w:val="es-ES"/>
        </w:rPr>
        <w:fldChar w:fldCharType="end"/>
      </w:r>
    </w:p>
    <w:p w:rsidR="00AC4FCB" w:rsidRDefault="00AC4FCB">
      <w:pPr>
        <w:rPr>
          <w:lang w:val="es-ES"/>
        </w:rPr>
      </w:pPr>
      <w:r>
        <w:rPr>
          <w:lang w:val="es-ES"/>
        </w:rPr>
        <w:br w:type="page"/>
      </w:r>
    </w:p>
    <w:p w:rsidR="00AC4FCB" w:rsidRPr="00323B0A" w:rsidRDefault="00AC4FCB" w:rsidP="003A03AB">
      <w:pPr>
        <w:pStyle w:val="Ttulo1"/>
      </w:pPr>
      <w:r>
        <w:rPr>
          <w:lang w:val="es-ES"/>
        </w:rPr>
        <w:lastRenderedPageBreak/>
        <w:fldChar w:fldCharType="begin"/>
      </w:r>
      <w:r>
        <w:rPr>
          <w:lang w:val="es-ES"/>
        </w:rPr>
        <w:instrText xml:space="preserve"> INCLUDETEXT  "D:\\Documents\\TESIS\\fiocs\\Documentation\\Documentacion\\CAPITULO 2.docx" </w:instrText>
      </w:r>
      <w:r>
        <w:rPr>
          <w:lang w:val="es-ES"/>
        </w:rPr>
        <w:fldChar w:fldCharType="separate"/>
      </w:r>
      <w:bookmarkStart w:id="22" w:name="_Toc266984390"/>
      <w:r w:rsidRPr="00323B0A">
        <w:t>CAP</w:t>
      </w:r>
      <w:r>
        <w:t>Í</w:t>
      </w:r>
      <w:r w:rsidRPr="00323B0A">
        <w:t>TULO 2: Conversor</w:t>
      </w:r>
      <w:bookmarkEnd w:id="22"/>
    </w:p>
    <w:p w:rsidR="00AC4FCB" w:rsidRPr="006D79EE" w:rsidRDefault="00AC4FCB" w:rsidP="008C51E0">
      <w:pPr>
        <w:pStyle w:val="IntroCAPTESIS"/>
        <w:rPr>
          <w:rFonts w:asciiTheme="majorHAnsi" w:eastAsiaTheme="majorEastAsia" w:hAnsiTheme="majorHAnsi" w:cstheme="majorBidi"/>
          <w:color w:val="365F91" w:themeColor="accent1" w:themeShade="BF"/>
          <w:sz w:val="28"/>
          <w:szCs w:val="28"/>
        </w:rPr>
      </w:pPr>
      <w:r>
        <w:t xml:space="preserve">En este capítulo se describirá el proceso de selección del conversor, la arquitectura elegida, las ventajas y desventajas de la misma, y los requisitos que  se debieron cumplir para su funcionamiento. Luego se detallarán los componentes que conforman el conversor, su diseño y verificación,  y el comportamiento conjunto. </w:t>
      </w:r>
    </w:p>
    <w:p w:rsidR="00AC4FCB" w:rsidRPr="00A47627" w:rsidRDefault="00AC4FCB" w:rsidP="00A47627">
      <w:pPr>
        <w:pStyle w:val="Subttulo"/>
      </w:pPr>
      <w:r w:rsidRPr="00A47627">
        <w:t>Caso de estudio adoptado</w:t>
      </w:r>
    </w:p>
    <w:p w:rsidR="00AC4FCB" w:rsidRPr="00323B0A" w:rsidRDefault="00AC4FCB" w:rsidP="008C51E0">
      <w:pPr>
        <w:pStyle w:val="ParrafoTESIS"/>
      </w:pPr>
      <w:r w:rsidRPr="00323B0A">
        <w:t>La arquitectura con la que se opt</w:t>
      </w:r>
      <w:r>
        <w:t>ó</w:t>
      </w:r>
      <w:r w:rsidRPr="00323B0A">
        <w:t xml:space="preserve"> trabajar es una arquitectura de conversión paralela tipo Flash de 6 bits de resolución</w:t>
      </w:r>
      <w:r w:rsidRPr="00323B0A">
        <w:rPr>
          <w:noProof/>
          <w:lang w:eastAsia="es-AR"/>
        </w:rPr>
        <w:t xml:space="preserve">, la cual combina </w:t>
      </w:r>
      <w:r>
        <w:rPr>
          <w:noProof/>
          <w:lang w:eastAsia="es-AR"/>
        </w:rPr>
        <w:t>tanto secciones</w:t>
      </w:r>
      <w:r w:rsidRPr="00323B0A">
        <w:rPr>
          <w:noProof/>
          <w:lang w:eastAsia="es-AR"/>
        </w:rPr>
        <w:t xml:space="preserve"> </w:t>
      </w:r>
      <w:r>
        <w:rPr>
          <w:noProof/>
          <w:lang w:eastAsia="es-AR"/>
        </w:rPr>
        <w:t>a</w:t>
      </w:r>
      <w:r w:rsidRPr="00323B0A">
        <w:rPr>
          <w:noProof/>
          <w:lang w:eastAsia="es-AR"/>
        </w:rPr>
        <w:t>nal</w:t>
      </w:r>
      <w:r>
        <w:rPr>
          <w:noProof/>
          <w:lang w:eastAsia="es-AR"/>
        </w:rPr>
        <w:t>ó</w:t>
      </w:r>
      <w:r w:rsidRPr="00323B0A">
        <w:rPr>
          <w:noProof/>
          <w:lang w:eastAsia="es-AR"/>
        </w:rPr>
        <w:t>gic</w:t>
      </w:r>
      <w:r>
        <w:rPr>
          <w:noProof/>
          <w:lang w:eastAsia="es-AR"/>
        </w:rPr>
        <w:t>as</w:t>
      </w:r>
      <w:r w:rsidRPr="00323B0A">
        <w:rPr>
          <w:noProof/>
          <w:lang w:eastAsia="es-AR"/>
        </w:rPr>
        <w:t xml:space="preserve"> </w:t>
      </w:r>
      <w:r>
        <w:rPr>
          <w:noProof/>
          <w:lang w:eastAsia="es-AR"/>
        </w:rPr>
        <w:t>como</w:t>
      </w:r>
      <w:r w:rsidRPr="00323B0A">
        <w:rPr>
          <w:noProof/>
          <w:lang w:eastAsia="es-AR"/>
        </w:rPr>
        <w:t xml:space="preserve"> </w:t>
      </w:r>
      <w:r>
        <w:rPr>
          <w:noProof/>
          <w:lang w:eastAsia="es-AR"/>
        </w:rPr>
        <w:t>d</w:t>
      </w:r>
      <w:r w:rsidRPr="00323B0A">
        <w:rPr>
          <w:noProof/>
          <w:lang w:eastAsia="es-AR"/>
        </w:rPr>
        <w:t>igital</w:t>
      </w:r>
      <w:r>
        <w:rPr>
          <w:noProof/>
          <w:lang w:eastAsia="es-AR"/>
        </w:rPr>
        <w:t>es</w:t>
      </w:r>
      <w:r w:rsidRPr="00323B0A">
        <w:rPr>
          <w:noProof/>
          <w:lang w:eastAsia="es-AR"/>
        </w:rPr>
        <w:t>.</w:t>
      </w:r>
      <w:r w:rsidRPr="00323B0A">
        <w:t xml:space="preserve"> </w:t>
      </w:r>
      <w:r>
        <w:t>La</w:t>
      </w:r>
      <w:r w:rsidRPr="00323B0A">
        <w:t xml:space="preserve"> gran ventaja</w:t>
      </w:r>
      <w:r>
        <w:t xml:space="preserve"> de la estructura adoptada</w:t>
      </w:r>
      <w:r w:rsidRPr="00323B0A">
        <w:t xml:space="preserve"> es la velocidad con la cual una conversión se lleva a cabo, donde cada pulso de reloj puede generar una palabra digital de salida. Su contracara es que para cada bit extra de resolución del conversor, se tiene que duplicar la cantidad de comparadores requeridos, aumentando así el área </w:t>
      </w:r>
      <w:r>
        <w:t xml:space="preserve">de silicio </w:t>
      </w:r>
      <w:r w:rsidRPr="00323B0A">
        <w:t>comprendida por el dispositivo.</w:t>
      </w:r>
    </w:p>
    <w:p w:rsidR="00AC4FCB" w:rsidRDefault="00AC4FCB" w:rsidP="008C51E0">
      <w:pPr>
        <w:pStyle w:val="ParrafoTESIS"/>
      </w:pPr>
      <w:r w:rsidRPr="00323B0A">
        <w:t>Desde el punto de vista de la implementación, los conversores analógicos/digitales típicamente contienen uno o más comparadores, compuertas, componentes pasivos de precisión, referencias de tensión precisa</w:t>
      </w:r>
      <w:r>
        <w:t>s</w:t>
      </w:r>
      <w:r w:rsidRPr="00323B0A">
        <w:t xml:space="preserve"> y una lógica de control digital.</w:t>
      </w:r>
    </w:p>
    <w:p w:rsidR="00AC4FCB" w:rsidRDefault="00AC4FCB" w:rsidP="008C51E0">
      <w:pPr>
        <w:pStyle w:val="ParrafoTESIS"/>
      </w:pPr>
      <w:r w:rsidRPr="00323B0A">
        <w:t xml:space="preserve">El conjunto de comparadores se encarga de transformar la señal analógica recibida en una señal digital de </w:t>
      </w:r>
      <w:r>
        <w:t>código</w:t>
      </w:r>
      <w:r w:rsidRPr="00323B0A">
        <w:t xml:space="preserve"> termómetro. La cadena o divisor resistivo servirá para generar los distintos niveles de tensión analógica de comparación. Las compuertas </w:t>
      </w:r>
      <w:r>
        <w:t>con</w:t>
      </w:r>
      <w:r w:rsidRPr="00323B0A">
        <w:t>forma</w:t>
      </w:r>
      <w:r>
        <w:t>n</w:t>
      </w:r>
      <w:r w:rsidRPr="00323B0A">
        <w:t xml:space="preserve"> la lógica digital que trasform</w:t>
      </w:r>
      <w:r>
        <w:t>a</w:t>
      </w:r>
      <w:r w:rsidRPr="00323B0A">
        <w:t xml:space="preserve"> </w:t>
      </w:r>
      <w:r>
        <w:t>el</w:t>
      </w:r>
      <w:r w:rsidRPr="00323B0A">
        <w:t xml:space="preserve"> </w:t>
      </w:r>
      <w:r>
        <w:t>código</w:t>
      </w:r>
      <w:r w:rsidRPr="00323B0A">
        <w:t xml:space="preserve"> termómetro </w:t>
      </w:r>
      <w:r>
        <w:t>a</w:t>
      </w:r>
      <w:r w:rsidRPr="00323B0A">
        <w:t xml:space="preserve"> </w:t>
      </w:r>
      <w:r>
        <w:t>código</w:t>
      </w:r>
      <w:r w:rsidRPr="00323B0A">
        <w:t xml:space="preserve"> binari</w:t>
      </w:r>
      <w:r>
        <w:t>o</w:t>
      </w:r>
      <w:r w:rsidRPr="00323B0A">
        <w:t xml:space="preserve"> </w:t>
      </w:r>
      <w:r>
        <w:t>en la etapa de</w:t>
      </w:r>
      <w:r w:rsidRPr="00323B0A">
        <w:t xml:space="preserve"> salida del conversor.</w:t>
      </w:r>
      <w:r>
        <w:t xml:space="preserve"> Un diagrama conceptual puede verse en la </w:t>
      </w:r>
      <w:r>
        <w:fldChar w:fldCharType="begin"/>
      </w:r>
      <w:r>
        <w:instrText xml:space="preserve"> REF _Ref266295298 \h </w:instrText>
      </w:r>
      <w:r>
        <w:fldChar w:fldCharType="separate"/>
      </w:r>
      <w:r>
        <w:t xml:space="preserve">Figura </w:t>
      </w:r>
      <w:r>
        <w:rPr>
          <w:noProof/>
        </w:rPr>
        <w:t>1</w:t>
      </w:r>
      <w:r>
        <w:fldChar w:fldCharType="end"/>
      </w:r>
      <w:r>
        <w:t>.</w:t>
      </w:r>
    </w:p>
    <w:p w:rsidR="00AC4FCB" w:rsidRDefault="00AC4FCB" w:rsidP="007A37E8">
      <w:pPr>
        <w:keepNext/>
        <w:jc w:val="center"/>
      </w:pPr>
      <w:r>
        <w:rPr>
          <w:noProof/>
          <w:lang w:eastAsia="es-AR"/>
        </w:rPr>
        <w:drawing>
          <wp:inline distT="0" distB="0" distL="0" distR="0">
            <wp:extent cx="5295900" cy="2425700"/>
            <wp:effectExtent l="19050" t="0" r="19050" b="0"/>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C4FCB" w:rsidRDefault="00AC4FCB" w:rsidP="007A37E8">
      <w:pPr>
        <w:pStyle w:val="Epgrafe"/>
        <w:jc w:val="center"/>
      </w:pPr>
      <w:bookmarkStart w:id="23" w:name="_Ref266295298"/>
      <w:r>
        <w:t xml:space="preserve">Figura </w:t>
      </w:r>
      <w:fldSimple w:instr=" SEQ Figura \* ARABIC ">
        <w:r>
          <w:rPr>
            <w:noProof/>
          </w:rPr>
          <w:t>8</w:t>
        </w:r>
      </w:fldSimple>
      <w:bookmarkEnd w:id="23"/>
      <w:r>
        <w:t>) Diagrama en bloques del conversor flash realizado.</w:t>
      </w:r>
    </w:p>
    <w:p w:rsidR="00AC4FCB" w:rsidRDefault="00AC4FCB" w:rsidP="008C51E0">
      <w:pPr>
        <w:pStyle w:val="ParrafoTESIS"/>
      </w:pPr>
      <w:r>
        <w:t>La señal analógica a convertir es conectada al terminal V</w:t>
      </w:r>
      <w:r w:rsidRPr="0051709C">
        <w:rPr>
          <w:vertAlign w:val="subscript"/>
        </w:rPr>
        <w:t>in</w:t>
      </w:r>
      <w:r>
        <w:t xml:space="preserve"> y luego distribuida a las entradas inversoras de cada comparador. Esta señal es comparada con la tensión de referencia </w:t>
      </w:r>
      <w:r>
        <w:lastRenderedPageBreak/>
        <w:t xml:space="preserve">(entrada no inversora) correspondiente a cada comparador, y según sea el resultado, se modifica la tensión de salida del mismo para conformar el código termómetro correspondiente a dicha señal. Por último, éste código termómetro generado a partir de la cadena de comparadores, ingresa al decodificador, el cual lo recodifica a un código binario de 6 bits. Las conexiones y componentes del conversor se pueden apreciar en la </w:t>
      </w:r>
      <w:r>
        <w:fldChar w:fldCharType="begin"/>
      </w:r>
      <w:r>
        <w:instrText xml:space="preserve"> REF _Ref268715603 \h </w:instrText>
      </w:r>
      <w:r>
        <w:fldChar w:fldCharType="separate"/>
      </w:r>
      <w:r>
        <w:t xml:space="preserve">Figura </w:t>
      </w:r>
      <w:r>
        <w:rPr>
          <w:noProof/>
        </w:rPr>
        <w:t>2</w:t>
      </w:r>
      <w:r>
        <w:fldChar w:fldCharType="end"/>
      </w:r>
      <w:r>
        <w:t>.</w:t>
      </w:r>
    </w:p>
    <w:p w:rsidR="00AC4FCB" w:rsidRDefault="00AC4FCB" w:rsidP="00A60937">
      <w:pPr>
        <w:jc w:val="center"/>
      </w:pPr>
      <w:r>
        <w:rPr>
          <w:noProof/>
          <w:lang w:eastAsia="es-AR"/>
        </w:rPr>
        <w:pict>
          <v:group id="_x0000_s1035" style="position:absolute;left:0;text-align:left;margin-left:55.85pt;margin-top:7.15pt;width:327.7pt;height:176.65pt;z-index:251667456" coordorigin="2818,7260" coordsize="6554,3533">
            <v:shapetype id="_x0000_t202" coordsize="21600,21600" o:spt="202" path="m,l,21600r21600,l21600,xe">
              <v:stroke joinstyle="miter"/>
              <v:path gradientshapeok="t" o:connecttype="rect"/>
            </v:shapetype>
            <v:shape id="_x0000_s1036" type="#_x0000_t202" style="position:absolute;left:8026;top:9865;width:1346;height:928;mso-width-relative:margin;mso-height-relative:margin" filled="f" fillcolor="white [3201]" stroked="f" strokecolor="#4f81bd [3204]" strokeweight="1pt">
              <v:stroke dashstyle="dash"/>
              <v:shadow color="#868686"/>
              <v:textbox style="mso-next-textbox:#_x0000_s1036">
                <w:txbxContent>
                  <w:p w:rsidR="00AC4FCB" w:rsidRPr="00A60937" w:rsidRDefault="00AC4FCB" w:rsidP="00A60937">
                    <w:pPr>
                      <w:jc w:val="center"/>
                      <w:rPr>
                        <w:rFonts w:ascii="Adobe Garamond Pro Bold" w:hAnsi="Adobe Garamond Pro Bold"/>
                        <w:b/>
                        <w:i/>
                        <w:lang w:val="es-ES"/>
                      </w:rPr>
                    </w:pPr>
                    <w:r>
                      <w:rPr>
                        <w:rFonts w:ascii="Adobe Garamond Pro Bold" w:hAnsi="Adobe Garamond Pro Bold"/>
                        <w:b/>
                        <w:i/>
                        <w:lang w:val="es-ES"/>
                      </w:rPr>
                      <w:t>Salida</w:t>
                    </w:r>
                    <w:r w:rsidRPr="00A60937">
                      <w:rPr>
                        <w:rFonts w:ascii="Adobe Garamond Pro Bold" w:hAnsi="Adobe Garamond Pro Bold"/>
                        <w:b/>
                        <w:i/>
                        <w:lang w:val="es-ES"/>
                      </w:rPr>
                      <w:t xml:space="preserve"> </w:t>
                    </w:r>
                    <w:r>
                      <w:rPr>
                        <w:rFonts w:ascii="Adobe Garamond Pro Bold" w:hAnsi="Adobe Garamond Pro Bold"/>
                        <w:b/>
                        <w:i/>
                        <w:lang w:val="es-ES"/>
                      </w:rPr>
                      <w:t>Digital</w:t>
                    </w:r>
                  </w:p>
                </w:txbxContent>
              </v:textbox>
            </v:shape>
            <v:shape id="_x0000_s1037" type="#_x0000_t202" style="position:absolute;left:2818;top:9865;width:1552;height:928;mso-width-relative:margin;mso-height-relative:margin" filled="f" fillcolor="white [3201]" stroked="f" strokecolor="#4f81bd [3204]" strokeweight="1pt">
              <v:stroke dashstyle="dash"/>
              <v:shadow color="#868686"/>
              <v:textbox style="mso-next-textbox:#_x0000_s1037">
                <w:txbxContent>
                  <w:p w:rsidR="00AC4FCB" w:rsidRPr="00A60937" w:rsidRDefault="00AC4FCB" w:rsidP="00A60937">
                    <w:pPr>
                      <w:jc w:val="center"/>
                      <w:rPr>
                        <w:rFonts w:ascii="Adobe Garamond Pro Bold" w:hAnsi="Adobe Garamond Pro Bold"/>
                        <w:b/>
                        <w:i/>
                        <w:lang w:val="es-ES"/>
                      </w:rPr>
                    </w:pPr>
                    <w:r>
                      <w:rPr>
                        <w:rFonts w:ascii="Adobe Garamond Pro Bold" w:hAnsi="Adobe Garamond Pro Bold"/>
                        <w:b/>
                        <w:i/>
                        <w:lang w:val="es-ES"/>
                      </w:rPr>
                      <w:t>Entrada</w:t>
                    </w:r>
                    <w:r w:rsidRPr="00A60937">
                      <w:rPr>
                        <w:rFonts w:ascii="Adobe Garamond Pro Bold" w:hAnsi="Adobe Garamond Pro Bold"/>
                        <w:b/>
                        <w:i/>
                        <w:lang w:val="es-ES"/>
                      </w:rPr>
                      <w:t xml:space="preserve"> </w:t>
                    </w:r>
                    <w:r>
                      <w:rPr>
                        <w:rFonts w:ascii="Adobe Garamond Pro Bold" w:hAnsi="Adobe Garamond Pro Bold"/>
                        <w:b/>
                        <w:i/>
                        <w:lang w:val="es-ES"/>
                      </w:rPr>
                      <w:t>Analógica</w:t>
                    </w:r>
                  </w:p>
                </w:txbxContent>
              </v:textbox>
            </v:shape>
            <v:shape id="_x0000_s1038" type="#_x0000_t202" style="position:absolute;left:5218;top:7260;width:1552;height:767;mso-width-relative:margin;mso-height-relative:margin" fillcolor="white [3212]" strokecolor="white [3212]" strokeweight="1pt">
              <v:stroke dashstyle="dash"/>
              <v:shadow color="#868686"/>
              <v:textbox style="mso-next-textbox:#_x0000_s1038">
                <w:txbxContent>
                  <w:p w:rsidR="00AC4FCB" w:rsidRPr="00A60937" w:rsidRDefault="00AC4FCB" w:rsidP="002B66D4">
                    <w:pPr>
                      <w:jc w:val="center"/>
                      <w:rPr>
                        <w:rFonts w:ascii="Adobe Garamond Pro Bold" w:hAnsi="Adobe Garamond Pro Bold"/>
                        <w:b/>
                        <w:i/>
                        <w:lang w:val="es-ES"/>
                      </w:rPr>
                    </w:pPr>
                    <w:r>
                      <w:rPr>
                        <w:rFonts w:ascii="Adobe Garamond Pro Bold" w:hAnsi="Adobe Garamond Pro Bold"/>
                        <w:b/>
                        <w:i/>
                        <w:lang w:val="es-ES"/>
                      </w:rPr>
                      <w:t>Código Termómetro</w:t>
                    </w:r>
                  </w:p>
                </w:txbxContent>
              </v:textbox>
            </v:shape>
          </v:group>
        </w:pict>
      </w:r>
      <w:r>
        <w:rPr>
          <w:noProof/>
          <w:lang w:eastAsia="es-AR"/>
        </w:rPr>
        <w:drawing>
          <wp:inline distT="0" distB="0" distL="0" distR="0">
            <wp:extent cx="2927350" cy="3855720"/>
            <wp:effectExtent l="19050" t="0" r="635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927350" cy="3855720"/>
                    </a:xfrm>
                    <a:prstGeom prst="rect">
                      <a:avLst/>
                    </a:prstGeom>
                    <a:noFill/>
                    <a:ln w="9525">
                      <a:noFill/>
                      <a:miter lim="800000"/>
                      <a:headEnd/>
                      <a:tailEnd/>
                    </a:ln>
                  </pic:spPr>
                </pic:pic>
              </a:graphicData>
            </a:graphic>
          </wp:inline>
        </w:drawing>
      </w:r>
    </w:p>
    <w:p w:rsidR="00AC4FCB" w:rsidRDefault="00AC4FCB">
      <w:pPr>
        <w:pStyle w:val="Epgrafe"/>
        <w:jc w:val="center"/>
      </w:pPr>
      <w:bookmarkStart w:id="24" w:name="_Ref268715603"/>
      <w:r>
        <w:t xml:space="preserve">Figura </w:t>
      </w:r>
      <w:fldSimple w:instr=" SEQ Figura \* ARABIC ">
        <w:r>
          <w:rPr>
            <w:noProof/>
          </w:rPr>
          <w:t>9</w:t>
        </w:r>
      </w:fldSimple>
      <w:bookmarkEnd w:id="24"/>
      <w:r>
        <w:t>) Representación del conversor Flash.</w:t>
      </w:r>
    </w:p>
    <w:p w:rsidR="00AC4FCB" w:rsidRDefault="00AC4FCB" w:rsidP="008C51E0">
      <w:pPr>
        <w:pStyle w:val="ParrafoTESIS"/>
      </w:pPr>
      <w:r>
        <w:t>La</w:t>
      </w:r>
      <w:r w:rsidRPr="008047D9">
        <w:t xml:space="preserve"> </w:t>
      </w:r>
      <w:r>
        <w:t xml:space="preserve">estructura </w:t>
      </w:r>
      <w:r w:rsidRPr="008047D9">
        <w:t>adopta</w:t>
      </w:r>
      <w:r>
        <w:t xml:space="preserve">da se diseño para </w:t>
      </w:r>
      <w:r w:rsidRPr="008047D9">
        <w:t>opera</w:t>
      </w:r>
      <w:r>
        <w:t>r</w:t>
      </w:r>
      <w:r w:rsidRPr="008047D9">
        <w:t xml:space="preserve"> a una frecuencia de muestreo de 100KHz. Esta elección</w:t>
      </w:r>
      <w:r>
        <w:t>, y la regularidad de la estructura,</w:t>
      </w:r>
      <w:r w:rsidRPr="008047D9">
        <w:t xml:space="preserve"> </w:t>
      </w:r>
      <w:r>
        <w:t xml:space="preserve">permiten extender los resultados del estudio al sector comprendido por redes “Voice Comm” hasta redes “ISDN” e incluso a los dispositivos de “Instrumentación y medición” o “Digital Audio” (Ver Figura </w:t>
      </w:r>
      <w:fldSimple w:instr=" SEQ Figura \* ARABIC ">
        <w:r>
          <w:rPr>
            <w:noProof/>
          </w:rPr>
          <w:t>10</w:t>
        </w:r>
      </w:fldSimple>
      <w:r>
        <w:t xml:space="preserve">), sin perder generalidad y </w:t>
      </w:r>
      <w:r w:rsidRPr="008047D9">
        <w:t xml:space="preserve"> manten</w:t>
      </w:r>
      <w:r>
        <w:t>i</w:t>
      </w:r>
      <w:r w:rsidRPr="008047D9">
        <w:t>e</w:t>
      </w:r>
      <w:r>
        <w:t>ndo</w:t>
      </w:r>
      <w:r w:rsidRPr="008047D9">
        <w:t xml:space="preserve"> l</w:t>
      </w:r>
      <w:r>
        <w:t>os requerimientos</w:t>
      </w:r>
      <w:r w:rsidRPr="008047D9">
        <w:t xml:space="preserve"> computacional</w:t>
      </w:r>
      <w:r>
        <w:t>es</w:t>
      </w:r>
      <w:r w:rsidRPr="008047D9">
        <w:t xml:space="preserve"> </w:t>
      </w:r>
      <w:r>
        <w:t>dentro de</w:t>
      </w:r>
      <w:r w:rsidRPr="008047D9">
        <w:t xml:space="preserve"> límites razonables. </w:t>
      </w:r>
    </w:p>
    <w:p w:rsidR="00AC4FCB" w:rsidRDefault="00AC4FCB" w:rsidP="007A37E8">
      <w:pPr>
        <w:pStyle w:val="Epgrafe"/>
        <w:jc w:val="center"/>
      </w:pPr>
      <w:r w:rsidRPr="004912A3">
        <w:rPr>
          <w:noProof/>
          <w:lang w:eastAsia="es-AR"/>
        </w:rPr>
        <w:lastRenderedPageBreak/>
        <w:drawing>
          <wp:inline distT="0" distB="0" distL="0" distR="0">
            <wp:extent cx="4339954" cy="3073400"/>
            <wp:effectExtent l="19050" t="0" r="3446"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349416" cy="3080101"/>
                    </a:xfrm>
                    <a:prstGeom prst="rect">
                      <a:avLst/>
                    </a:prstGeom>
                    <a:noFill/>
                    <a:ln w="9525">
                      <a:noFill/>
                      <a:miter lim="800000"/>
                      <a:headEnd/>
                      <a:tailEnd/>
                    </a:ln>
                  </pic:spPr>
                </pic:pic>
              </a:graphicData>
            </a:graphic>
          </wp:inline>
        </w:drawing>
      </w:r>
    </w:p>
    <w:p w:rsidR="00AC4FCB" w:rsidRDefault="00AC4FCB" w:rsidP="007A37E8">
      <w:pPr>
        <w:pStyle w:val="Epgrafe"/>
        <w:jc w:val="center"/>
      </w:pPr>
      <w:r>
        <w:t xml:space="preserve">Figura </w:t>
      </w:r>
      <w:fldSimple w:instr=" SEQ Figura \* ARABIC ">
        <w:r>
          <w:rPr>
            <w:noProof/>
          </w:rPr>
          <w:t>11</w:t>
        </w:r>
      </w:fldSimple>
      <w:r>
        <w:t>) Cuadro comparativo de requerimientos de conversores según su finalidad.</w:t>
      </w:r>
    </w:p>
    <w:p w:rsidR="00AC4FCB" w:rsidRDefault="00AC4FCB" w:rsidP="008C51E0">
      <w:pPr>
        <w:pStyle w:val="ParrafoTESIS"/>
      </w:pPr>
      <w:r>
        <w:t>En relación a la tecnología CMOS seleccionada para el diseño, se utilizó una corrida de prueba provista por MOSIS del proceso de 180nm de IBM Semiconductor. Los detalles del proceso son los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1"/>
        <w:gridCol w:w="3910"/>
      </w:tblGrid>
      <w:tr w:rsidR="00AC4FCB" w:rsidRPr="00762AEB" w:rsidTr="003E70A3">
        <w:tc>
          <w:tcPr>
            <w:tcW w:w="4920" w:type="dxa"/>
          </w:tcPr>
          <w:p w:rsidR="00AC4FCB" w:rsidRPr="00762AEB" w:rsidRDefault="00AC4FCB" w:rsidP="0097116A">
            <w:pPr>
              <w:ind w:left="1418"/>
              <w:rPr>
                <w:lang w:val="en-US"/>
              </w:rPr>
            </w:pPr>
            <w:r w:rsidRPr="00762AEB">
              <w:rPr>
                <w:rStyle w:val="Textoennegrita"/>
                <w:color w:val="333399"/>
                <w:sz w:val="28"/>
                <w:lang w:val="en-US"/>
              </w:rPr>
              <w:t>IBM Semiconductor</w:t>
            </w:r>
            <w:r w:rsidRPr="00762AEB">
              <w:rPr>
                <w:rStyle w:val="apple-converted-space"/>
                <w:color w:val="333399"/>
                <w:sz w:val="28"/>
                <w:lang w:val="en-US"/>
              </w:rPr>
              <w:t> </w:t>
            </w:r>
            <w:r w:rsidRPr="00762AEB">
              <w:rPr>
                <w:b/>
                <w:bCs/>
                <w:color w:val="333399"/>
                <w:sz w:val="28"/>
                <w:lang w:val="en-US"/>
              </w:rPr>
              <w:br/>
            </w:r>
            <w:r w:rsidRPr="00762AEB">
              <w:rPr>
                <w:rStyle w:val="Textoennegrita"/>
                <w:color w:val="333399"/>
                <w:sz w:val="28"/>
                <w:lang w:val="en-US"/>
              </w:rPr>
              <w:t>0.18 Micron</w:t>
            </w:r>
            <w:r w:rsidRPr="00762AEB">
              <w:rPr>
                <w:rStyle w:val="apple-converted-space"/>
                <w:color w:val="333399"/>
                <w:sz w:val="28"/>
                <w:lang w:val="en-US"/>
              </w:rPr>
              <w:t> </w:t>
            </w:r>
            <w:r w:rsidRPr="00762AEB">
              <w:rPr>
                <w:rFonts w:ascii="Verdana" w:hAnsi="Verdana"/>
                <w:b/>
                <w:bCs/>
                <w:color w:val="000000"/>
                <w:sz w:val="28"/>
                <w:lang w:val="en-US"/>
              </w:rPr>
              <w:br/>
            </w:r>
            <w:r w:rsidRPr="00762AEB">
              <w:rPr>
                <w:rStyle w:val="Textoennegrita"/>
                <w:color w:val="333399"/>
                <w:sz w:val="28"/>
                <w:lang w:val="en-US"/>
              </w:rPr>
              <w:t>7RF CMOS Process</w:t>
            </w:r>
          </w:p>
        </w:tc>
        <w:tc>
          <w:tcPr>
            <w:tcW w:w="4134" w:type="dxa"/>
          </w:tcPr>
          <w:p w:rsidR="00AC4FCB" w:rsidRPr="00762AEB" w:rsidRDefault="00AC4FCB" w:rsidP="003E70A3">
            <w:pPr>
              <w:jc w:val="center"/>
              <w:rPr>
                <w:sz w:val="14"/>
                <w:lang w:val="en-US"/>
              </w:rPr>
            </w:pPr>
            <w:r w:rsidRPr="00762AEB">
              <w:rPr>
                <w:sz w:val="14"/>
                <w:lang w:val="en-US"/>
              </w:rPr>
              <w:t>MOSIS WAFER ACCEPTANCE TESTS</w:t>
            </w:r>
          </w:p>
          <w:p w:rsidR="00AC4FCB" w:rsidRPr="00762AEB" w:rsidRDefault="00AC4FCB" w:rsidP="003E70A3">
            <w:pPr>
              <w:jc w:val="center"/>
              <w:rPr>
                <w:sz w:val="14"/>
                <w:lang w:val="en-US"/>
              </w:rPr>
            </w:pPr>
            <w:r w:rsidRPr="00762AEB">
              <w:rPr>
                <w:sz w:val="14"/>
                <w:lang w:val="en-US"/>
              </w:rPr>
              <w:t>RUN: T96T (7RF_5LM_MA)</w:t>
            </w:r>
          </w:p>
          <w:p w:rsidR="00AC4FCB" w:rsidRPr="00762AEB" w:rsidRDefault="00AC4FCB" w:rsidP="003E70A3">
            <w:pPr>
              <w:jc w:val="center"/>
              <w:rPr>
                <w:sz w:val="14"/>
                <w:lang w:val="en-US"/>
              </w:rPr>
            </w:pPr>
            <w:r w:rsidRPr="00762AEB">
              <w:rPr>
                <w:sz w:val="14"/>
                <w:lang w:val="en-US"/>
              </w:rPr>
              <w:t>VENDOR: IBM-BURLINGTON</w:t>
            </w:r>
          </w:p>
          <w:p w:rsidR="00AC4FCB" w:rsidRPr="00762AEB" w:rsidRDefault="00AC4FCB" w:rsidP="003E70A3">
            <w:pPr>
              <w:jc w:val="center"/>
              <w:rPr>
                <w:sz w:val="14"/>
                <w:lang w:val="en-US"/>
              </w:rPr>
            </w:pPr>
            <w:r w:rsidRPr="00762AEB">
              <w:rPr>
                <w:sz w:val="14"/>
                <w:lang w:val="en-US"/>
              </w:rPr>
              <w:t>TECHNOLOGY: SCN018</w:t>
            </w:r>
          </w:p>
          <w:p w:rsidR="00AC4FCB" w:rsidRPr="00762AEB" w:rsidRDefault="00AC4FCB" w:rsidP="003E70A3">
            <w:pPr>
              <w:jc w:val="center"/>
              <w:rPr>
                <w:sz w:val="14"/>
                <w:lang w:val="en-US"/>
              </w:rPr>
            </w:pPr>
            <w:r w:rsidRPr="00762AEB">
              <w:rPr>
                <w:sz w:val="14"/>
                <w:lang w:val="en-US"/>
              </w:rPr>
              <w:t>FEATURE SIZE: 0.18 microns</w:t>
            </w:r>
          </w:p>
          <w:p w:rsidR="00AC4FCB" w:rsidRPr="00762AEB" w:rsidRDefault="00AC4FCB" w:rsidP="003E70A3">
            <w:pPr>
              <w:jc w:val="center"/>
              <w:rPr>
                <w:rStyle w:val="Textoennegrita"/>
                <w:b w:val="0"/>
                <w:bCs w:val="0"/>
                <w:sz w:val="14"/>
              </w:rPr>
            </w:pPr>
            <w:r w:rsidRPr="00762AEB">
              <w:rPr>
                <w:sz w:val="14"/>
              </w:rPr>
              <w:t>Run type: SKD</w:t>
            </w:r>
          </w:p>
        </w:tc>
      </w:tr>
    </w:tbl>
    <w:p w:rsidR="00AC4FCB" w:rsidRPr="00D03DDD" w:rsidRDefault="00AC4FCB" w:rsidP="003A03AB">
      <w:pPr>
        <w:spacing w:after="0" w:line="240" w:lineRule="auto"/>
        <w:jc w:val="center"/>
        <w:rPr>
          <w:sz w:val="16"/>
        </w:rPr>
      </w:pPr>
    </w:p>
    <w:p w:rsidR="00AC4FCB" w:rsidRDefault="00AC4FCB" w:rsidP="008C51E0">
      <w:pPr>
        <w:pStyle w:val="ParrafoTESIS"/>
        <w:rPr>
          <w:rStyle w:val="apple-style-span"/>
        </w:rPr>
      </w:pPr>
      <w:r w:rsidRPr="00616107">
        <w:t>El</w:t>
      </w:r>
      <w:r>
        <w:t xml:space="preserve"> proceso de fabricación CMOS cuenta con 6 capas de metal (M1, M2, M3, M4, MT, ML), 1 de DV </w:t>
      </w:r>
      <w:r w:rsidRPr="008047D9">
        <w:t>(</w:t>
      </w:r>
      <w:r w:rsidRPr="008047D9">
        <w:rPr>
          <w:rStyle w:val="apple-style-span"/>
        </w:rPr>
        <w:t>wirebound glass cut)</w:t>
      </w:r>
      <w:r>
        <w:rPr>
          <w:rStyle w:val="apple-style-span"/>
        </w:rPr>
        <w:t>, y 2 de poli-silicio</w:t>
      </w:r>
      <w:r w:rsidRPr="001B230B">
        <w:rPr>
          <w:rStyle w:val="apple-style-span"/>
        </w:rPr>
        <w:t xml:space="preserve">. </w:t>
      </w:r>
      <w:r w:rsidRPr="00762AEB">
        <w:rPr>
          <w:rStyle w:val="apple-style-span"/>
        </w:rPr>
        <w:t>L</w:t>
      </w:r>
      <w:r>
        <w:rPr>
          <w:rStyle w:val="apple-style-span"/>
        </w:rPr>
        <w:t xml:space="preserve">os voltajes de alimentación son 1.8 voltios de núcleo y 3.3 voltios de I/O. Los transistores alimentados a 5 voltios están disponibles para requerimientos especiales, pero se debe de tener en cuenta unas consideraciones </w:t>
      </w:r>
      <w:r w:rsidRPr="00EA2AC5">
        <w:rPr>
          <w:rStyle w:val="apple-style-span"/>
        </w:rPr>
        <w:t xml:space="preserve">extras </w:t>
      </w:r>
      <w:r w:rsidRPr="008047D9">
        <w:rPr>
          <w:rStyle w:val="apple-style-span"/>
        </w:rPr>
        <w:t>[</w:t>
      </w:r>
      <w:r w:rsidRPr="008047D9">
        <w:rPr>
          <w:rStyle w:val="Refdenotaalfinal"/>
        </w:rPr>
        <w:endnoteReference w:id="1"/>
      </w:r>
      <w:r w:rsidRPr="008047D9">
        <w:rPr>
          <w:rStyle w:val="apple-style-span"/>
        </w:rPr>
        <w:t>]</w:t>
      </w:r>
      <w:r w:rsidRPr="00EA2AC5">
        <w:rPr>
          <w:rStyle w:val="apple-style-span"/>
        </w:rPr>
        <w:t>.</w:t>
      </w:r>
    </w:p>
    <w:p w:rsidR="00AC4FCB" w:rsidRDefault="00AC4FCB" w:rsidP="008C51E0">
      <w:pPr>
        <w:pStyle w:val="ParrafoTESIS"/>
        <w:rPr>
          <w:rStyle w:val="apple-style-span"/>
        </w:rPr>
      </w:pPr>
      <w:r>
        <w:rPr>
          <w:rStyle w:val="apple-style-span"/>
        </w:rPr>
        <w:t xml:space="preserve">Como se apreció en la </w:t>
      </w:r>
      <w:fldSimple w:instr=" REF _Ref266295298 \h  \* MERGEFORMAT ">
        <w:r>
          <w:t xml:space="preserve">Figura </w:t>
        </w:r>
        <w:r>
          <w:rPr>
            <w:noProof/>
          </w:rPr>
          <w:t>8</w:t>
        </w:r>
      </w:fldSimple>
      <w:r>
        <w:rPr>
          <w:rStyle w:val="apple-style-span"/>
        </w:rPr>
        <w:t>, fue necesario diseñar componentes analógicos y digitales que interactúen para conformar el conversor. En ambos se utilizó la tecnología arriba mencionada, con una alimentación general de 3.3 voltios. Como las referencias de tensión requerían de precisión y no era el foco del trabajo, se decidió utilizar fuentes de tensión DC para facilitar el diseño.</w:t>
      </w:r>
    </w:p>
    <w:p w:rsidR="00AC4FCB" w:rsidRDefault="00AC4FCB" w:rsidP="003A03AB">
      <w:pPr>
        <w:pStyle w:val="Ttulo2"/>
      </w:pPr>
      <w:bookmarkStart w:id="25" w:name="_Toc266984394"/>
      <w:r>
        <w:t>2.1) DISEÑO</w:t>
      </w:r>
      <w:bookmarkEnd w:id="25"/>
    </w:p>
    <w:p w:rsidR="00AC4FCB" w:rsidRPr="00731610" w:rsidRDefault="00AC4FCB" w:rsidP="008C51E0">
      <w:pPr>
        <w:pStyle w:val="ParrafoTESIS"/>
      </w:pPr>
      <w:r>
        <w:t xml:space="preserve">Para el diseño del conversor, se analizaron individualmente las arquitecturas del comparador y del decodificador. Una arquitectura tipo Miley de dos etapas sin compensación, </w:t>
      </w:r>
      <w:r>
        <w:lastRenderedPageBreak/>
        <w:t xml:space="preserve">fue la elección para el comparador </w:t>
      </w:r>
      <w:r w:rsidRPr="008047D9">
        <w:t>[</w:t>
      </w:r>
      <w:r w:rsidRPr="008047D9">
        <w:rPr>
          <w:rStyle w:val="Refdenotaalfinal"/>
        </w:rPr>
        <w:endnoteReference w:id="2"/>
      </w:r>
      <w:r w:rsidRPr="008047D9">
        <w:t>]</w:t>
      </w:r>
      <w:r>
        <w:t xml:space="preserve">, y para el decodificador, se eligió lógica CMOS de alta velocidad conformada por </w:t>
      </w:r>
      <w:r w:rsidRPr="00731610">
        <w:t xml:space="preserve">compuertas </w:t>
      </w:r>
      <w:r>
        <w:t xml:space="preserve">NAND </w:t>
      </w:r>
      <w:r w:rsidRPr="008047D9">
        <w:t>[</w:t>
      </w:r>
      <w:r w:rsidRPr="008047D9">
        <w:rPr>
          <w:rStyle w:val="Refdenotaalfinal"/>
        </w:rPr>
        <w:endnoteReference w:id="3"/>
      </w:r>
      <w:r w:rsidRPr="008047D9">
        <w:t>].</w:t>
      </w:r>
    </w:p>
    <w:p w:rsidR="00AC4FCB" w:rsidRPr="00CE66AE" w:rsidRDefault="00AC4FCB" w:rsidP="008C51E0">
      <w:pPr>
        <w:pStyle w:val="ParrafoTESIS"/>
      </w:pPr>
      <w:r>
        <w:t>El proceso de diseño fue iterativo. Se realizaron los cálculos matemáticos para la primera aproximación de los valores de los transistores y se pusieron a prueba; se reajustaron las dimensiones y se obtuvo finalmente el diseño que satisfacía los distintos requisitos del sistema.</w:t>
      </w:r>
    </w:p>
    <w:p w:rsidR="00AC4FCB" w:rsidRDefault="00AC4FCB" w:rsidP="003A03AB">
      <w:pPr>
        <w:pStyle w:val="Ttulo3"/>
      </w:pPr>
      <w:bookmarkStart w:id="26" w:name="_Toc266984395"/>
      <w:r>
        <w:t>2.1.1) Comparador</w:t>
      </w:r>
      <w:bookmarkEnd w:id="26"/>
    </w:p>
    <w:p w:rsidR="00AC4FCB" w:rsidRDefault="00AC4FCB" w:rsidP="00AC4FCB">
      <w:pPr>
        <w:pStyle w:val="ParrafoTESIS"/>
      </w:pPr>
      <w:r w:rsidRPr="00C45001">
        <w:t xml:space="preserve">El diseño </w:t>
      </w:r>
      <w:r>
        <w:t>total</w:t>
      </w:r>
      <w:r w:rsidRPr="00C45001">
        <w:t xml:space="preserve"> requir</w:t>
      </w:r>
      <w:r>
        <w:t>ió</w:t>
      </w:r>
      <w:r w:rsidRPr="00C45001">
        <w:t xml:space="preserve"> de 63 comparadores para generar los 64 niveles de código termómetro</w:t>
      </w:r>
      <w:r>
        <w:t xml:space="preserve"> a partir de la comparación de la señal de entrada contra las señales de referencias obtenidas de la cadena de resistencias</w:t>
      </w:r>
      <w:r w:rsidRPr="00C45001">
        <w:t>.</w:t>
      </w:r>
      <w:r>
        <w:t xml:space="preserve"> El diagrama conceptual se observa en la </w:t>
      </w:r>
      <w:r>
        <w:fldChar w:fldCharType="begin"/>
      </w:r>
      <w:r>
        <w:instrText xml:space="preserve"> REF _Ref266389201 \h  \* MERGEFORMAT </w:instrText>
      </w:r>
      <w:r>
        <w:fldChar w:fldCharType="separate"/>
      </w:r>
      <w:r>
        <w:drawing>
          <wp:inline distT="0" distB="0" distL="0" distR="0">
            <wp:extent cx="2438400" cy="3238500"/>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438400" cy="3238500"/>
                    </a:xfrm>
                    <a:prstGeom prst="rect">
                      <a:avLst/>
                    </a:prstGeom>
                    <a:noFill/>
                    <a:ln w="9525">
                      <a:noFill/>
                      <a:miter lim="800000"/>
                      <a:headEnd/>
                      <a:tailEnd/>
                    </a:ln>
                  </pic:spPr>
                </pic:pic>
              </a:graphicData>
            </a:graphic>
          </wp:inline>
        </w:drawing>
      </w:r>
    </w:p>
    <w:p w:rsidR="00AC4FCB" w:rsidRDefault="00AC4FCB" w:rsidP="008C51E0">
      <w:pPr>
        <w:pStyle w:val="ParrafoTESIS"/>
      </w:pPr>
      <w:r>
        <w:rPr>
          <w:noProof/>
        </w:rPr>
        <w:t>Figura</w:t>
      </w:r>
      <w:r>
        <w:t xml:space="preserve"> </w:t>
      </w:r>
      <w:r>
        <w:rPr>
          <w:noProof/>
        </w:rPr>
        <w:t>4</w:t>
      </w:r>
      <w:r>
        <w:fldChar w:fldCharType="end"/>
      </w:r>
      <w:r>
        <w:t>.</w:t>
      </w:r>
    </w:p>
    <w:p w:rsidR="00AC4FCB" w:rsidRDefault="00AC4FCB" w:rsidP="007A37E8">
      <w:pPr>
        <w:pStyle w:val="Epgrafe"/>
        <w:jc w:val="center"/>
      </w:pPr>
      <w:bookmarkStart w:id="27" w:name="_Ref266389201"/>
      <w:r>
        <w:rPr>
          <w:noProof/>
          <w:lang w:eastAsia="es-AR"/>
        </w:rPr>
        <w:lastRenderedPageBreak/>
        <w:pict>
          <v:group id="_x0000_s1032" style="position:absolute;left:0;text-align:left;margin-left:104.45pt;margin-top:28.1pt;width:232.5pt;height:178.5pt;z-index:251666432" coordorigin="3790,8173" coordsize="3995,2083">
            <v:shape id="_x0000_s1033" type="#_x0000_t202" style="position:absolute;left:7232;top:8173;width:553;height:2083;mso-width-relative:margin;mso-height-relative:margin" filled="f" fillcolor="white [3201]" stroked="f" strokecolor="#4f81bd [3204]" strokeweight="1pt">
              <v:stroke dashstyle="dash"/>
              <v:shadow color="#868686"/>
              <v:textbox style="layout-flow:vertical;mso-next-textbox:#_x0000_s1033">
                <w:txbxContent>
                  <w:p w:rsidR="00AC4FCB" w:rsidRPr="008C1360" w:rsidRDefault="00AC4FCB">
                    <w:pPr>
                      <w:jc w:val="center"/>
                      <w:rPr>
                        <w:rFonts w:ascii="Adobe Garamond Pro Bold" w:hAnsi="Adobe Garamond Pro Bold"/>
                        <w:b/>
                        <w:i/>
                      </w:rPr>
                    </w:pPr>
                    <w:r>
                      <w:rPr>
                        <w:rFonts w:ascii="Adobe Garamond Pro Bold" w:hAnsi="Adobe Garamond Pro Bold"/>
                        <w:b/>
                        <w:i/>
                        <w:lang w:val="es-ES"/>
                      </w:rPr>
                      <w:t>Código Termómetro</w:t>
                    </w:r>
                  </w:p>
                </w:txbxContent>
              </v:textbox>
            </v:shape>
            <v:shape id="_x0000_s1034" type="#_x0000_t202" style="position:absolute;left:3790;top:8173;width:553;height:2083;mso-width-relative:margin;mso-height-relative:margin" filled="f" fillcolor="white [3201]" stroked="f" strokecolor="#4f81bd [3204]" strokeweight="1pt">
              <v:stroke dashstyle="dash"/>
              <v:shadow color="#868686"/>
              <v:textbox style="layout-flow:vertical;mso-layout-flow-alt:bottom-to-top;mso-next-textbox:#_x0000_s1034">
                <w:txbxContent>
                  <w:p w:rsidR="00AC4FCB" w:rsidRPr="008C1360" w:rsidRDefault="00AC4FCB">
                    <w:pPr>
                      <w:jc w:val="center"/>
                      <w:rPr>
                        <w:rFonts w:ascii="Adobe Garamond Pro Bold" w:hAnsi="Adobe Garamond Pro Bold"/>
                        <w:b/>
                        <w:i/>
                      </w:rPr>
                    </w:pPr>
                    <w:r>
                      <w:rPr>
                        <w:rFonts w:ascii="Adobe Garamond Pro Bold" w:hAnsi="Adobe Garamond Pro Bold"/>
                        <w:b/>
                        <w:i/>
                        <w:lang w:val="es-ES"/>
                      </w:rPr>
                      <w:t>Entrada Analógica</w:t>
                    </w:r>
                  </w:p>
                </w:txbxContent>
              </v:textbox>
            </v:shape>
          </v:group>
        </w:pict>
      </w:r>
      <w:r>
        <w:rPr>
          <w:noProof/>
          <w:lang w:eastAsia="es-AR"/>
        </w:rPr>
        <w:drawing>
          <wp:inline distT="0" distB="0" distL="0" distR="0">
            <wp:extent cx="2438400" cy="3238500"/>
            <wp:effectExtent l="19050" t="0" r="0" b="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438400" cy="3238500"/>
                    </a:xfrm>
                    <a:prstGeom prst="rect">
                      <a:avLst/>
                    </a:prstGeom>
                    <a:noFill/>
                    <a:ln w="9525">
                      <a:noFill/>
                      <a:miter lim="800000"/>
                      <a:headEnd/>
                      <a:tailEnd/>
                    </a:ln>
                  </pic:spPr>
                </pic:pic>
              </a:graphicData>
            </a:graphic>
          </wp:inline>
        </w:drawing>
      </w:r>
    </w:p>
    <w:p w:rsidR="00AC4FCB" w:rsidRDefault="00AC4FCB" w:rsidP="007A37E8">
      <w:pPr>
        <w:pStyle w:val="Epgrafe"/>
        <w:jc w:val="center"/>
      </w:pPr>
      <w:r>
        <w:t xml:space="preserve">Figura </w:t>
      </w:r>
      <w:fldSimple w:instr=" SEQ Figura \* ARABIC ">
        <w:r>
          <w:rPr>
            <w:noProof/>
          </w:rPr>
          <w:t>12</w:t>
        </w:r>
      </w:fldSimple>
      <w:bookmarkEnd w:id="27"/>
      <w:r>
        <w:t>) Conexión de los comparadores.</w:t>
      </w:r>
    </w:p>
    <w:p w:rsidR="00AC4FCB" w:rsidRDefault="00AC4FCB" w:rsidP="008C51E0">
      <w:pPr>
        <w:pStyle w:val="ParrafoTESIS"/>
      </w:pPr>
      <w:r>
        <w:t>Cada comparador tiene conectado a su entrada inversora la señal de entrada V</w:t>
      </w:r>
      <w:r w:rsidRPr="008047D9">
        <w:rPr>
          <w:vertAlign w:val="subscript"/>
        </w:rPr>
        <w:t>IN</w:t>
      </w:r>
      <w:r>
        <w:t>, y a su entrada no inversora, una de las 63 tensiones de referencia que le corresponde según el nivel jerárquico que ocupe en la generación del código termómetro. Cuando el valor de tensión de la señal de entrada V</w:t>
      </w:r>
      <w:r w:rsidRPr="008047D9">
        <w:rPr>
          <w:vertAlign w:val="subscript"/>
        </w:rPr>
        <w:t>IN</w:t>
      </w:r>
      <w:r>
        <w:t xml:space="preserve"> es mayor que la señal de referencia conectada al comparador, este da como resultado un valor 0 (cero), y si V</w:t>
      </w:r>
      <w:r w:rsidRPr="008047D9">
        <w:rPr>
          <w:vertAlign w:val="subscript"/>
        </w:rPr>
        <w:t>IN</w:t>
      </w:r>
      <w:r>
        <w:t xml:space="preserve"> es menor que la tensión de referencia, la salida del comparador es 1 (uno). Esto genera un código termómetro de niveles negativos ascendente, esto quiere decir, que a medida que la señal de entrada va superando los niveles de referencia, los comparadores van reemplazando las salidas en alto (1…111) del código termómetro por salidas en bajo (1…110), como se ve la </w:t>
      </w:r>
      <w:fldSimple w:instr=" REF _Ref266437635 \h  \* MERGEFORMAT ">
        <w:r>
          <w:t xml:space="preserve">Tabla </w:t>
        </w:r>
        <w:r>
          <w:rPr>
            <w:noProof/>
          </w:rPr>
          <w:t>1</w:t>
        </w:r>
      </w:fldSimple>
      <w:r>
        <w:t>.</w:t>
      </w:r>
    </w:p>
    <w:p w:rsidR="00AC4FCB" w:rsidRDefault="00AC4FCB" w:rsidP="008C51E0">
      <w:pPr>
        <w:pStyle w:val="ParrafoTESIS"/>
      </w:pPr>
    </w:p>
    <w:tbl>
      <w:tblPr>
        <w:tblStyle w:val="Tablaconcuadrcula"/>
        <w:tblW w:w="0" w:type="auto"/>
        <w:tblInd w:w="22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
        <w:gridCol w:w="369"/>
        <w:gridCol w:w="369"/>
        <w:gridCol w:w="369"/>
        <w:gridCol w:w="369"/>
        <w:gridCol w:w="2380"/>
      </w:tblGrid>
      <w:tr w:rsidR="00AC4FCB" w:rsidRPr="001D3BC7" w:rsidTr="007A37E8">
        <w:trPr>
          <w:trHeight w:val="283"/>
        </w:trPr>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FFFFFF" w:themeFill="background1"/>
            <w:vAlign w:val="center"/>
          </w:tcPr>
          <w:p w:rsidR="00AC4FCB" w:rsidRPr="001D3BC7" w:rsidRDefault="00AC4FCB" w:rsidP="007A37E8">
            <w:pPr>
              <w:rPr>
                <w:i/>
              </w:rPr>
            </w:pPr>
            <w:r w:rsidRPr="001D3BC7">
              <w:rPr>
                <w:i/>
              </w:rPr>
              <w:t>Máximo nivel del código</w:t>
            </w:r>
          </w:p>
        </w:tc>
      </w:tr>
      <w:tr w:rsidR="00AC4FCB" w:rsidRPr="001D3BC7" w:rsidTr="007A37E8">
        <w:trPr>
          <w:trHeight w:val="283"/>
        </w:trPr>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FFFFFF" w:themeFill="background1"/>
            <w:vAlign w:val="center"/>
          </w:tcPr>
          <w:p w:rsidR="00AC4FCB" w:rsidRPr="001D3BC7" w:rsidRDefault="00AC4FCB" w:rsidP="007A37E8">
            <w:pPr>
              <w:rPr>
                <w:i/>
              </w:rPr>
            </w:pPr>
            <w:r w:rsidRPr="001D3BC7">
              <w:rPr>
                <w:i/>
              </w:rPr>
              <w:t>V</w:t>
            </w:r>
            <w:r w:rsidRPr="00E321C6">
              <w:rPr>
                <w:i/>
                <w:vertAlign w:val="subscript"/>
              </w:rPr>
              <w:t>IN</w:t>
            </w:r>
            <w:r w:rsidRPr="001D3BC7">
              <w:rPr>
                <w:i/>
              </w:rPr>
              <w:t xml:space="preserve"> &gt; V</w:t>
            </w:r>
            <w:r w:rsidRPr="00E321C6">
              <w:rPr>
                <w:i/>
                <w:vertAlign w:val="subscript"/>
              </w:rPr>
              <w:t>REF</w:t>
            </w:r>
            <w:r w:rsidRPr="001D3BC7">
              <w:rPr>
                <w:i/>
              </w:rPr>
              <w:t xml:space="preserve"> 62</w:t>
            </w:r>
          </w:p>
        </w:tc>
      </w:tr>
      <w:tr w:rsidR="00AC4FCB" w:rsidRPr="001D3BC7" w:rsidTr="007A37E8">
        <w:trPr>
          <w:trHeight w:val="283"/>
        </w:trPr>
        <w:tc>
          <w:tcPr>
            <w:tcW w:w="0" w:type="auto"/>
            <w:vAlign w:val="center"/>
          </w:tcPr>
          <w:p w:rsidR="00AC4FCB" w:rsidRPr="001D3BC7" w:rsidRDefault="00AC4FCB" w:rsidP="007A37E8">
            <w:pPr>
              <w:jc w:val="center"/>
              <w:rPr>
                <w:sz w:val="30"/>
                <w:szCs w:val="30"/>
              </w:rPr>
            </w:pPr>
            <w:r w:rsidRPr="001D3BC7">
              <w:rPr>
                <w:sz w:val="30"/>
                <w:szCs w:val="30"/>
              </w:rPr>
              <w:t>.</w:t>
            </w:r>
          </w:p>
        </w:tc>
        <w:tc>
          <w:tcPr>
            <w:tcW w:w="0" w:type="auto"/>
            <w:vAlign w:val="center"/>
          </w:tcPr>
          <w:p w:rsidR="00AC4FCB" w:rsidRPr="001D3BC7" w:rsidRDefault="00AC4FCB" w:rsidP="007A37E8">
            <w:pPr>
              <w:jc w:val="center"/>
              <w:rPr>
                <w:sz w:val="30"/>
                <w:szCs w:val="30"/>
              </w:rPr>
            </w:pPr>
            <w:r w:rsidRPr="001D3BC7">
              <w:rPr>
                <w:sz w:val="30"/>
                <w:szCs w:val="30"/>
              </w:rPr>
              <w:t>.</w:t>
            </w:r>
          </w:p>
        </w:tc>
        <w:tc>
          <w:tcPr>
            <w:tcW w:w="0" w:type="auto"/>
            <w:vAlign w:val="center"/>
          </w:tcPr>
          <w:p w:rsidR="00AC4FCB" w:rsidRPr="001D3BC7" w:rsidRDefault="00AC4FCB" w:rsidP="007A37E8">
            <w:pPr>
              <w:jc w:val="center"/>
              <w:rPr>
                <w:sz w:val="30"/>
                <w:szCs w:val="30"/>
              </w:rPr>
            </w:pPr>
            <w:r w:rsidRPr="001D3BC7">
              <w:rPr>
                <w:sz w:val="30"/>
                <w:szCs w:val="30"/>
              </w:rPr>
              <w:t>.</w:t>
            </w:r>
          </w:p>
        </w:tc>
        <w:tc>
          <w:tcPr>
            <w:tcW w:w="0" w:type="auto"/>
            <w:vAlign w:val="center"/>
          </w:tcPr>
          <w:p w:rsidR="00AC4FCB" w:rsidRPr="001D3BC7" w:rsidRDefault="00AC4FCB" w:rsidP="007A37E8">
            <w:pPr>
              <w:jc w:val="center"/>
              <w:rPr>
                <w:sz w:val="30"/>
                <w:szCs w:val="30"/>
              </w:rPr>
            </w:pPr>
            <w:r w:rsidRPr="001D3BC7">
              <w:rPr>
                <w:sz w:val="30"/>
                <w:szCs w:val="30"/>
              </w:rPr>
              <w:t>.</w:t>
            </w:r>
          </w:p>
        </w:tc>
        <w:tc>
          <w:tcPr>
            <w:tcW w:w="0" w:type="auto"/>
            <w:vAlign w:val="center"/>
          </w:tcPr>
          <w:p w:rsidR="00AC4FCB" w:rsidRPr="001D3BC7" w:rsidRDefault="00AC4FCB" w:rsidP="007A37E8">
            <w:pPr>
              <w:jc w:val="center"/>
              <w:rPr>
                <w:sz w:val="30"/>
                <w:szCs w:val="30"/>
              </w:rPr>
            </w:pPr>
            <w:r w:rsidRPr="001D3BC7">
              <w:rPr>
                <w:sz w:val="30"/>
                <w:szCs w:val="30"/>
              </w:rPr>
              <w:t>.</w:t>
            </w:r>
          </w:p>
        </w:tc>
        <w:tc>
          <w:tcPr>
            <w:tcW w:w="0" w:type="auto"/>
            <w:shd w:val="clear" w:color="auto" w:fill="FFFFFF" w:themeFill="background1"/>
            <w:vAlign w:val="center"/>
          </w:tcPr>
          <w:p w:rsidR="00AC4FCB" w:rsidRPr="001D3BC7" w:rsidRDefault="00AC4FCB" w:rsidP="007A37E8">
            <w:pPr>
              <w:rPr>
                <w:i/>
              </w:rPr>
            </w:pPr>
          </w:p>
        </w:tc>
      </w:tr>
      <w:tr w:rsidR="00AC4FCB" w:rsidRPr="001D3BC7" w:rsidTr="007A37E8">
        <w:trPr>
          <w:trHeight w:val="283"/>
        </w:trPr>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FFFFFF" w:themeFill="background1"/>
            <w:vAlign w:val="center"/>
          </w:tcPr>
          <w:p w:rsidR="00AC4FCB" w:rsidRPr="001D3BC7" w:rsidRDefault="00AC4FCB" w:rsidP="007A37E8">
            <w:pPr>
              <w:rPr>
                <w:i/>
              </w:rPr>
            </w:pPr>
            <w:r w:rsidRPr="001D3BC7">
              <w:rPr>
                <w:i/>
              </w:rPr>
              <w:t>V</w:t>
            </w:r>
            <w:r w:rsidRPr="00E321C6">
              <w:rPr>
                <w:i/>
                <w:vertAlign w:val="subscript"/>
              </w:rPr>
              <w:t>IN</w:t>
            </w:r>
            <w:r w:rsidRPr="001D3BC7">
              <w:rPr>
                <w:i/>
              </w:rPr>
              <w:t xml:space="preserve"> &gt; V</w:t>
            </w:r>
            <w:r w:rsidRPr="00E321C6">
              <w:rPr>
                <w:i/>
                <w:vertAlign w:val="subscript"/>
              </w:rPr>
              <w:t>REF</w:t>
            </w:r>
            <w:r w:rsidRPr="001D3BC7">
              <w:rPr>
                <w:i/>
              </w:rPr>
              <w:t xml:space="preserve"> 02</w:t>
            </w:r>
          </w:p>
        </w:tc>
      </w:tr>
      <w:tr w:rsidR="00AC4FCB" w:rsidRPr="001D3BC7" w:rsidTr="007A37E8">
        <w:trPr>
          <w:trHeight w:val="283"/>
        </w:trPr>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E5B8B7" w:themeFill="accent2" w:themeFillTint="66"/>
            <w:vAlign w:val="center"/>
          </w:tcPr>
          <w:p w:rsidR="00AC4FCB" w:rsidRPr="001D3BC7" w:rsidRDefault="00AC4FCB" w:rsidP="007A37E8">
            <w:pPr>
              <w:jc w:val="center"/>
              <w:rPr>
                <w:sz w:val="30"/>
                <w:szCs w:val="30"/>
              </w:rPr>
            </w:pPr>
            <w:r w:rsidRPr="001D3BC7">
              <w:rPr>
                <w:sz w:val="30"/>
                <w:szCs w:val="30"/>
              </w:rPr>
              <w:t>0</w:t>
            </w:r>
          </w:p>
        </w:tc>
        <w:tc>
          <w:tcPr>
            <w:tcW w:w="0" w:type="auto"/>
            <w:shd w:val="clear" w:color="auto" w:fill="FFFFFF" w:themeFill="background1"/>
            <w:vAlign w:val="center"/>
          </w:tcPr>
          <w:p w:rsidR="00AC4FCB" w:rsidRPr="001D3BC7" w:rsidRDefault="00AC4FCB" w:rsidP="007A37E8">
            <w:pPr>
              <w:rPr>
                <w:i/>
              </w:rPr>
            </w:pPr>
            <w:r w:rsidRPr="001D3BC7">
              <w:rPr>
                <w:i/>
              </w:rPr>
              <w:t>V</w:t>
            </w:r>
            <w:r w:rsidRPr="00E321C6">
              <w:rPr>
                <w:i/>
                <w:vertAlign w:val="subscript"/>
              </w:rPr>
              <w:t>IN</w:t>
            </w:r>
            <w:r w:rsidRPr="001D3BC7">
              <w:rPr>
                <w:i/>
              </w:rPr>
              <w:t xml:space="preserve"> &gt; V</w:t>
            </w:r>
            <w:r w:rsidRPr="00E321C6">
              <w:rPr>
                <w:i/>
                <w:vertAlign w:val="subscript"/>
              </w:rPr>
              <w:t>REF</w:t>
            </w:r>
            <w:r w:rsidRPr="001D3BC7">
              <w:rPr>
                <w:i/>
              </w:rPr>
              <w:t xml:space="preserve"> 01</w:t>
            </w:r>
          </w:p>
        </w:tc>
      </w:tr>
      <w:tr w:rsidR="00AC4FCB" w:rsidRPr="001D3BC7" w:rsidTr="007A37E8">
        <w:trPr>
          <w:trHeight w:val="283"/>
        </w:trPr>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95B3D7" w:themeFill="accent1" w:themeFillTint="99"/>
            <w:vAlign w:val="center"/>
          </w:tcPr>
          <w:p w:rsidR="00AC4FCB" w:rsidRPr="001D3BC7" w:rsidRDefault="00AC4FCB" w:rsidP="007A37E8">
            <w:pPr>
              <w:jc w:val="center"/>
              <w:rPr>
                <w:sz w:val="30"/>
                <w:szCs w:val="30"/>
              </w:rPr>
            </w:pPr>
            <w:r w:rsidRPr="001D3BC7">
              <w:rPr>
                <w:sz w:val="30"/>
                <w:szCs w:val="30"/>
              </w:rPr>
              <w:t>1</w:t>
            </w:r>
          </w:p>
        </w:tc>
        <w:tc>
          <w:tcPr>
            <w:tcW w:w="0" w:type="auto"/>
            <w:shd w:val="clear" w:color="auto" w:fill="FFFFFF" w:themeFill="background1"/>
            <w:vAlign w:val="center"/>
          </w:tcPr>
          <w:p w:rsidR="00AC4FCB" w:rsidRPr="001D3BC7" w:rsidRDefault="00AC4FCB" w:rsidP="007A37E8">
            <w:pPr>
              <w:rPr>
                <w:i/>
              </w:rPr>
            </w:pPr>
            <w:r w:rsidRPr="001D3BC7">
              <w:rPr>
                <w:i/>
              </w:rPr>
              <w:t>Mínimo nivel del código</w:t>
            </w:r>
          </w:p>
        </w:tc>
      </w:tr>
    </w:tbl>
    <w:p w:rsidR="00AC4FCB" w:rsidRDefault="00AC4FCB" w:rsidP="003A03AB">
      <w:pPr>
        <w:pStyle w:val="Epgrafe"/>
        <w:keepNext/>
        <w:jc w:val="center"/>
      </w:pPr>
      <w:bookmarkStart w:id="28" w:name="_Ref266437635"/>
      <w:r>
        <w:t xml:space="preserve">Tabla </w:t>
      </w:r>
      <w:fldSimple w:instr=" SEQ Tabla \* ARABIC ">
        <w:r>
          <w:rPr>
            <w:noProof/>
          </w:rPr>
          <w:t>1</w:t>
        </w:r>
      </w:fldSimple>
      <w:bookmarkEnd w:id="28"/>
      <w:r>
        <w:t>) Representación del avance del Código Termómetro.</w:t>
      </w:r>
    </w:p>
    <w:p w:rsidR="00AC4FCB" w:rsidRDefault="00AC4FCB" w:rsidP="003A03AB">
      <w:pPr>
        <w:pStyle w:val="Ttulo3"/>
      </w:pPr>
      <w:bookmarkStart w:id="29" w:name="_Toc266984396"/>
      <w:r>
        <w:t>2.2.2) Decodificador</w:t>
      </w:r>
      <w:bookmarkEnd w:id="29"/>
    </w:p>
    <w:p w:rsidR="00AC4FCB" w:rsidRDefault="00AC4FCB" w:rsidP="008C51E0">
      <w:pPr>
        <w:pStyle w:val="ParrafoTESIS"/>
      </w:pPr>
      <w:r w:rsidRPr="00C46B94">
        <w:t>En el extremo digital del conversor se encuentra el decodificador lógico de alta velocidad conformado por compuertas NAND</w:t>
      </w:r>
      <w:r>
        <w:t>s</w:t>
      </w:r>
      <w:r w:rsidRPr="00C46B94">
        <w:t xml:space="preserve"> y NEGADOR</w:t>
      </w:r>
      <w:r>
        <w:t>E</w:t>
      </w:r>
      <w:r w:rsidRPr="00C46B94">
        <w:t xml:space="preserve">S, que decodifican la entrada de </w:t>
      </w:r>
      <w:r w:rsidRPr="00C46B94">
        <w:lastRenderedPageBreak/>
        <w:t>código termómetro (64 niveles) en una salida binari</w:t>
      </w:r>
      <w:r>
        <w:t>a</w:t>
      </w:r>
      <w:r w:rsidRPr="00C46B94">
        <w:t xml:space="preserve"> de 6 bits. En la </w:t>
      </w:r>
      <w:fldSimple w:instr=" REF _Ref268799322 \h  \* MERGEFORMAT ">
        <w:r>
          <w:t xml:space="preserve">Figura </w:t>
        </w:r>
        <w:r>
          <w:rPr>
            <w:noProof/>
          </w:rPr>
          <w:t>5</w:t>
        </w:r>
      </w:fldSimple>
      <w:r w:rsidRPr="00C46B94">
        <w:t xml:space="preserve"> se observa un diagrama de las entradas y salidas del decodificador. </w:t>
      </w:r>
    </w:p>
    <w:p w:rsidR="00AC4FCB" w:rsidRPr="00C46B94" w:rsidRDefault="00AC4FCB" w:rsidP="008C51E0">
      <w:pPr>
        <w:pStyle w:val="ParrafoTESIS"/>
      </w:pPr>
      <w:r w:rsidRPr="00C46B94">
        <w:t xml:space="preserve">Los bits de salida se encuentran </w:t>
      </w:r>
      <w:r>
        <w:t xml:space="preserve">identificados según su importancia en la palabra digital, donde LSB significa </w:t>
      </w:r>
      <w:r w:rsidRPr="0051709C">
        <w:rPr>
          <w:i/>
        </w:rPr>
        <w:t>Bit Menos Significativo (</w:t>
      </w:r>
      <w:r w:rsidRPr="00C46B94">
        <w:rPr>
          <w:i/>
        </w:rPr>
        <w:t>Less Significant Bit)</w:t>
      </w:r>
      <w:r>
        <w:t xml:space="preserve">, el bit 2SB es el </w:t>
      </w:r>
      <w:r>
        <w:rPr>
          <w:i/>
        </w:rPr>
        <w:t>Segundo Bit Significativo (Second Significant Bit),</w:t>
      </w:r>
      <w:r>
        <w:t xml:space="preserve"> y así sucesivamente hasta el bit MSB o </w:t>
      </w:r>
      <w:r>
        <w:rPr>
          <w:i/>
        </w:rPr>
        <w:t>Bit Más Significativo (More Significant Bit).</w:t>
      </w:r>
    </w:p>
    <w:p w:rsidR="00AC4FCB" w:rsidRDefault="00AC4FCB" w:rsidP="004C688D">
      <w:pPr>
        <w:pStyle w:val="Epgrafe"/>
        <w:jc w:val="center"/>
      </w:pPr>
      <w:r>
        <w:rPr>
          <w:noProof/>
          <w:lang w:eastAsia="es-AR"/>
        </w:rPr>
        <w:pict>
          <v:oval id="_x0000_s1027" style="position:absolute;left:0;text-align:left;margin-left:142.5pt;margin-top:80.7pt;width:7.15pt;height:7.15pt;z-index:251661312" fillcolor="#d99594 [1941]" strokecolor="#c0504d [3205]" strokeweight="1pt">
            <v:fill color2="#c0504d [3205]" focus="50%" type="gradient"/>
            <v:shadow type="perspective" color="#622423 [1605]" offset="1pt" offset2="-3pt"/>
          </v:oval>
        </w:pict>
      </w:r>
      <w:r>
        <w:rPr>
          <w:noProof/>
          <w:lang w:eastAsia="es-AR"/>
        </w:rPr>
        <w:pict>
          <v:oval id="_x0000_s1028" style="position:absolute;left:0;text-align:left;margin-left:142.5pt;margin-top:91pt;width:7.15pt;height:7.15pt;z-index:251662336" fillcolor="#d99594 [1941]" strokecolor="#c0504d [3205]" strokeweight="1pt">
            <v:fill color2="#c0504d [3205]" focus="50%" type="gradient"/>
            <v:shadow type="perspective" color="#622423 [1605]" offset="1pt" offset2="-3pt"/>
          </v:oval>
        </w:pict>
      </w:r>
      <w:r>
        <w:rPr>
          <w:noProof/>
          <w:lang w:eastAsia="es-AR"/>
        </w:rPr>
        <w:pict>
          <v:oval id="_x0000_s1029" style="position:absolute;left:0;text-align:left;margin-left:142.5pt;margin-top:155.45pt;width:7.15pt;height:7.15pt;z-index:251663360" fillcolor="#d99594 [1941]" strokecolor="#c0504d [3205]" strokeweight="1pt">
            <v:fill color2="#c0504d [3205]" focus="50%" type="gradient"/>
            <v:shadow type="perspective" color="#622423 [1605]" offset="1pt" offset2="-3pt"/>
          </v:oval>
        </w:pict>
      </w:r>
      <w:r>
        <w:rPr>
          <w:noProof/>
          <w:lang w:eastAsia="es-AR"/>
        </w:rPr>
        <w:pict>
          <v:oval id="_x0000_s1030" style="position:absolute;left:0;text-align:left;margin-left:142.5pt;margin-top:177.75pt;width:7.15pt;height:7.15pt;z-index:251664384" fillcolor="#d99594 [1941]" strokecolor="#c0504d [3205]" strokeweight="1pt">
            <v:fill color2="#c0504d [3205]" focus="50%" type="gradient"/>
            <v:shadow type="perspective" color="#622423 [1605]" offset="1pt" offset2="-3pt"/>
          </v:oval>
        </w:pict>
      </w:r>
      <w:r>
        <w:rPr>
          <w:noProof/>
          <w:lang w:eastAsia="es-AR"/>
        </w:rPr>
        <w:pict>
          <v:oval id="_x0000_s1031" style="position:absolute;left:0;text-align:left;margin-left:142.5pt;margin-top:167.45pt;width:7.15pt;height:7.15pt;z-index:251665408" fillcolor="#d99594 [1941]" strokecolor="#c0504d [3205]" strokeweight="1pt">
            <v:fill color2="#c0504d [3205]" focus="50%" type="gradient"/>
            <v:shadow type="perspective" color="#622423 [1605]" offset="1pt" offset2="-3pt"/>
          </v:oval>
        </w:pict>
      </w:r>
      <w:r>
        <w:rPr>
          <w:noProof/>
          <w:lang w:eastAsia="es-AR"/>
        </w:rPr>
        <w:pict>
          <v:oval id="_x0000_s1026" style="position:absolute;left:0;text-align:left;margin-left:142.5pt;margin-top:68.7pt;width:7.15pt;height:7.15pt;z-index:251660288" fillcolor="#d99594 [1941]" strokecolor="#c0504d [3205]" strokeweight="1pt">
            <v:fill color2="#c0504d [3205]" focus="50%" type="gradient"/>
            <v:shadow type="perspective" color="#622423 [1605]" offset="1pt" offset2="-3pt"/>
          </v:oval>
        </w:pict>
      </w:r>
      <w:r w:rsidRPr="00674B12">
        <w:rPr>
          <w:noProof/>
          <w:lang w:eastAsia="es-AR"/>
        </w:rPr>
        <w:drawing>
          <wp:inline distT="0" distB="0" distL="0" distR="0">
            <wp:extent cx="1048319" cy="3261815"/>
            <wp:effectExtent l="38100" t="0" r="18481" b="0"/>
            <wp:docPr id="21"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Pr="006E3E38">
        <w:rPr>
          <w:noProof/>
          <w:lang w:eastAsia="es-AR"/>
        </w:rPr>
        <w:drawing>
          <wp:inline distT="0" distB="0" distL="0" distR="0">
            <wp:extent cx="660096" cy="3262906"/>
            <wp:effectExtent l="38100" t="0" r="44754" b="0"/>
            <wp:docPr id="22"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Pr="006E3E38">
        <w:rPr>
          <w:noProof/>
          <w:lang w:eastAsia="es-AR"/>
        </w:rPr>
        <w:drawing>
          <wp:inline distT="0" distB="0" distL="0" distR="0">
            <wp:extent cx="1048319" cy="3261815"/>
            <wp:effectExtent l="38100" t="0" r="18481" b="0"/>
            <wp:docPr id="2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AC4FCB" w:rsidRDefault="00AC4FCB" w:rsidP="004C688D">
      <w:pPr>
        <w:pStyle w:val="Epgrafe"/>
        <w:jc w:val="center"/>
      </w:pPr>
      <w:bookmarkStart w:id="30" w:name="_Ref268799322"/>
      <w:r>
        <w:t xml:space="preserve">Figura </w:t>
      </w:r>
      <w:fldSimple w:instr=" SEQ Figura \* ARABIC ">
        <w:r>
          <w:rPr>
            <w:noProof/>
          </w:rPr>
          <w:t>13</w:t>
        </w:r>
      </w:fldSimple>
      <w:bookmarkEnd w:id="30"/>
      <w:r>
        <w:t>) Diagrama en bloques del funcionamiento del decodificador.</w:t>
      </w:r>
    </w:p>
    <w:p w:rsidR="00AC4FCB" w:rsidRDefault="00AC4FCB" w:rsidP="008C51E0">
      <w:pPr>
        <w:pStyle w:val="ParrafoTESIS"/>
      </w:pPr>
      <w:r>
        <w:t xml:space="preserve">Para el diseño se analizaron las diferentes condiciones de entrada generadas a partir de los comparadores, se realizó una tabla de verdad </w:t>
      </w:r>
      <w:r w:rsidRPr="008047D9">
        <w:t>[</w:t>
      </w:r>
      <w:r>
        <w:t>APÉ</w:t>
      </w:r>
      <w:r w:rsidRPr="008047D9">
        <w:t>NDICE B]</w:t>
      </w:r>
      <w:r>
        <w:t xml:space="preserve"> y luego de aplicar el método de reducción por Karnaugh, se obtuvieron las siguientes funciones lógicas que determinan la salida del código binario (la interconexión para el bit 2SB se aprecia en la </w:t>
      </w:r>
      <w:r>
        <w:fldChar w:fldCharType="begin"/>
      </w:r>
      <w:r>
        <w:instrText xml:space="preserve"> REF _Ref268857384 \h </w:instrText>
      </w:r>
      <w:r>
        <w:fldChar w:fldCharType="separate"/>
      </w:r>
      <w:r>
        <w:t xml:space="preserve">Figura </w:t>
      </w:r>
      <w:r>
        <w:rPr>
          <w:noProof/>
        </w:rPr>
        <w:t>6</w:t>
      </w:r>
      <w:r>
        <w:fldChar w:fldCharType="end"/>
      </w:r>
      <w:r>
        <w:t>):</w:t>
      </w:r>
    </w:p>
    <w:p w:rsidR="00AC4FCB" w:rsidRPr="00674B12" w:rsidRDefault="00AC4FCB" w:rsidP="008C51E0">
      <w:pPr>
        <w:pStyle w:val="ParrafoTESIS"/>
        <w:rPr>
          <w:rFonts w:eastAsiaTheme="minorEastAsia"/>
        </w:rPr>
      </w:pPr>
      <m:oMathPara>
        <m:oMathParaPr>
          <m:jc m:val="left"/>
        </m:oMathParaPr>
        <m:oMath>
          <m:r>
            <w:rPr>
              <w:rFonts w:ascii="Cambria Math" w:hAnsi="Cambria Math"/>
            </w:rPr>
            <m:t>MSB</m:t>
          </m:r>
          <m:r>
            <m:rPr>
              <m:sty m:val="p"/>
            </m:rPr>
            <w:rPr>
              <w:rFonts w:ascii="Cambria Math" w:hAnsi="Cambria Math"/>
            </w:rPr>
            <m:t>=</m:t>
          </m:r>
          <m:r>
            <w:rPr>
              <w:rFonts w:ascii="Cambria Math" w:hAnsi="Cambria Math"/>
            </w:rPr>
            <m:t>C</m:t>
          </m:r>
          <m:r>
            <m:rPr>
              <m:sty m:val="p"/>
            </m:rPr>
            <w:rPr>
              <w:rFonts w:ascii="Cambria Math" w:hAnsi="Cambria Math"/>
            </w:rPr>
            <m:t>32</m:t>
          </m:r>
        </m:oMath>
      </m:oMathPara>
    </w:p>
    <w:p w:rsidR="00AC4FCB" w:rsidRPr="00674B12" w:rsidRDefault="00AC4FCB" w:rsidP="008C51E0">
      <w:pPr>
        <w:pStyle w:val="ParrafoTESIS"/>
        <w:rPr>
          <w:rFonts w:eastAsiaTheme="minorEastAsia"/>
        </w:rPr>
      </w:pPr>
      <m:oMathPara>
        <m:oMathParaPr>
          <m:jc m:val="left"/>
        </m:oMathParaPr>
        <m:oMath>
          <m:r>
            <m:rPr>
              <m:sty m:val="p"/>
            </m:rPr>
            <w:rPr>
              <w:rFonts w:ascii="Cambria Math" w:hAnsi="Cambria Math"/>
            </w:rPr>
            <m:t>5</m:t>
          </m:r>
          <m:r>
            <w:rPr>
              <w:rFonts w:ascii="Cambria Math" w:hAnsi="Cambria Math"/>
            </w:rPr>
            <m:t>SB</m:t>
          </m:r>
          <m:r>
            <m:rPr>
              <m:sty m:val="p"/>
            </m:rPr>
            <w:rPr>
              <w:rFonts w:ascii="Cambria Math" w:hAnsi="Cambria Math"/>
            </w:rPr>
            <m:t>=</m:t>
          </m:r>
          <m:r>
            <w:rPr>
              <w:rFonts w:ascii="Cambria Math" w:hAnsi="Cambria Math"/>
            </w:rPr>
            <m:t>C</m:t>
          </m:r>
          <m:r>
            <m:rPr>
              <m:sty m:val="p"/>
            </m:rPr>
            <w:rPr>
              <w:rFonts w:ascii="Cambria Math" w:hAnsi="Cambria Math"/>
            </w:rPr>
            <m:t>16+</m:t>
          </m:r>
          <m:acc>
            <m:accPr>
              <m:chr m:val="̅"/>
              <m:ctrlPr>
                <w:rPr>
                  <w:rFonts w:ascii="Cambria Math" w:hAnsi="Cambria Math"/>
                </w:rPr>
              </m:ctrlPr>
            </m:accPr>
            <m:e>
              <m:r>
                <w:rPr>
                  <w:rFonts w:ascii="Cambria Math" w:hAnsi="Cambria Math"/>
                </w:rPr>
                <m:t>C</m:t>
              </m:r>
              <m:r>
                <m:rPr>
                  <m:sty m:val="p"/>
                </m:rPr>
                <w:rPr>
                  <w:rFonts w:ascii="Cambria Math" w:hAnsi="Cambria Math"/>
                </w:rPr>
                <m:t>32</m:t>
              </m:r>
            </m:e>
          </m:acc>
          <m:r>
            <w:rPr>
              <w:rFonts w:ascii="Cambria Math" w:eastAsiaTheme="minorEastAsia" w:hAnsi="Cambria Math"/>
            </w:rPr>
            <m:t>C</m:t>
          </m:r>
          <m:r>
            <m:rPr>
              <m:sty m:val="p"/>
            </m:rPr>
            <w:rPr>
              <w:rFonts w:ascii="Cambria Math" w:eastAsiaTheme="minorEastAsia" w:hAnsi="Cambria Math"/>
            </w:rPr>
            <m:t>48</m:t>
          </m:r>
        </m:oMath>
      </m:oMathPara>
    </w:p>
    <w:p w:rsidR="00AC4FCB" w:rsidRPr="00674B12" w:rsidRDefault="00AC4FCB" w:rsidP="008C51E0">
      <w:pPr>
        <w:pStyle w:val="ParrafoTESIS"/>
        <w:rPr>
          <w:rFonts w:eastAsiaTheme="minorEastAsia"/>
        </w:rPr>
      </w:pPr>
      <m:oMathPara>
        <m:oMathParaPr>
          <m:jc m:val="left"/>
        </m:oMathParaPr>
        <m:oMath>
          <m:r>
            <m:rPr>
              <m:sty m:val="p"/>
            </m:rPr>
            <w:rPr>
              <w:rFonts w:ascii="Cambria Math" w:hAnsi="Cambria Math"/>
            </w:rPr>
            <m:t>4</m:t>
          </m:r>
          <m:r>
            <w:rPr>
              <w:rFonts w:ascii="Cambria Math" w:hAnsi="Cambria Math"/>
            </w:rPr>
            <m:t>SB</m:t>
          </m:r>
          <m:r>
            <m:rPr>
              <m:sty m:val="p"/>
            </m:rPr>
            <w:rPr>
              <w:rFonts w:ascii="Cambria Math" w:hAnsi="Cambria Math"/>
            </w:rPr>
            <m:t>=</m:t>
          </m:r>
          <m:r>
            <w:rPr>
              <w:rFonts w:ascii="Cambria Math" w:hAnsi="Cambria Math"/>
            </w:rPr>
            <m:t>C</m:t>
          </m:r>
          <m:r>
            <m:rPr>
              <m:sty m:val="p"/>
            </m:rPr>
            <w:rPr>
              <w:rFonts w:ascii="Cambria Math" w:hAnsi="Cambria Math"/>
            </w:rPr>
            <m:t>8+</m:t>
          </m:r>
          <m:acc>
            <m:accPr>
              <m:chr m:val="̅"/>
              <m:ctrlPr>
                <w:rPr>
                  <w:rFonts w:ascii="Cambria Math" w:hAnsi="Cambria Math"/>
                </w:rPr>
              </m:ctrlPr>
            </m:accPr>
            <m:e>
              <m:r>
                <w:rPr>
                  <w:rFonts w:ascii="Cambria Math" w:hAnsi="Cambria Math"/>
                </w:rPr>
                <m:t>C</m:t>
              </m:r>
              <m:r>
                <m:rPr>
                  <m:sty m:val="p"/>
                </m:rPr>
                <w:rPr>
                  <w:rFonts w:ascii="Cambria Math" w:hAnsi="Cambria Math"/>
                </w:rPr>
                <m:t>16</m:t>
              </m:r>
            </m:e>
          </m:acc>
          <m:r>
            <w:rPr>
              <w:rFonts w:ascii="Cambria Math" w:eastAsiaTheme="minorEastAsia" w:hAnsi="Cambria Math"/>
            </w:rPr>
            <m:t>C</m:t>
          </m:r>
          <m:r>
            <m:rPr>
              <m:sty m:val="p"/>
            </m:rPr>
            <w:rPr>
              <w:rFonts w:ascii="Cambria Math" w:eastAsiaTheme="minorEastAsia" w:hAnsi="Cambria Math"/>
            </w:rPr>
            <m:t>24+</m:t>
          </m:r>
          <m:acc>
            <m:accPr>
              <m:chr m:val="̅"/>
              <m:ctrlPr>
                <w:rPr>
                  <w:rFonts w:ascii="Cambria Math" w:hAnsi="Cambria Math"/>
                </w:rPr>
              </m:ctrlPr>
            </m:accPr>
            <m:e>
              <m:r>
                <w:rPr>
                  <w:rFonts w:ascii="Cambria Math" w:hAnsi="Cambria Math"/>
                </w:rPr>
                <m:t>C</m:t>
              </m:r>
              <m:r>
                <m:rPr>
                  <m:sty m:val="p"/>
                </m:rPr>
                <w:rPr>
                  <w:rFonts w:ascii="Cambria Math" w:hAnsi="Cambria Math"/>
                </w:rPr>
                <m:t>32</m:t>
              </m:r>
            </m:e>
          </m:acc>
          <m:r>
            <w:rPr>
              <w:rFonts w:ascii="Cambria Math" w:eastAsiaTheme="minorEastAsia" w:hAnsi="Cambria Math"/>
            </w:rPr>
            <m:t>C</m:t>
          </m:r>
          <m:r>
            <m:rPr>
              <m:sty m:val="p"/>
            </m:rPr>
            <w:rPr>
              <w:rFonts w:ascii="Cambria Math" w:eastAsiaTheme="minorEastAsia" w:hAnsi="Cambria Math"/>
            </w:rPr>
            <m:t>40+</m:t>
          </m:r>
          <m:acc>
            <m:accPr>
              <m:chr m:val="̅"/>
              <m:ctrlPr>
                <w:rPr>
                  <w:rFonts w:ascii="Cambria Math" w:hAnsi="Cambria Math"/>
                </w:rPr>
              </m:ctrlPr>
            </m:accPr>
            <m:e>
              <m:r>
                <w:rPr>
                  <w:rFonts w:ascii="Cambria Math" w:hAnsi="Cambria Math"/>
                </w:rPr>
                <m:t>C</m:t>
              </m:r>
              <m:r>
                <m:rPr>
                  <m:sty m:val="p"/>
                </m:rPr>
                <w:rPr>
                  <w:rFonts w:ascii="Cambria Math" w:hAnsi="Cambria Math"/>
                </w:rPr>
                <m:t>48</m:t>
              </m:r>
            </m:e>
          </m:acc>
          <m:r>
            <w:rPr>
              <w:rFonts w:ascii="Cambria Math" w:eastAsiaTheme="minorEastAsia" w:hAnsi="Cambria Math"/>
            </w:rPr>
            <m:t>C</m:t>
          </m:r>
          <m:r>
            <m:rPr>
              <m:sty m:val="p"/>
            </m:rPr>
            <w:rPr>
              <w:rFonts w:ascii="Cambria Math" w:eastAsiaTheme="minorEastAsia" w:hAnsi="Cambria Math"/>
            </w:rPr>
            <m:t>56</m:t>
          </m:r>
        </m:oMath>
      </m:oMathPara>
    </w:p>
    <w:p w:rsidR="00AC4FCB" w:rsidRPr="00674B12" w:rsidRDefault="00AC4FCB" w:rsidP="008C51E0">
      <w:pPr>
        <w:pStyle w:val="ParrafoTESIS"/>
        <w:rPr>
          <w:rFonts w:eastAsiaTheme="minorEastAsia"/>
        </w:rPr>
      </w:pPr>
      <m:oMathPara>
        <m:oMathParaPr>
          <m:jc m:val="left"/>
        </m:oMathParaPr>
        <m:oMath>
          <m:r>
            <m:rPr>
              <m:sty m:val="p"/>
            </m:rPr>
            <w:rPr>
              <w:rFonts w:ascii="Cambria Math" w:hAnsi="Cambria Math"/>
            </w:rPr>
            <m:t>3</m:t>
          </m:r>
          <m:r>
            <w:rPr>
              <w:rFonts w:ascii="Cambria Math" w:hAnsi="Cambria Math"/>
            </w:rPr>
            <m:t>SB</m:t>
          </m:r>
          <m:r>
            <m:rPr>
              <m:sty m:val="p"/>
            </m:rPr>
            <w:rPr>
              <w:rFonts w:ascii="Cambria Math" w:hAnsi="Cambria Math"/>
            </w:rPr>
            <m:t>=</m:t>
          </m:r>
          <m:r>
            <w:rPr>
              <w:rFonts w:ascii="Cambria Math" w:hAnsi="Cambria Math"/>
            </w:rPr>
            <m:t>C</m:t>
          </m:r>
          <m:r>
            <m:rPr>
              <m:sty m:val="p"/>
            </m:rPr>
            <w:rPr>
              <w:rFonts w:ascii="Cambria Math" w:hAnsi="Cambria Math"/>
            </w:rPr>
            <m:t>4+</m:t>
          </m:r>
          <m:acc>
            <m:accPr>
              <m:chr m:val="̅"/>
              <m:ctrlPr>
                <w:rPr>
                  <w:rFonts w:ascii="Cambria Math" w:hAnsi="Cambria Math"/>
                </w:rPr>
              </m:ctrlPr>
            </m:accPr>
            <m:e>
              <m:r>
                <w:rPr>
                  <w:rFonts w:ascii="Cambria Math" w:hAnsi="Cambria Math"/>
                </w:rPr>
                <m:t>C</m:t>
              </m:r>
              <m:r>
                <m:rPr>
                  <m:sty m:val="p"/>
                </m:rPr>
                <w:rPr>
                  <w:rFonts w:ascii="Cambria Math" w:hAnsi="Cambria Math"/>
                </w:rPr>
                <m:t>8</m:t>
              </m:r>
            </m:e>
          </m:acc>
          <m:r>
            <w:rPr>
              <w:rFonts w:ascii="Cambria Math" w:eastAsiaTheme="minorEastAsia" w:hAnsi="Cambria Math"/>
            </w:rPr>
            <m:t>C</m:t>
          </m:r>
          <m:r>
            <m:rPr>
              <m:sty m:val="p"/>
            </m:rPr>
            <w:rPr>
              <w:rFonts w:ascii="Cambria Math" w:eastAsiaTheme="minorEastAsia" w:hAnsi="Cambria Math"/>
            </w:rPr>
            <m:t>12+</m:t>
          </m:r>
          <m:acc>
            <m:accPr>
              <m:chr m:val="̅"/>
              <m:ctrlPr>
                <w:rPr>
                  <w:rFonts w:ascii="Cambria Math" w:hAnsi="Cambria Math"/>
                </w:rPr>
              </m:ctrlPr>
            </m:accPr>
            <m:e>
              <m:r>
                <w:rPr>
                  <w:rFonts w:ascii="Cambria Math" w:hAnsi="Cambria Math"/>
                </w:rPr>
                <m:t>C</m:t>
              </m:r>
              <m:r>
                <m:rPr>
                  <m:sty m:val="p"/>
                </m:rPr>
                <w:rPr>
                  <w:rFonts w:ascii="Cambria Math" w:hAnsi="Cambria Math"/>
                </w:rPr>
                <m:t>16</m:t>
              </m:r>
            </m:e>
          </m:acc>
          <m:r>
            <w:rPr>
              <w:rFonts w:ascii="Cambria Math" w:eastAsiaTheme="minorEastAsia" w:hAnsi="Cambria Math"/>
            </w:rPr>
            <m:t>C</m:t>
          </m:r>
          <m:r>
            <m:rPr>
              <m:sty m:val="p"/>
            </m:rPr>
            <w:rPr>
              <w:rFonts w:ascii="Cambria Math" w:eastAsiaTheme="minorEastAsia" w:hAnsi="Cambria Math"/>
            </w:rPr>
            <m:t>20+</m:t>
          </m:r>
          <m:acc>
            <m:accPr>
              <m:chr m:val="̅"/>
              <m:ctrlPr>
                <w:rPr>
                  <w:rFonts w:ascii="Cambria Math" w:hAnsi="Cambria Math"/>
                </w:rPr>
              </m:ctrlPr>
            </m:accPr>
            <m:e>
              <m:r>
                <w:rPr>
                  <w:rFonts w:ascii="Cambria Math" w:hAnsi="Cambria Math"/>
                </w:rPr>
                <m:t>C</m:t>
              </m:r>
              <m:r>
                <m:rPr>
                  <m:sty m:val="p"/>
                </m:rPr>
                <w:rPr>
                  <w:rFonts w:ascii="Cambria Math" w:hAnsi="Cambria Math"/>
                </w:rPr>
                <m:t>24</m:t>
              </m:r>
            </m:e>
          </m:acc>
          <m:r>
            <w:rPr>
              <w:rFonts w:ascii="Cambria Math" w:eastAsiaTheme="minorEastAsia" w:hAnsi="Cambria Math"/>
            </w:rPr>
            <m:t>C</m:t>
          </m:r>
          <m:r>
            <m:rPr>
              <m:sty m:val="p"/>
            </m:rPr>
            <w:rPr>
              <w:rFonts w:ascii="Cambria Math" w:eastAsiaTheme="minorEastAsia" w:hAnsi="Cambria Math"/>
            </w:rPr>
            <m:t>28+</m:t>
          </m:r>
          <m:acc>
            <m:accPr>
              <m:chr m:val="̅"/>
              <m:ctrlPr>
                <w:rPr>
                  <w:rFonts w:ascii="Cambria Math" w:hAnsi="Cambria Math"/>
                </w:rPr>
              </m:ctrlPr>
            </m:accPr>
            <m:e>
              <m:r>
                <w:rPr>
                  <w:rFonts w:ascii="Cambria Math" w:hAnsi="Cambria Math"/>
                </w:rPr>
                <m:t>C</m:t>
              </m:r>
              <m:r>
                <m:rPr>
                  <m:sty m:val="p"/>
                </m:rPr>
                <w:rPr>
                  <w:rFonts w:ascii="Cambria Math" w:hAnsi="Cambria Math"/>
                </w:rPr>
                <m:t>32</m:t>
              </m:r>
            </m:e>
          </m:acc>
          <m:r>
            <w:rPr>
              <w:rFonts w:ascii="Cambria Math" w:eastAsiaTheme="minorEastAsia" w:hAnsi="Cambria Math"/>
            </w:rPr>
            <m:t>C</m:t>
          </m:r>
          <m:r>
            <m:rPr>
              <m:sty m:val="p"/>
            </m:rPr>
            <w:rPr>
              <w:rFonts w:ascii="Cambria Math" w:eastAsiaTheme="minorEastAsia" w:hAnsi="Cambria Math"/>
            </w:rPr>
            <m:t>36+</m:t>
          </m:r>
          <m:acc>
            <m:accPr>
              <m:chr m:val="̅"/>
              <m:ctrlPr>
                <w:rPr>
                  <w:rFonts w:ascii="Cambria Math" w:hAnsi="Cambria Math"/>
                </w:rPr>
              </m:ctrlPr>
            </m:accPr>
            <m:e>
              <m:r>
                <w:rPr>
                  <w:rFonts w:ascii="Cambria Math" w:hAnsi="Cambria Math"/>
                </w:rPr>
                <m:t>C</m:t>
              </m:r>
              <m:r>
                <m:rPr>
                  <m:sty m:val="p"/>
                </m:rPr>
                <w:rPr>
                  <w:rFonts w:ascii="Cambria Math" w:hAnsi="Cambria Math"/>
                </w:rPr>
                <m:t>40</m:t>
              </m:r>
            </m:e>
          </m:acc>
          <m:r>
            <w:rPr>
              <w:rFonts w:ascii="Cambria Math" w:eastAsiaTheme="minorEastAsia" w:hAnsi="Cambria Math"/>
            </w:rPr>
            <m:t>C</m:t>
          </m:r>
          <m:r>
            <m:rPr>
              <m:sty m:val="p"/>
            </m:rPr>
            <w:rPr>
              <w:rFonts w:ascii="Cambria Math" w:eastAsiaTheme="minorEastAsia" w:hAnsi="Cambria Math"/>
            </w:rPr>
            <m:t>44+</m:t>
          </m:r>
          <m:acc>
            <m:accPr>
              <m:chr m:val="̅"/>
              <m:ctrlPr>
                <w:rPr>
                  <w:rFonts w:ascii="Cambria Math" w:hAnsi="Cambria Math"/>
                </w:rPr>
              </m:ctrlPr>
            </m:accPr>
            <m:e>
              <m:r>
                <w:rPr>
                  <w:rFonts w:ascii="Cambria Math" w:hAnsi="Cambria Math"/>
                </w:rPr>
                <m:t>C</m:t>
              </m:r>
              <m:r>
                <m:rPr>
                  <m:sty m:val="p"/>
                </m:rPr>
                <w:rPr>
                  <w:rFonts w:ascii="Cambria Math" w:hAnsi="Cambria Math"/>
                </w:rPr>
                <m:t>48</m:t>
              </m:r>
            </m:e>
          </m:acc>
          <m:r>
            <w:rPr>
              <w:rFonts w:ascii="Cambria Math" w:eastAsiaTheme="minorEastAsia" w:hAnsi="Cambria Math"/>
            </w:rPr>
            <m:t>C</m:t>
          </m:r>
          <m:r>
            <m:rPr>
              <m:sty m:val="p"/>
            </m:rPr>
            <w:rPr>
              <w:rFonts w:ascii="Cambria Math" w:eastAsiaTheme="minorEastAsia" w:hAnsi="Cambria Math"/>
            </w:rPr>
            <m:t>52+</m:t>
          </m:r>
          <m:acc>
            <m:accPr>
              <m:chr m:val="̅"/>
              <m:ctrlPr>
                <w:rPr>
                  <w:rFonts w:ascii="Cambria Math" w:hAnsi="Cambria Math"/>
                </w:rPr>
              </m:ctrlPr>
            </m:accPr>
            <m:e>
              <m:r>
                <w:rPr>
                  <w:rFonts w:ascii="Cambria Math" w:hAnsi="Cambria Math"/>
                </w:rPr>
                <m:t>C</m:t>
              </m:r>
              <m:r>
                <m:rPr>
                  <m:sty m:val="p"/>
                </m:rPr>
                <w:rPr>
                  <w:rFonts w:ascii="Cambria Math" w:hAnsi="Cambria Math"/>
                </w:rPr>
                <m:t>56</m:t>
              </m:r>
            </m:e>
          </m:acc>
          <m:r>
            <w:rPr>
              <w:rFonts w:ascii="Cambria Math" w:eastAsiaTheme="minorEastAsia" w:hAnsi="Cambria Math"/>
            </w:rPr>
            <m:t>C</m:t>
          </m:r>
          <m:r>
            <m:rPr>
              <m:sty m:val="p"/>
            </m:rPr>
            <w:rPr>
              <w:rFonts w:ascii="Cambria Math" w:eastAsiaTheme="minorEastAsia" w:hAnsi="Cambria Math"/>
            </w:rPr>
            <m:t>60</m:t>
          </m:r>
        </m:oMath>
      </m:oMathPara>
    </w:p>
    <w:p w:rsidR="00AC4FCB" w:rsidRPr="00674B12" w:rsidRDefault="00AC4FCB" w:rsidP="008C51E0">
      <w:pPr>
        <w:pStyle w:val="ParrafoTESIS"/>
        <w:rPr>
          <w:rFonts w:eastAsiaTheme="minorEastAsia"/>
        </w:rPr>
      </w:pPr>
      <m:oMathPara>
        <m:oMathParaPr>
          <m:jc m:val="left"/>
        </m:oMathParaPr>
        <m:oMath>
          <m:r>
            <m:rPr>
              <m:sty m:val="p"/>
            </m:rPr>
            <w:rPr>
              <w:rFonts w:ascii="Cambria Math" w:hAnsi="Cambria Math"/>
            </w:rPr>
            <m:t>2</m:t>
          </m:r>
          <m:r>
            <w:rPr>
              <w:rFonts w:ascii="Cambria Math" w:hAnsi="Cambria Math"/>
            </w:rPr>
            <m:t>SB</m:t>
          </m:r>
          <m:r>
            <m:rPr>
              <m:sty m:val="p"/>
            </m:rPr>
            <w:rPr>
              <w:rFonts w:ascii="Cambria Math" w:hAnsi="Cambria Math"/>
            </w:rPr>
            <m:t>=</m:t>
          </m:r>
          <m:r>
            <w:rPr>
              <w:rFonts w:ascii="Cambria Math" w:hAnsi="Cambria Math"/>
            </w:rPr>
            <m:t>C</m:t>
          </m:r>
          <m:r>
            <m:rPr>
              <m:sty m:val="p"/>
            </m:rPr>
            <w:rPr>
              <w:rFonts w:ascii="Cambria Math" w:hAnsi="Cambria Math"/>
            </w:rPr>
            <m:t>2+</m:t>
          </m:r>
          <m:acc>
            <m:accPr>
              <m:chr m:val="̅"/>
              <m:ctrlPr>
                <w:rPr>
                  <w:rFonts w:ascii="Cambria Math" w:hAnsi="Cambria Math"/>
                </w:rPr>
              </m:ctrlPr>
            </m:accPr>
            <m:e>
              <m:r>
                <w:rPr>
                  <w:rFonts w:ascii="Cambria Math" w:hAnsi="Cambria Math"/>
                </w:rPr>
                <m:t>C</m:t>
              </m:r>
              <m:r>
                <m:rPr>
                  <m:sty m:val="p"/>
                </m:rPr>
                <w:rPr>
                  <w:rFonts w:ascii="Cambria Math" w:hAnsi="Cambria Math"/>
                </w:rPr>
                <m:t>4</m:t>
              </m:r>
            </m:e>
          </m:acc>
          <m:r>
            <w:rPr>
              <w:rFonts w:ascii="Cambria Math" w:eastAsiaTheme="minorEastAsia" w:hAnsi="Cambria Math"/>
            </w:rPr>
            <m:t>C</m:t>
          </m:r>
          <m:r>
            <m:rPr>
              <m:sty m:val="p"/>
            </m:rPr>
            <w:rPr>
              <w:rFonts w:ascii="Cambria Math" w:eastAsiaTheme="minorEastAsia" w:hAnsi="Cambria Math"/>
            </w:rPr>
            <m:t>6+</m:t>
          </m:r>
          <m:acc>
            <m:accPr>
              <m:chr m:val="̅"/>
              <m:ctrlPr>
                <w:rPr>
                  <w:rFonts w:ascii="Cambria Math" w:hAnsi="Cambria Math"/>
                </w:rPr>
              </m:ctrlPr>
            </m:accPr>
            <m:e>
              <m:r>
                <w:rPr>
                  <w:rFonts w:ascii="Cambria Math" w:hAnsi="Cambria Math"/>
                </w:rPr>
                <m:t>C</m:t>
              </m:r>
              <m:r>
                <m:rPr>
                  <m:sty m:val="p"/>
                </m:rPr>
                <w:rPr>
                  <w:rFonts w:ascii="Cambria Math" w:hAnsi="Cambria Math"/>
                </w:rPr>
                <m:t>8</m:t>
              </m:r>
            </m:e>
          </m:acc>
          <m:r>
            <w:rPr>
              <w:rFonts w:ascii="Cambria Math" w:eastAsiaTheme="minorEastAsia" w:hAnsi="Cambria Math"/>
            </w:rPr>
            <m:t>C</m:t>
          </m:r>
          <m:r>
            <m:rPr>
              <m:sty m:val="p"/>
            </m:rPr>
            <w:rPr>
              <w:rFonts w:ascii="Cambria Math" w:eastAsiaTheme="minorEastAsia" w:hAnsi="Cambria Math"/>
            </w:rPr>
            <m:t>10+</m:t>
          </m:r>
          <m:acc>
            <m:accPr>
              <m:chr m:val="̅"/>
              <m:ctrlPr>
                <w:rPr>
                  <w:rFonts w:ascii="Cambria Math" w:hAnsi="Cambria Math"/>
                </w:rPr>
              </m:ctrlPr>
            </m:accPr>
            <m:e>
              <m:r>
                <w:rPr>
                  <w:rFonts w:ascii="Cambria Math" w:hAnsi="Cambria Math"/>
                </w:rPr>
                <m:t>C</m:t>
              </m:r>
              <m:r>
                <m:rPr>
                  <m:sty m:val="p"/>
                </m:rPr>
                <w:rPr>
                  <w:rFonts w:ascii="Cambria Math" w:hAnsi="Cambria Math"/>
                </w:rPr>
                <m:t>12</m:t>
              </m:r>
            </m:e>
          </m:acc>
          <m:r>
            <w:rPr>
              <w:rFonts w:ascii="Cambria Math" w:eastAsiaTheme="minorEastAsia" w:hAnsi="Cambria Math"/>
            </w:rPr>
            <m:t>C</m:t>
          </m:r>
          <m:r>
            <m:rPr>
              <m:sty m:val="p"/>
            </m:rPr>
            <w:rPr>
              <w:rFonts w:ascii="Cambria Math" w:eastAsiaTheme="minorEastAsia" w:hAnsi="Cambria Math"/>
            </w:rPr>
            <m:t>14+</m:t>
          </m:r>
          <m:acc>
            <m:accPr>
              <m:chr m:val="̅"/>
              <m:ctrlPr>
                <w:rPr>
                  <w:rFonts w:ascii="Cambria Math" w:hAnsi="Cambria Math"/>
                </w:rPr>
              </m:ctrlPr>
            </m:accPr>
            <m:e>
              <m:r>
                <w:rPr>
                  <w:rFonts w:ascii="Cambria Math" w:hAnsi="Cambria Math"/>
                </w:rPr>
                <m:t>C</m:t>
              </m:r>
              <m:r>
                <m:rPr>
                  <m:sty m:val="p"/>
                </m:rPr>
                <w:rPr>
                  <w:rFonts w:ascii="Cambria Math" w:hAnsi="Cambria Math"/>
                </w:rPr>
                <m:t>16</m:t>
              </m:r>
            </m:e>
          </m:acc>
          <m:r>
            <w:rPr>
              <w:rFonts w:ascii="Cambria Math" w:eastAsiaTheme="minorEastAsia" w:hAnsi="Cambria Math"/>
            </w:rPr>
            <m:t>C</m:t>
          </m:r>
          <m:r>
            <m:rPr>
              <m:sty m:val="p"/>
            </m:rPr>
            <w:rPr>
              <w:rFonts w:ascii="Cambria Math" w:eastAsiaTheme="minorEastAsia" w:hAnsi="Cambria Math"/>
            </w:rPr>
            <m:t>18+</m:t>
          </m:r>
          <m:acc>
            <m:accPr>
              <m:chr m:val="̅"/>
              <m:ctrlPr>
                <w:rPr>
                  <w:rFonts w:ascii="Cambria Math" w:hAnsi="Cambria Math"/>
                </w:rPr>
              </m:ctrlPr>
            </m:accPr>
            <m:e>
              <m:r>
                <w:rPr>
                  <w:rFonts w:ascii="Cambria Math" w:hAnsi="Cambria Math"/>
                </w:rPr>
                <m:t>C</m:t>
              </m:r>
              <m:r>
                <m:rPr>
                  <m:sty m:val="p"/>
                </m:rPr>
                <w:rPr>
                  <w:rFonts w:ascii="Cambria Math" w:hAnsi="Cambria Math"/>
                </w:rPr>
                <m:t>20</m:t>
              </m:r>
            </m:e>
          </m:acc>
          <m:r>
            <w:rPr>
              <w:rFonts w:ascii="Cambria Math" w:eastAsiaTheme="minorEastAsia" w:hAnsi="Cambria Math"/>
            </w:rPr>
            <m:t>C</m:t>
          </m:r>
          <m:r>
            <m:rPr>
              <m:sty m:val="p"/>
            </m:rPr>
            <w:rPr>
              <w:rFonts w:ascii="Cambria Math" w:eastAsiaTheme="minorEastAsia" w:hAnsi="Cambria Math"/>
            </w:rPr>
            <m:t>22+</m:t>
          </m:r>
          <m:acc>
            <m:accPr>
              <m:chr m:val="̅"/>
              <m:ctrlPr>
                <w:rPr>
                  <w:rFonts w:ascii="Cambria Math" w:hAnsi="Cambria Math"/>
                </w:rPr>
              </m:ctrlPr>
            </m:accPr>
            <m:e>
              <m:r>
                <w:rPr>
                  <w:rFonts w:ascii="Cambria Math" w:hAnsi="Cambria Math"/>
                </w:rPr>
                <m:t>C</m:t>
              </m:r>
              <m:r>
                <m:rPr>
                  <m:sty m:val="p"/>
                </m:rPr>
                <w:rPr>
                  <w:rFonts w:ascii="Cambria Math" w:hAnsi="Cambria Math"/>
                </w:rPr>
                <m:t>24</m:t>
              </m:r>
            </m:e>
          </m:acc>
          <m:r>
            <w:rPr>
              <w:rFonts w:ascii="Cambria Math" w:eastAsiaTheme="minorEastAsia" w:hAnsi="Cambria Math"/>
            </w:rPr>
            <m:t>C</m:t>
          </m:r>
          <m:r>
            <m:rPr>
              <m:sty m:val="p"/>
            </m:rPr>
            <w:rPr>
              <w:rFonts w:ascii="Cambria Math" w:eastAsiaTheme="minorEastAsia" w:hAnsi="Cambria Math"/>
            </w:rPr>
            <m:t>26+</m:t>
          </m:r>
          <m:acc>
            <m:accPr>
              <m:chr m:val="̅"/>
              <m:ctrlPr>
                <w:rPr>
                  <w:rFonts w:ascii="Cambria Math" w:hAnsi="Cambria Math"/>
                </w:rPr>
              </m:ctrlPr>
            </m:accPr>
            <m:e>
              <m:r>
                <w:rPr>
                  <w:rFonts w:ascii="Cambria Math" w:hAnsi="Cambria Math"/>
                </w:rPr>
                <m:t>C</m:t>
              </m:r>
              <m:r>
                <m:rPr>
                  <m:sty m:val="p"/>
                </m:rPr>
                <w:rPr>
                  <w:rFonts w:ascii="Cambria Math" w:hAnsi="Cambria Math"/>
                </w:rPr>
                <m:t>28</m:t>
              </m:r>
            </m:e>
          </m:acc>
          <m:r>
            <w:rPr>
              <w:rFonts w:ascii="Cambria Math" w:eastAsiaTheme="minorEastAsia" w:hAnsi="Cambria Math"/>
            </w:rPr>
            <m:t>C</m:t>
          </m:r>
          <m:r>
            <m:rPr>
              <m:sty m:val="p"/>
            </m:rPr>
            <w:rPr>
              <w:rFonts w:ascii="Cambria Math" w:eastAsiaTheme="minorEastAsia" w:hAnsi="Cambria Math"/>
            </w:rPr>
            <m:t>30</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32</m:t>
              </m:r>
            </m:e>
          </m:acc>
          <m:r>
            <w:rPr>
              <w:rFonts w:ascii="Cambria Math" w:eastAsiaTheme="minorEastAsia" w:hAnsi="Cambria Math"/>
            </w:rPr>
            <m:t>C</m:t>
          </m:r>
          <m:r>
            <m:rPr>
              <m:sty m:val="p"/>
            </m:rPr>
            <w:rPr>
              <w:rFonts w:ascii="Cambria Math" w:eastAsiaTheme="minorEastAsia" w:hAnsi="Cambria Math"/>
            </w:rPr>
            <m:t>34</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36</m:t>
              </m:r>
            </m:e>
          </m:acc>
          <m:r>
            <w:rPr>
              <w:rFonts w:ascii="Cambria Math" w:eastAsiaTheme="minorEastAsia" w:hAnsi="Cambria Math"/>
            </w:rPr>
            <m:t>C</m:t>
          </m:r>
          <m:r>
            <m:rPr>
              <m:sty m:val="p"/>
            </m:rPr>
            <w:rPr>
              <w:rFonts w:ascii="Cambria Math" w:eastAsiaTheme="minorEastAsia" w:hAnsi="Cambria Math"/>
            </w:rPr>
            <m:t>38</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40</m:t>
              </m:r>
            </m:e>
          </m:acc>
          <m:r>
            <w:rPr>
              <w:rFonts w:ascii="Cambria Math" w:eastAsiaTheme="minorEastAsia" w:hAnsi="Cambria Math"/>
            </w:rPr>
            <m:t>C</m:t>
          </m:r>
          <m:r>
            <m:rPr>
              <m:sty m:val="p"/>
            </m:rPr>
            <w:rPr>
              <w:rFonts w:ascii="Cambria Math" w:eastAsiaTheme="minorEastAsia" w:hAnsi="Cambria Math"/>
            </w:rPr>
            <m:t>42</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44</m:t>
              </m:r>
            </m:e>
          </m:acc>
          <m:r>
            <w:rPr>
              <w:rFonts w:ascii="Cambria Math" w:eastAsiaTheme="minorEastAsia" w:hAnsi="Cambria Math"/>
            </w:rPr>
            <m:t>C</m:t>
          </m:r>
          <m:r>
            <m:rPr>
              <m:sty m:val="p"/>
            </m:rPr>
            <w:rPr>
              <w:rFonts w:ascii="Cambria Math" w:eastAsiaTheme="minorEastAsia" w:hAnsi="Cambria Math"/>
            </w:rPr>
            <m:t>46</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48</m:t>
              </m:r>
            </m:e>
          </m:acc>
          <m:r>
            <w:rPr>
              <w:rFonts w:ascii="Cambria Math" w:eastAsiaTheme="minorEastAsia" w:hAnsi="Cambria Math"/>
            </w:rPr>
            <m:t>C</m:t>
          </m:r>
          <m:r>
            <m:rPr>
              <m:sty m:val="p"/>
            </m:rPr>
            <w:rPr>
              <w:rFonts w:ascii="Cambria Math" w:eastAsiaTheme="minorEastAsia" w:hAnsi="Cambria Math"/>
            </w:rPr>
            <m:t>50</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52</m:t>
              </m:r>
            </m:e>
          </m:acc>
          <m:r>
            <w:rPr>
              <w:rFonts w:ascii="Cambria Math" w:eastAsiaTheme="minorEastAsia" w:hAnsi="Cambria Math"/>
            </w:rPr>
            <m:t>C</m:t>
          </m:r>
          <m:r>
            <m:rPr>
              <m:sty m:val="p"/>
            </m:rPr>
            <w:rPr>
              <w:rFonts w:ascii="Cambria Math" w:eastAsiaTheme="minorEastAsia" w:hAnsi="Cambria Math"/>
            </w:rPr>
            <m:t>54</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56</m:t>
              </m:r>
            </m:e>
          </m:acc>
          <m:r>
            <w:rPr>
              <w:rFonts w:ascii="Cambria Math" w:eastAsiaTheme="minorEastAsia" w:hAnsi="Cambria Math"/>
            </w:rPr>
            <m:t>C</m:t>
          </m:r>
          <m:r>
            <m:rPr>
              <m:sty m:val="p"/>
            </m:rPr>
            <w:rPr>
              <w:rFonts w:ascii="Cambria Math" w:eastAsiaTheme="minorEastAsia" w:hAnsi="Cambria Math"/>
            </w:rPr>
            <m:t>58</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60</m:t>
              </m:r>
            </m:e>
          </m:acc>
          <m:r>
            <w:rPr>
              <w:rFonts w:ascii="Cambria Math" w:eastAsiaTheme="minorEastAsia" w:hAnsi="Cambria Math"/>
            </w:rPr>
            <m:t>C</m:t>
          </m:r>
          <m:r>
            <m:rPr>
              <m:sty m:val="p"/>
            </m:rPr>
            <w:rPr>
              <w:rFonts w:ascii="Cambria Math" w:eastAsiaTheme="minorEastAsia" w:hAnsi="Cambria Math"/>
            </w:rPr>
            <m:t>62</m:t>
          </m:r>
        </m:oMath>
      </m:oMathPara>
    </w:p>
    <w:p w:rsidR="00AC4FCB" w:rsidRPr="00674B12" w:rsidRDefault="00AC4FCB" w:rsidP="008C51E0">
      <w:pPr>
        <w:pStyle w:val="ParrafoTESIS"/>
        <w:rPr>
          <w:rFonts w:eastAsiaTheme="minorEastAsia"/>
        </w:rPr>
      </w:pPr>
      <m:oMathPara>
        <m:oMathParaPr>
          <m:jc m:val="left"/>
        </m:oMathParaPr>
        <m:oMath>
          <m:r>
            <w:rPr>
              <w:rFonts w:ascii="Cambria Math" w:hAnsi="Cambria Math"/>
            </w:rPr>
            <w:lastRenderedPageBreak/>
            <m:t>LSB</m:t>
          </m:r>
          <m:r>
            <m:rPr>
              <m:sty m:val="p"/>
            </m:rPr>
            <w:rPr>
              <w:rFonts w:ascii="Cambria Math" w:hAnsi="Cambria Math"/>
            </w:rPr>
            <m:t>=</m:t>
          </m:r>
          <m:r>
            <w:rPr>
              <w:rFonts w:ascii="Cambria Math" w:hAnsi="Cambria Math"/>
            </w:rPr>
            <m:t>C</m:t>
          </m:r>
          <m:r>
            <m:rPr>
              <m:sty m:val="p"/>
            </m:rPr>
            <w:rPr>
              <w:rFonts w:ascii="Cambria Math" w:hAnsi="Cambria Math"/>
            </w:rPr>
            <m:t>1+</m:t>
          </m:r>
          <m:acc>
            <m:accPr>
              <m:chr m:val="̅"/>
              <m:ctrlPr>
                <w:rPr>
                  <w:rFonts w:ascii="Cambria Math" w:hAnsi="Cambria Math"/>
                </w:rPr>
              </m:ctrlPr>
            </m:accPr>
            <m:e>
              <m:r>
                <w:rPr>
                  <w:rFonts w:ascii="Cambria Math" w:hAnsi="Cambria Math"/>
                </w:rPr>
                <m:t>C</m:t>
              </m:r>
              <m:r>
                <m:rPr>
                  <m:sty m:val="p"/>
                </m:rPr>
                <w:rPr>
                  <w:rFonts w:ascii="Cambria Math" w:hAnsi="Cambria Math"/>
                </w:rPr>
                <m:t>2</m:t>
              </m:r>
            </m:e>
          </m:acc>
          <m:r>
            <w:rPr>
              <w:rFonts w:ascii="Cambria Math" w:eastAsiaTheme="minorEastAsia" w:hAnsi="Cambria Math"/>
            </w:rPr>
            <m:t>C</m:t>
          </m:r>
          <m:r>
            <m:rPr>
              <m:sty m:val="p"/>
            </m:rPr>
            <w:rPr>
              <w:rFonts w:ascii="Cambria Math" w:eastAsiaTheme="minorEastAsia" w:hAnsi="Cambria Math"/>
            </w:rPr>
            <m:t>3</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m:t>
              </m:r>
            </m:e>
          </m:acc>
          <m:r>
            <w:rPr>
              <w:rFonts w:ascii="Cambria Math" w:eastAsiaTheme="minorEastAsia" w:hAnsi="Cambria Math"/>
            </w:rPr>
            <m:t>C</m:t>
          </m:r>
          <m:r>
            <m:rPr>
              <m:sty m:val="p"/>
            </m:rPr>
            <w:rPr>
              <w:rFonts w:ascii="Cambria Math" w:eastAsiaTheme="minorEastAsia" w:hAnsi="Cambria Math"/>
            </w:rPr>
            <m:t>5</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6</m:t>
              </m:r>
            </m:e>
          </m:acc>
          <m:r>
            <w:rPr>
              <w:rFonts w:ascii="Cambria Math" w:eastAsiaTheme="minorEastAsia" w:hAnsi="Cambria Math"/>
            </w:rPr>
            <m:t>C</m:t>
          </m:r>
          <m:r>
            <m:rPr>
              <m:sty m:val="p"/>
            </m:rPr>
            <w:rPr>
              <w:rFonts w:ascii="Cambria Math" w:eastAsiaTheme="minorEastAsia" w:hAnsi="Cambria Math"/>
            </w:rPr>
            <m:t>7</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8</m:t>
              </m:r>
            </m:e>
          </m:acc>
          <m:r>
            <w:rPr>
              <w:rFonts w:ascii="Cambria Math" w:eastAsiaTheme="minorEastAsia" w:hAnsi="Cambria Math"/>
            </w:rPr>
            <m:t>C</m:t>
          </m:r>
          <m:r>
            <m:rPr>
              <m:sty m:val="p"/>
            </m:rPr>
            <w:rPr>
              <w:rFonts w:ascii="Cambria Math" w:eastAsiaTheme="minorEastAsia" w:hAnsi="Cambria Math"/>
            </w:rPr>
            <m:t>9</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10</m:t>
              </m:r>
            </m:e>
          </m:acc>
          <m:r>
            <w:rPr>
              <w:rFonts w:ascii="Cambria Math" w:eastAsiaTheme="minorEastAsia" w:hAnsi="Cambria Math"/>
            </w:rPr>
            <m:t>C</m:t>
          </m:r>
          <m:r>
            <m:rPr>
              <m:sty m:val="p"/>
            </m:rPr>
            <w:rPr>
              <w:rFonts w:ascii="Cambria Math" w:eastAsiaTheme="minorEastAsia" w:hAnsi="Cambria Math"/>
            </w:rPr>
            <m:t>11</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12</m:t>
              </m:r>
            </m:e>
          </m:acc>
          <m:r>
            <w:rPr>
              <w:rFonts w:ascii="Cambria Math" w:eastAsiaTheme="minorEastAsia" w:hAnsi="Cambria Math"/>
            </w:rPr>
            <m:t>C</m:t>
          </m:r>
          <m:r>
            <m:rPr>
              <m:sty m:val="p"/>
            </m:rPr>
            <w:rPr>
              <w:rFonts w:ascii="Cambria Math" w:eastAsiaTheme="minorEastAsia" w:hAnsi="Cambria Math"/>
            </w:rPr>
            <m:t>13</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14</m:t>
              </m:r>
            </m:e>
          </m:acc>
          <m:r>
            <w:rPr>
              <w:rFonts w:ascii="Cambria Math" w:eastAsiaTheme="minorEastAsia" w:hAnsi="Cambria Math"/>
            </w:rPr>
            <m:t>C</m:t>
          </m:r>
          <m:r>
            <m:rPr>
              <m:sty m:val="p"/>
            </m:rPr>
            <w:rPr>
              <w:rFonts w:ascii="Cambria Math" w:eastAsiaTheme="minorEastAsia" w:hAnsi="Cambria Math"/>
            </w:rPr>
            <m:t>15</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16</m:t>
              </m:r>
            </m:e>
          </m:acc>
          <m:r>
            <w:rPr>
              <w:rFonts w:ascii="Cambria Math" w:eastAsiaTheme="minorEastAsia" w:hAnsi="Cambria Math"/>
            </w:rPr>
            <m:t>C</m:t>
          </m:r>
          <m:r>
            <m:rPr>
              <m:sty m:val="p"/>
            </m:rPr>
            <w:rPr>
              <w:rFonts w:ascii="Cambria Math" w:eastAsiaTheme="minorEastAsia" w:hAnsi="Cambria Math"/>
            </w:rPr>
            <m:t>17</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18</m:t>
              </m:r>
            </m:e>
          </m:acc>
          <m:r>
            <w:rPr>
              <w:rFonts w:ascii="Cambria Math" w:eastAsiaTheme="minorEastAsia" w:hAnsi="Cambria Math"/>
            </w:rPr>
            <m:t>C</m:t>
          </m:r>
          <m:r>
            <m:rPr>
              <m:sty m:val="p"/>
            </m:rPr>
            <w:rPr>
              <w:rFonts w:ascii="Cambria Math" w:eastAsiaTheme="minorEastAsia" w:hAnsi="Cambria Math"/>
            </w:rPr>
            <m:t>19</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20</m:t>
              </m:r>
            </m:e>
          </m:acc>
          <m:r>
            <w:rPr>
              <w:rFonts w:ascii="Cambria Math" w:eastAsiaTheme="minorEastAsia" w:hAnsi="Cambria Math"/>
            </w:rPr>
            <m:t>C</m:t>
          </m:r>
          <m:r>
            <m:rPr>
              <m:sty m:val="p"/>
            </m:rPr>
            <w:rPr>
              <w:rFonts w:ascii="Cambria Math" w:eastAsiaTheme="minorEastAsia" w:hAnsi="Cambria Math"/>
            </w:rPr>
            <m:t>21</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22</m:t>
              </m:r>
            </m:e>
          </m:acc>
          <m:r>
            <w:rPr>
              <w:rFonts w:ascii="Cambria Math" w:eastAsiaTheme="minorEastAsia" w:hAnsi="Cambria Math"/>
            </w:rPr>
            <m:t>C</m:t>
          </m:r>
          <m:r>
            <m:rPr>
              <m:sty m:val="p"/>
            </m:rPr>
            <w:rPr>
              <w:rFonts w:ascii="Cambria Math" w:eastAsiaTheme="minorEastAsia" w:hAnsi="Cambria Math"/>
            </w:rPr>
            <m:t>23</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24</m:t>
              </m:r>
            </m:e>
          </m:acc>
          <m:r>
            <w:rPr>
              <w:rFonts w:ascii="Cambria Math" w:eastAsiaTheme="minorEastAsia" w:hAnsi="Cambria Math"/>
            </w:rPr>
            <m:t>C</m:t>
          </m:r>
          <m:r>
            <m:rPr>
              <m:sty m:val="p"/>
            </m:rPr>
            <w:rPr>
              <w:rFonts w:ascii="Cambria Math" w:eastAsiaTheme="minorEastAsia" w:hAnsi="Cambria Math"/>
            </w:rPr>
            <m:t>25</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26</m:t>
              </m:r>
            </m:e>
          </m:acc>
          <m:r>
            <w:rPr>
              <w:rFonts w:ascii="Cambria Math" w:eastAsiaTheme="minorEastAsia" w:hAnsi="Cambria Math"/>
            </w:rPr>
            <m:t>C</m:t>
          </m:r>
          <m:r>
            <m:rPr>
              <m:sty m:val="p"/>
            </m:rPr>
            <w:rPr>
              <w:rFonts w:ascii="Cambria Math" w:eastAsiaTheme="minorEastAsia" w:hAnsi="Cambria Math"/>
            </w:rPr>
            <m:t>27</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28</m:t>
              </m:r>
            </m:e>
          </m:acc>
          <m:r>
            <w:rPr>
              <w:rFonts w:ascii="Cambria Math" w:eastAsiaTheme="minorEastAsia" w:hAnsi="Cambria Math"/>
            </w:rPr>
            <m:t>C</m:t>
          </m:r>
          <m:r>
            <m:rPr>
              <m:sty m:val="p"/>
            </m:rPr>
            <w:rPr>
              <w:rFonts w:ascii="Cambria Math" w:eastAsiaTheme="minorEastAsia" w:hAnsi="Cambria Math"/>
            </w:rPr>
            <m:t>29</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30</m:t>
              </m:r>
            </m:e>
          </m:acc>
          <m:r>
            <w:rPr>
              <w:rFonts w:ascii="Cambria Math" w:eastAsiaTheme="minorEastAsia" w:hAnsi="Cambria Math"/>
            </w:rPr>
            <m:t>C</m:t>
          </m:r>
          <m:r>
            <m:rPr>
              <m:sty m:val="p"/>
            </m:rPr>
            <w:rPr>
              <w:rFonts w:ascii="Cambria Math" w:eastAsiaTheme="minorEastAsia" w:hAnsi="Cambria Math"/>
            </w:rPr>
            <m:t>31</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32</m:t>
              </m:r>
            </m:e>
          </m:acc>
          <m:r>
            <w:rPr>
              <w:rFonts w:ascii="Cambria Math" w:eastAsiaTheme="minorEastAsia" w:hAnsi="Cambria Math"/>
            </w:rPr>
            <m:t>C</m:t>
          </m:r>
          <m:r>
            <m:rPr>
              <m:sty m:val="p"/>
            </m:rPr>
            <w:rPr>
              <w:rFonts w:ascii="Cambria Math" w:eastAsiaTheme="minorEastAsia" w:hAnsi="Cambria Math"/>
            </w:rPr>
            <m:t>33</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34</m:t>
              </m:r>
            </m:e>
          </m:acc>
          <m:r>
            <w:rPr>
              <w:rFonts w:ascii="Cambria Math" w:eastAsiaTheme="minorEastAsia" w:hAnsi="Cambria Math"/>
            </w:rPr>
            <m:t>C</m:t>
          </m:r>
          <m:r>
            <m:rPr>
              <m:sty m:val="p"/>
            </m:rPr>
            <w:rPr>
              <w:rFonts w:ascii="Cambria Math" w:eastAsiaTheme="minorEastAsia" w:hAnsi="Cambria Math"/>
            </w:rPr>
            <m:t>35</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36</m:t>
              </m:r>
            </m:e>
          </m:acc>
          <m:r>
            <w:rPr>
              <w:rFonts w:ascii="Cambria Math" w:eastAsiaTheme="minorEastAsia" w:hAnsi="Cambria Math"/>
            </w:rPr>
            <m:t>C</m:t>
          </m:r>
          <m:r>
            <m:rPr>
              <m:sty m:val="p"/>
            </m:rPr>
            <w:rPr>
              <w:rFonts w:ascii="Cambria Math" w:eastAsiaTheme="minorEastAsia" w:hAnsi="Cambria Math"/>
            </w:rPr>
            <m:t>37</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38</m:t>
              </m:r>
            </m:e>
          </m:acc>
          <m:r>
            <w:rPr>
              <w:rFonts w:ascii="Cambria Math" w:eastAsiaTheme="minorEastAsia" w:hAnsi="Cambria Math"/>
            </w:rPr>
            <m:t>C</m:t>
          </m:r>
          <m:r>
            <m:rPr>
              <m:sty m:val="p"/>
            </m:rPr>
            <w:rPr>
              <w:rFonts w:ascii="Cambria Math" w:eastAsiaTheme="minorEastAsia" w:hAnsi="Cambria Math"/>
            </w:rPr>
            <m:t>39</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40</m:t>
              </m:r>
            </m:e>
          </m:acc>
          <m:r>
            <w:rPr>
              <w:rFonts w:ascii="Cambria Math" w:eastAsiaTheme="minorEastAsia" w:hAnsi="Cambria Math"/>
            </w:rPr>
            <m:t>C</m:t>
          </m:r>
          <m:r>
            <m:rPr>
              <m:sty m:val="p"/>
            </m:rPr>
            <w:rPr>
              <w:rFonts w:ascii="Cambria Math" w:eastAsiaTheme="minorEastAsia" w:hAnsi="Cambria Math"/>
            </w:rPr>
            <m:t>41</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42</m:t>
              </m:r>
            </m:e>
          </m:acc>
          <m:r>
            <w:rPr>
              <w:rFonts w:ascii="Cambria Math" w:eastAsiaTheme="minorEastAsia" w:hAnsi="Cambria Math"/>
            </w:rPr>
            <m:t>C</m:t>
          </m:r>
          <m:r>
            <m:rPr>
              <m:sty m:val="p"/>
            </m:rPr>
            <w:rPr>
              <w:rFonts w:ascii="Cambria Math" w:eastAsiaTheme="minorEastAsia" w:hAnsi="Cambria Math"/>
            </w:rPr>
            <m:t>43</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44</m:t>
              </m:r>
            </m:e>
          </m:acc>
          <m:r>
            <w:rPr>
              <w:rFonts w:ascii="Cambria Math" w:eastAsiaTheme="minorEastAsia" w:hAnsi="Cambria Math"/>
            </w:rPr>
            <m:t>C</m:t>
          </m:r>
          <m:r>
            <m:rPr>
              <m:sty m:val="p"/>
            </m:rPr>
            <w:rPr>
              <w:rFonts w:ascii="Cambria Math" w:eastAsiaTheme="minorEastAsia" w:hAnsi="Cambria Math"/>
            </w:rPr>
            <m:t>45</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46</m:t>
              </m:r>
            </m:e>
          </m:acc>
          <m:r>
            <w:rPr>
              <w:rFonts w:ascii="Cambria Math" w:eastAsiaTheme="minorEastAsia" w:hAnsi="Cambria Math"/>
            </w:rPr>
            <m:t>C</m:t>
          </m:r>
          <m:r>
            <m:rPr>
              <m:sty m:val="p"/>
            </m:rPr>
            <w:rPr>
              <w:rFonts w:ascii="Cambria Math" w:eastAsiaTheme="minorEastAsia" w:hAnsi="Cambria Math"/>
            </w:rPr>
            <m:t>47</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48</m:t>
              </m:r>
            </m:e>
          </m:acc>
          <m:r>
            <w:rPr>
              <w:rFonts w:ascii="Cambria Math" w:eastAsiaTheme="minorEastAsia" w:hAnsi="Cambria Math"/>
            </w:rPr>
            <m:t>C</m:t>
          </m:r>
          <m:r>
            <m:rPr>
              <m:sty m:val="p"/>
            </m:rPr>
            <w:rPr>
              <w:rFonts w:ascii="Cambria Math" w:eastAsiaTheme="minorEastAsia" w:hAnsi="Cambria Math"/>
            </w:rPr>
            <m:t>49</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50</m:t>
              </m:r>
            </m:e>
          </m:acc>
          <m:r>
            <w:rPr>
              <w:rFonts w:ascii="Cambria Math" w:eastAsiaTheme="minorEastAsia" w:hAnsi="Cambria Math"/>
            </w:rPr>
            <m:t>C</m:t>
          </m:r>
          <m:r>
            <m:rPr>
              <m:sty m:val="p"/>
            </m:rPr>
            <w:rPr>
              <w:rFonts w:ascii="Cambria Math" w:eastAsiaTheme="minorEastAsia" w:hAnsi="Cambria Math"/>
            </w:rPr>
            <m:t>51</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52</m:t>
              </m:r>
            </m:e>
          </m:acc>
          <m:r>
            <w:rPr>
              <w:rFonts w:ascii="Cambria Math" w:eastAsiaTheme="minorEastAsia" w:hAnsi="Cambria Math"/>
            </w:rPr>
            <m:t>C</m:t>
          </m:r>
          <m:r>
            <m:rPr>
              <m:sty m:val="p"/>
            </m:rPr>
            <w:rPr>
              <w:rFonts w:ascii="Cambria Math" w:eastAsiaTheme="minorEastAsia" w:hAnsi="Cambria Math"/>
            </w:rPr>
            <m:t>53</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54</m:t>
              </m:r>
            </m:e>
          </m:acc>
          <m:r>
            <w:rPr>
              <w:rFonts w:ascii="Cambria Math" w:eastAsiaTheme="minorEastAsia" w:hAnsi="Cambria Math"/>
            </w:rPr>
            <m:t>C</m:t>
          </m:r>
          <m:r>
            <m:rPr>
              <m:sty m:val="p"/>
            </m:rPr>
            <w:rPr>
              <w:rFonts w:ascii="Cambria Math" w:eastAsiaTheme="minorEastAsia" w:hAnsi="Cambria Math"/>
            </w:rPr>
            <m:t>55</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56</m:t>
              </m:r>
            </m:e>
          </m:acc>
          <m:r>
            <w:rPr>
              <w:rFonts w:ascii="Cambria Math" w:eastAsiaTheme="minorEastAsia" w:hAnsi="Cambria Math"/>
            </w:rPr>
            <m:t>C</m:t>
          </m:r>
          <m:r>
            <m:rPr>
              <m:sty m:val="p"/>
            </m:rPr>
            <w:rPr>
              <w:rFonts w:ascii="Cambria Math" w:eastAsiaTheme="minorEastAsia" w:hAnsi="Cambria Math"/>
            </w:rPr>
            <m:t>57</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58</m:t>
              </m:r>
            </m:e>
          </m:acc>
          <m:r>
            <w:rPr>
              <w:rFonts w:ascii="Cambria Math" w:eastAsiaTheme="minorEastAsia" w:hAnsi="Cambria Math"/>
            </w:rPr>
            <m:t>C</m:t>
          </m:r>
          <m:r>
            <m:rPr>
              <m:sty m:val="p"/>
            </m:rPr>
            <w:rPr>
              <w:rFonts w:ascii="Cambria Math" w:eastAsiaTheme="minorEastAsia" w:hAnsi="Cambria Math"/>
            </w:rPr>
            <m:t>59</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60</m:t>
              </m:r>
            </m:e>
          </m:acc>
          <m:r>
            <w:rPr>
              <w:rFonts w:ascii="Cambria Math" w:eastAsiaTheme="minorEastAsia" w:hAnsi="Cambria Math"/>
            </w:rPr>
            <m:t>C</m:t>
          </m:r>
          <m:r>
            <m:rPr>
              <m:sty m:val="p"/>
            </m:rPr>
            <w:rPr>
              <w:rFonts w:ascii="Cambria Math" w:eastAsiaTheme="minorEastAsia" w:hAnsi="Cambria Math"/>
            </w:rPr>
            <m:t>61</m:t>
          </m:r>
          <m:r>
            <m:rPr>
              <m:sty m:val="p"/>
            </m:rPr>
            <w:rPr>
              <w:rFonts w:ascii="Cambria Math" w:hAnsi="Cambria Math"/>
            </w:rPr>
            <m:t>+</m:t>
          </m:r>
          <m:acc>
            <m:accPr>
              <m:chr m:val="̅"/>
              <m:ctrlPr>
                <w:rPr>
                  <w:rFonts w:ascii="Cambria Math" w:hAnsi="Cambria Math"/>
                </w:rPr>
              </m:ctrlPr>
            </m:accPr>
            <m:e>
              <m:r>
                <w:rPr>
                  <w:rFonts w:ascii="Cambria Math" w:hAnsi="Cambria Math"/>
                </w:rPr>
                <m:t>C</m:t>
              </m:r>
              <m:r>
                <m:rPr>
                  <m:sty m:val="p"/>
                </m:rPr>
                <w:rPr>
                  <w:rFonts w:ascii="Cambria Math" w:hAnsi="Cambria Math"/>
                </w:rPr>
                <m:t>62</m:t>
              </m:r>
            </m:e>
          </m:acc>
          <m:r>
            <w:rPr>
              <w:rFonts w:ascii="Cambria Math" w:eastAsiaTheme="minorEastAsia" w:hAnsi="Cambria Math"/>
            </w:rPr>
            <m:t>C</m:t>
          </m:r>
          <m:r>
            <m:rPr>
              <m:sty m:val="p"/>
            </m:rPr>
            <w:rPr>
              <w:rFonts w:ascii="Cambria Math" w:eastAsiaTheme="minorEastAsia" w:hAnsi="Cambria Math"/>
            </w:rPr>
            <m:t>63</m:t>
          </m:r>
        </m:oMath>
      </m:oMathPara>
    </w:p>
    <w:p w:rsidR="00AC4FCB" w:rsidRDefault="00AC4FCB" w:rsidP="001838DA">
      <w:pPr>
        <w:pStyle w:val="NormalWeb"/>
        <w:spacing w:before="0" w:beforeAutospacing="0" w:after="0" w:afterAutospacing="0"/>
      </w:pPr>
      <w:r>
        <w:rPr>
          <w:noProof/>
        </w:rPr>
        <w:drawing>
          <wp:inline distT="0" distB="0" distL="0" distR="0">
            <wp:extent cx="5400675" cy="3955514"/>
            <wp:effectExtent l="19050" t="0" r="9525" b="0"/>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400675" cy="3955514"/>
                    </a:xfrm>
                    <a:prstGeom prst="rect">
                      <a:avLst/>
                    </a:prstGeom>
                    <a:noFill/>
                    <a:ln w="9525">
                      <a:noFill/>
                      <a:miter lim="800000"/>
                      <a:headEnd/>
                      <a:tailEnd/>
                    </a:ln>
                  </pic:spPr>
                </pic:pic>
              </a:graphicData>
            </a:graphic>
          </wp:inline>
        </w:drawing>
      </w:r>
    </w:p>
    <w:p w:rsidR="00AC4FCB" w:rsidRDefault="00AC4FCB" w:rsidP="002B200F">
      <w:pPr>
        <w:pStyle w:val="Epgrafe"/>
        <w:jc w:val="center"/>
      </w:pPr>
      <w:bookmarkStart w:id="31" w:name="_Ref268857384"/>
      <w:r>
        <w:t xml:space="preserve">Figura </w:t>
      </w:r>
      <w:fldSimple w:instr=" SEQ Figura \* ARABIC ">
        <w:r>
          <w:rPr>
            <w:noProof/>
          </w:rPr>
          <w:t>14</w:t>
        </w:r>
      </w:fldSimple>
      <w:bookmarkEnd w:id="31"/>
      <w:r>
        <w:t>) Esquemático de la interconexión de compuertas internas del decodificador para el bit 2SB.</w:t>
      </w:r>
    </w:p>
    <w:p w:rsidR="00AC4FCB" w:rsidRPr="00A47627" w:rsidRDefault="00AC4FCB" w:rsidP="00A47627"/>
    <w:p w:rsidR="00AC4FCB" w:rsidRDefault="00AC4FCB">
      <w:pPr>
        <w:rPr>
          <w:rFonts w:cstheme="minorHAnsi"/>
        </w:rPr>
      </w:pPr>
      <w:r>
        <w:br w:type="page"/>
      </w:r>
    </w:p>
    <w:p w:rsidR="00AC4FCB" w:rsidRDefault="00AC4FCB" w:rsidP="003A03AB">
      <w:pPr>
        <w:pStyle w:val="Ttulo2"/>
      </w:pPr>
      <w:bookmarkStart w:id="32" w:name="_Toc266984397"/>
      <w:r>
        <w:rPr>
          <w:szCs w:val="22"/>
        </w:rPr>
        <w:lastRenderedPageBreak/>
        <w:t>2.2</w:t>
      </w:r>
      <w:r w:rsidRPr="006D79EE">
        <w:rPr>
          <w:szCs w:val="22"/>
        </w:rPr>
        <w:t xml:space="preserve">) </w:t>
      </w:r>
      <w:r w:rsidRPr="006D79EE">
        <w:t>CARACTERIZACIÓN</w:t>
      </w:r>
      <w:bookmarkEnd w:id="32"/>
    </w:p>
    <w:p w:rsidR="00AC4FCB" w:rsidRDefault="00AC4FCB" w:rsidP="008C51E0">
      <w:pPr>
        <w:pStyle w:val="ParrafoTESIS"/>
      </w:pPr>
      <w:r>
        <w:t>A continuación se realizará la caracterización del conversor en base a los siguientes puntos con el fin de asegurar el cumplimiento de las especificaciones señaladas al inicio del capítulo.</w:t>
      </w:r>
    </w:p>
    <w:p w:rsidR="00AC4FCB" w:rsidRPr="00D963BE" w:rsidRDefault="00AC4FCB" w:rsidP="00AC4FCB">
      <w:pPr>
        <w:pStyle w:val="ParrafoTESIS"/>
        <w:numPr>
          <w:ilvl w:val="0"/>
          <w:numId w:val="10"/>
        </w:numPr>
        <w:rPr>
          <w:rStyle w:val="nfasis"/>
        </w:rPr>
      </w:pPr>
      <w:r w:rsidRPr="00D963BE">
        <w:rPr>
          <w:rStyle w:val="nfasis"/>
        </w:rPr>
        <w:t>Señal de entrada.</w:t>
      </w:r>
    </w:p>
    <w:p w:rsidR="00AC4FCB" w:rsidRPr="00D963BE" w:rsidRDefault="00AC4FCB" w:rsidP="00AC4FCB">
      <w:pPr>
        <w:pStyle w:val="ParrafoTESIS"/>
        <w:numPr>
          <w:ilvl w:val="0"/>
          <w:numId w:val="10"/>
        </w:numPr>
        <w:rPr>
          <w:rStyle w:val="nfasis"/>
        </w:rPr>
      </w:pPr>
      <w:r w:rsidRPr="00D963BE">
        <w:rPr>
          <w:rStyle w:val="nfasis"/>
        </w:rPr>
        <w:t>Tiempos de conversión.</w:t>
      </w:r>
    </w:p>
    <w:p w:rsidR="00AC4FCB" w:rsidRPr="00D963BE" w:rsidRDefault="00AC4FCB" w:rsidP="00AC4FCB">
      <w:pPr>
        <w:pStyle w:val="ParrafoTESIS"/>
        <w:numPr>
          <w:ilvl w:val="0"/>
          <w:numId w:val="10"/>
        </w:numPr>
        <w:rPr>
          <w:rStyle w:val="nfasis"/>
        </w:rPr>
      </w:pPr>
      <w:r w:rsidRPr="00D963BE">
        <w:rPr>
          <w:rStyle w:val="nfasis"/>
        </w:rPr>
        <w:t>Formato de salida.</w:t>
      </w:r>
    </w:p>
    <w:p w:rsidR="00AC4FCB" w:rsidRPr="00D963BE" w:rsidRDefault="00AC4FCB" w:rsidP="00AC4FCB">
      <w:pPr>
        <w:pStyle w:val="ParrafoTESIS"/>
        <w:numPr>
          <w:ilvl w:val="0"/>
          <w:numId w:val="10"/>
        </w:numPr>
        <w:rPr>
          <w:rStyle w:val="nfasis"/>
        </w:rPr>
      </w:pPr>
      <w:r w:rsidRPr="00D963BE">
        <w:rPr>
          <w:rStyle w:val="nfasis"/>
        </w:rPr>
        <w:t>Precisión.</w:t>
      </w:r>
    </w:p>
    <w:p w:rsidR="00AC4FCB" w:rsidRPr="006D79EE" w:rsidRDefault="00AC4FCB" w:rsidP="008C51E0">
      <w:pPr>
        <w:pStyle w:val="ParrafoTESIS"/>
      </w:pPr>
      <w:r>
        <w:t>Éstas dependen directamente de los componentes internos del conversor, por lo cual se expondrán también las características de funcionamiento del comparador y decodificador.</w:t>
      </w:r>
    </w:p>
    <w:p w:rsidR="00AC4FCB" w:rsidRDefault="00AC4FCB" w:rsidP="003A03AB">
      <w:pPr>
        <w:pStyle w:val="Ttulo3"/>
      </w:pPr>
      <w:bookmarkStart w:id="33" w:name="_Toc266984398"/>
      <w:r>
        <w:t>2.2.1) Señal de entrada</w:t>
      </w:r>
      <w:bookmarkEnd w:id="33"/>
    </w:p>
    <w:p w:rsidR="00AC4FCB" w:rsidRDefault="00AC4FCB" w:rsidP="008C51E0">
      <w:pPr>
        <w:pStyle w:val="ParrafoTESIS"/>
      </w:pPr>
      <w:r>
        <w:t>La señal de entrada puede excursionar de 0 a 2V.</w:t>
      </w:r>
    </w:p>
    <w:p w:rsidR="00AC4FCB" w:rsidRDefault="00AC4FCB" w:rsidP="008C51E0">
      <w:pPr>
        <w:pStyle w:val="ParrafoTESIS"/>
      </w:pPr>
      <w:r>
        <w:t>Para el estudio realizado, se estableció una señal de entrada que va de 0 a 640mV.</w:t>
      </w:r>
    </w:p>
    <w:p w:rsidR="00AC4FCB" w:rsidRDefault="00AC4FCB" w:rsidP="003A03AB">
      <w:pPr>
        <w:pStyle w:val="Ttulo3"/>
      </w:pPr>
      <w:bookmarkStart w:id="34" w:name="_Toc266984399"/>
      <w:r>
        <w:t>2.2.2) Tiempos de conversión</w:t>
      </w:r>
      <w:bookmarkEnd w:id="34"/>
    </w:p>
    <w:p w:rsidR="00AC4FCB" w:rsidRDefault="00AC4FCB" w:rsidP="008C51E0">
      <w:pPr>
        <w:pStyle w:val="ParrafoTESIS"/>
      </w:pPr>
      <w:r>
        <w:t>Los tiempos de conversión dependen de la suma de los retardos en la lógica interconectada del decodificador y la de los comparadores. Se analizarán los tiempos de transición de los componentes por separado y luego el de conversión total.</w:t>
      </w:r>
    </w:p>
    <w:p w:rsidR="00AC4FCB" w:rsidRDefault="00AC4FCB" w:rsidP="00F468CE">
      <w:pPr>
        <w:pStyle w:val="Ttulo4"/>
      </w:pPr>
      <w:r>
        <w:t>Retardo del comparador:</w:t>
      </w:r>
    </w:p>
    <w:p w:rsidR="00AC4FCB" w:rsidRPr="00A27405" w:rsidRDefault="00AC4FCB" w:rsidP="008C51E0">
      <w:pPr>
        <w:pStyle w:val="ParrafoTESIS"/>
      </w:pPr>
      <w:r>
        <w:t xml:space="preserve">En la </w:t>
      </w:r>
      <w:r>
        <w:fldChar w:fldCharType="begin"/>
      </w:r>
      <w:r>
        <w:instrText xml:space="preserve"> REF _Ref268862813 \h </w:instrText>
      </w:r>
      <w:r>
        <w:fldChar w:fldCharType="separate"/>
      </w:r>
      <w:r>
        <w:t xml:space="preserve">Figura </w:t>
      </w:r>
      <w:r>
        <w:rPr>
          <w:noProof/>
        </w:rPr>
        <w:t>7</w:t>
      </w:r>
      <w:r>
        <w:fldChar w:fldCharType="end"/>
      </w:r>
      <w:r>
        <w:t xml:space="preserve"> se observa la conexión que se llevo a </w:t>
      </w:r>
      <w:r w:rsidRPr="00A27405">
        <w:t xml:space="preserve">cabo </w:t>
      </w:r>
      <w:r>
        <w:t xml:space="preserve">para el análisis de los retardos del comparador, </w:t>
      </w:r>
      <w:r w:rsidRPr="00A27405">
        <w:t xml:space="preserve">y la configuración </w:t>
      </w:r>
      <w:r>
        <w:t>de la fuente V</w:t>
      </w:r>
      <w:r>
        <w:rPr>
          <w:vertAlign w:val="subscript"/>
        </w:rPr>
        <w:t>trapezoidal</w:t>
      </w:r>
      <w:r>
        <w:t xml:space="preserve"> para dicho propósito. Con esta disposición se simula un cambio repentino de la señal de entrada y se evalúan los tiempos requeridos para que el comparador realice el cambio de estado a su salida. En esta última se conectó un capacitor de 5pF para simular la carga capacitiva de las compuertas NAND que luego cargarán al comparador. En la </w:t>
      </w:r>
      <w:r>
        <w:fldChar w:fldCharType="begin"/>
      </w:r>
      <w:r>
        <w:instrText xml:space="preserve"> REF _Ref266463385 \h </w:instrText>
      </w:r>
      <w:r>
        <w:fldChar w:fldCharType="separate"/>
      </w:r>
      <w:r>
        <w:t xml:space="preserve">Figura </w:t>
      </w:r>
      <w:r>
        <w:rPr>
          <w:noProof/>
        </w:rPr>
        <w:t>8</w:t>
      </w:r>
      <w:r>
        <w:fldChar w:fldCharType="end"/>
      </w:r>
      <w:r>
        <w:t xml:space="preserve"> se grafica la simulación realizada para una entrada V</w:t>
      </w:r>
      <w:r w:rsidRPr="0051709C">
        <w:rPr>
          <w:vertAlign w:val="subscript"/>
        </w:rPr>
        <w:t>A</w:t>
      </w:r>
      <w:r>
        <w:t>=1.315 voltios.</w:t>
      </w:r>
    </w:p>
    <w:p w:rsidR="00AC4FCB" w:rsidRDefault="00AC4FCB" w:rsidP="008C51E0">
      <w:pPr>
        <w:pStyle w:val="ParrafoTESIS"/>
      </w:pPr>
      <w:r>
        <w:rPr>
          <w:noProof/>
          <w:lang w:eastAsia="es-AR"/>
        </w:rPr>
        <w:drawing>
          <wp:inline distT="0" distB="0" distL="0" distR="0">
            <wp:extent cx="4999096" cy="1677726"/>
            <wp:effectExtent l="19050" t="0" r="0"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993981" cy="1676010"/>
                    </a:xfrm>
                    <a:prstGeom prst="rect">
                      <a:avLst/>
                    </a:prstGeom>
                    <a:noFill/>
                    <a:ln w="9525">
                      <a:noFill/>
                      <a:miter lim="800000"/>
                      <a:headEnd/>
                      <a:tailEnd/>
                    </a:ln>
                  </pic:spPr>
                </pic:pic>
              </a:graphicData>
            </a:graphic>
          </wp:inline>
        </w:drawing>
      </w:r>
    </w:p>
    <w:p w:rsidR="00AC4FCB" w:rsidRDefault="00AC4FCB" w:rsidP="00A27405">
      <w:pPr>
        <w:pStyle w:val="Epgrafe"/>
        <w:jc w:val="center"/>
      </w:pPr>
      <w:bookmarkStart w:id="35" w:name="_Ref268862813"/>
      <w:r>
        <w:t xml:space="preserve">Figura </w:t>
      </w:r>
      <w:fldSimple w:instr=" SEQ Figura \* ARABIC ">
        <w:r>
          <w:rPr>
            <w:noProof/>
          </w:rPr>
          <w:t>15</w:t>
        </w:r>
      </w:fldSimple>
      <w:bookmarkEnd w:id="35"/>
      <w:r>
        <w:t>) Esquemático de la conexión del comparador, análisis de retardo.</w:t>
      </w:r>
    </w:p>
    <w:p w:rsidR="00AC4FCB" w:rsidRDefault="00AC4FCB" w:rsidP="008C51E0">
      <w:pPr>
        <w:pStyle w:val="ParrafoTESIS"/>
      </w:pPr>
      <w:r>
        <w:t>En la ventana inferior de la simulación (</w:t>
      </w:r>
      <w:fldSimple w:instr=" REF _Ref266463385 \h  \* MERGEFORMAT ">
        <w:r>
          <w:t xml:space="preserve">Figura </w:t>
        </w:r>
        <w:r>
          <w:rPr>
            <w:noProof/>
          </w:rPr>
          <w:t>8</w:t>
        </w:r>
      </w:fldSimple>
      <w:r>
        <w:t>) se encuentra la gráfica del escalón (V</w:t>
      </w:r>
      <w:r w:rsidRPr="008047D9">
        <w:rPr>
          <w:vertAlign w:val="subscript"/>
        </w:rPr>
        <w:t>IN</w:t>
      </w:r>
      <w:r>
        <w:t>), el cual posee una amplitud de 15mV y un tiempo de ascenso/descenso de 10ps.</w:t>
      </w:r>
    </w:p>
    <w:p w:rsidR="00AC4FCB" w:rsidRDefault="00AC4FCB" w:rsidP="00D963BE">
      <w:pPr>
        <w:keepNext/>
        <w:jc w:val="center"/>
      </w:pPr>
      <w:r>
        <w:rPr>
          <w:noProof/>
          <w:lang w:eastAsia="es-AR"/>
        </w:rPr>
        <w:drawing>
          <wp:inline distT="0" distB="0" distL="0" distR="0">
            <wp:extent cx="5130944" cy="3240000"/>
            <wp:effectExtent l="19050" t="0" r="0" b="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5130944" cy="3240000"/>
                    </a:xfrm>
                    <a:prstGeom prst="rect">
                      <a:avLst/>
                    </a:prstGeom>
                    <a:noFill/>
                    <a:ln w="9525">
                      <a:noFill/>
                      <a:miter lim="800000"/>
                      <a:headEnd/>
                      <a:tailEnd/>
                    </a:ln>
                  </pic:spPr>
                </pic:pic>
              </a:graphicData>
            </a:graphic>
          </wp:inline>
        </w:drawing>
      </w:r>
    </w:p>
    <w:p w:rsidR="00AC4FCB" w:rsidRDefault="00AC4FCB" w:rsidP="00D963BE">
      <w:pPr>
        <w:pStyle w:val="Epgrafe"/>
        <w:jc w:val="center"/>
      </w:pPr>
      <w:bookmarkStart w:id="36" w:name="_Ref266463385"/>
      <w:r>
        <w:t xml:space="preserve">Figura </w:t>
      </w:r>
      <w:fldSimple w:instr=" SEQ Figura \* ARABIC ">
        <w:r>
          <w:rPr>
            <w:noProof/>
          </w:rPr>
          <w:t>16</w:t>
        </w:r>
      </w:fldSimple>
      <w:bookmarkEnd w:id="36"/>
      <w:r>
        <w:t>) Análisis de retardos del comparador [V</w:t>
      </w:r>
      <w:r>
        <w:rPr>
          <w:vertAlign w:val="subscript"/>
        </w:rPr>
        <w:t>CM</w:t>
      </w:r>
      <w:r>
        <w:t>=1.315V].</w:t>
      </w:r>
    </w:p>
    <w:p w:rsidR="00AC4FCB" w:rsidRPr="00680971" w:rsidRDefault="00AC4FCB" w:rsidP="008C51E0">
      <w:pPr>
        <w:pStyle w:val="ParrafoTESIS"/>
      </w:pPr>
      <w:r w:rsidRPr="00680971">
        <w:t xml:space="preserve">En la ventana superior </w:t>
      </w:r>
      <w:r>
        <w:t xml:space="preserve">están a la vista </w:t>
      </w:r>
      <w:r w:rsidRPr="00680971">
        <w:t>dos curvas. La curva de color verde es la salida de la primera etapa del comparador (etapa diferencial)</w:t>
      </w:r>
      <w:r>
        <w:t>,</w:t>
      </w:r>
      <w:r w:rsidRPr="00680971">
        <w:t xml:space="preserve"> y la de color rojo la salida final del comparador. De esta simulación se obtuvo:</w:t>
      </w:r>
    </w:p>
    <w:p w:rsidR="00AC4FCB" w:rsidRPr="00D963BE" w:rsidRDefault="00AC4FCB" w:rsidP="00AC4FCB">
      <w:pPr>
        <w:pStyle w:val="ParrafoTESIS"/>
        <w:numPr>
          <w:ilvl w:val="0"/>
          <w:numId w:val="9"/>
        </w:numPr>
        <w:rPr>
          <w:rStyle w:val="nfasis"/>
        </w:rPr>
      </w:pPr>
      <w:r w:rsidRPr="00D963BE">
        <w:rPr>
          <w:rStyle w:val="nfasis"/>
        </w:rPr>
        <w:t>Máximo retardo “Alto – bajo (High to Low - TpHL)”del comparador: 7.48uS.</w:t>
      </w:r>
    </w:p>
    <w:p w:rsidR="00AC4FCB" w:rsidRPr="00D963BE" w:rsidRDefault="00AC4FCB" w:rsidP="00AC4FCB">
      <w:pPr>
        <w:pStyle w:val="ParrafoTESIS"/>
        <w:numPr>
          <w:ilvl w:val="0"/>
          <w:numId w:val="9"/>
        </w:numPr>
        <w:rPr>
          <w:rStyle w:val="nfasis"/>
        </w:rPr>
      </w:pPr>
      <w:r w:rsidRPr="00D963BE">
        <w:rPr>
          <w:rStyle w:val="nfasis"/>
        </w:rPr>
        <w:t>Máximo retardo “Bajo – alto (Low to High - TpLH)”del comparador: 2.5uS.</w:t>
      </w:r>
    </w:p>
    <w:p w:rsidR="00AC4FCB" w:rsidRPr="00CD6302" w:rsidRDefault="00AC4FCB">
      <w:pPr>
        <w:rPr>
          <w:rFonts w:cstheme="minorHAnsi"/>
        </w:rPr>
      </w:pPr>
      <w:r w:rsidRPr="00CD6302">
        <w:br w:type="page"/>
      </w:r>
    </w:p>
    <w:p w:rsidR="00AC4FCB" w:rsidRDefault="00AC4FCB" w:rsidP="00F468CE">
      <w:pPr>
        <w:pStyle w:val="Ttulo4"/>
      </w:pPr>
      <w:r>
        <w:t>Retardos de las compuertas:</w:t>
      </w:r>
    </w:p>
    <w:p w:rsidR="00AC4FCB" w:rsidRDefault="00AC4FCB" w:rsidP="008C51E0">
      <w:pPr>
        <w:pStyle w:val="ParrafoTESIS"/>
      </w:pPr>
      <w:r w:rsidRPr="0051709C">
        <w:t xml:space="preserve">En la </w:t>
      </w:r>
      <w:r>
        <w:rPr>
          <w:lang w:val="en-US"/>
        </w:rPr>
        <w:fldChar w:fldCharType="begin"/>
      </w:r>
      <w:r w:rsidRPr="0051709C">
        <w:instrText xml:space="preserve"> REF _Ref268886815 \h </w:instrText>
      </w:r>
      <w:r>
        <w:rPr>
          <w:lang w:val="en-US"/>
        </w:rPr>
      </w:r>
      <w:r>
        <w:rPr>
          <w:lang w:val="en-US"/>
        </w:rPr>
        <w:fldChar w:fldCharType="separate"/>
      </w:r>
      <w:r>
        <w:t xml:space="preserve">Figura </w:t>
      </w:r>
      <w:r>
        <w:rPr>
          <w:noProof/>
        </w:rPr>
        <w:t>9</w:t>
      </w:r>
      <w:r>
        <w:rPr>
          <w:lang w:val="en-US"/>
        </w:rPr>
        <w:fldChar w:fldCharType="end"/>
      </w:r>
      <w:r w:rsidRPr="0051709C">
        <w:t xml:space="preserve"> se </w:t>
      </w:r>
      <w:r>
        <w:t>observa</w:t>
      </w:r>
      <w:r w:rsidRPr="0051709C">
        <w:t xml:space="preserve"> la </w:t>
      </w:r>
      <w:r w:rsidRPr="008B0039">
        <w:t>conexión</w:t>
      </w:r>
      <w:r w:rsidRPr="0051709C">
        <w:t xml:space="preserve"> </w:t>
      </w:r>
      <w:r>
        <w:t>utilizada</w:t>
      </w:r>
      <w:r w:rsidRPr="0051709C">
        <w:t xml:space="preserve"> </w:t>
      </w:r>
      <w:r>
        <w:t>en</w:t>
      </w:r>
      <w:r w:rsidRPr="0051709C">
        <w:t xml:space="preserve"> la </w:t>
      </w:r>
      <w:r w:rsidRPr="008B0039">
        <w:t>simulación</w:t>
      </w:r>
      <w:r w:rsidRPr="0051709C">
        <w:t xml:space="preserve"> </w:t>
      </w:r>
      <w:r>
        <w:t xml:space="preserve">para el análisis </w:t>
      </w:r>
      <w:r w:rsidRPr="0051709C">
        <w:t>del tiempo de retard</w:t>
      </w:r>
      <w:r>
        <w:t>o de la compuerta NAND8 (compuerta NAND de 8 entradas). El cambio de estado de la entrada se lleva a cabo a los 2nS y afecta a 7 de las 8 entradas de la compuerta,  luego vuelve a su estado inicial a los 2.31nS. A la salida de la compuerta se conectó una resistencia de 1 mega ohmio, representando a una entrada CMOS, a la cual se conectaría dicha salida de compuerta.</w:t>
      </w:r>
    </w:p>
    <w:p w:rsidR="00AC4FCB" w:rsidRDefault="00AC4FCB" w:rsidP="008C51E0">
      <w:pPr>
        <w:pStyle w:val="ParrafoTESIS"/>
        <w:rPr>
          <w:lang w:val="en-US"/>
        </w:rPr>
      </w:pPr>
      <w:r>
        <w:rPr>
          <w:noProof/>
          <w:lang w:eastAsia="es-AR"/>
        </w:rPr>
        <w:drawing>
          <wp:inline distT="0" distB="0" distL="0" distR="0">
            <wp:extent cx="3718319" cy="2027582"/>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730118" cy="2034016"/>
                    </a:xfrm>
                    <a:prstGeom prst="rect">
                      <a:avLst/>
                    </a:prstGeom>
                    <a:noFill/>
                    <a:ln w="9525">
                      <a:noFill/>
                      <a:miter lim="800000"/>
                      <a:headEnd/>
                      <a:tailEnd/>
                    </a:ln>
                  </pic:spPr>
                </pic:pic>
              </a:graphicData>
            </a:graphic>
          </wp:inline>
        </w:drawing>
      </w:r>
    </w:p>
    <w:p w:rsidR="00AC4FCB" w:rsidRDefault="00AC4FCB" w:rsidP="008B0039">
      <w:pPr>
        <w:pStyle w:val="Epgrafe"/>
        <w:jc w:val="center"/>
      </w:pPr>
      <w:bookmarkStart w:id="37" w:name="_Ref268886815"/>
      <w:r>
        <w:t xml:space="preserve">Figura </w:t>
      </w:r>
      <w:fldSimple w:instr=" SEQ Figura \* ARABIC ">
        <w:r>
          <w:rPr>
            <w:noProof/>
          </w:rPr>
          <w:t>17</w:t>
        </w:r>
      </w:fldSimple>
      <w:bookmarkEnd w:id="37"/>
      <w:r>
        <w:t>) Esquemático de la conexión de la compuerta NAND8, análisis de tiempos de retardo.</w:t>
      </w:r>
    </w:p>
    <w:p w:rsidR="00AC4FCB" w:rsidRPr="00FC6372" w:rsidRDefault="00AC4FCB" w:rsidP="008C51E0">
      <w:pPr>
        <w:pStyle w:val="ParrafoTESIS"/>
      </w:pPr>
      <w:r>
        <w:t xml:space="preserve">Siguiendo la misma configuración realizada para la prueba de la compuerta NAND8, se analizaron las compuertas restantes. La </w:t>
      </w:r>
      <w:r>
        <w:fldChar w:fldCharType="begin"/>
      </w:r>
      <w:r>
        <w:instrText xml:space="preserve"> REF _Ref266463829 \h </w:instrText>
      </w:r>
      <w:r>
        <w:fldChar w:fldCharType="separate"/>
      </w:r>
      <w:r>
        <w:t xml:space="preserve">Figura </w:t>
      </w:r>
      <w:r>
        <w:rPr>
          <w:noProof/>
        </w:rPr>
        <w:t>10</w:t>
      </w:r>
      <w:r>
        <w:fldChar w:fldCharType="end"/>
      </w:r>
      <w:r>
        <w:t xml:space="preserve"> ilustra la simulación conjunta realizada para todas las compuertas, donde cada curva representa una compuerta diferente.</w:t>
      </w:r>
    </w:p>
    <w:p w:rsidR="00AC4FCB" w:rsidRDefault="00AC4FCB" w:rsidP="00D963BE">
      <w:pPr>
        <w:pStyle w:val="Prrafodelista"/>
        <w:ind w:left="0"/>
        <w:jc w:val="center"/>
        <w:rPr>
          <w:lang w:val="en-US"/>
        </w:rPr>
      </w:pPr>
      <w:r>
        <w:rPr>
          <w:noProof/>
          <w:lang w:eastAsia="es-AR"/>
        </w:rPr>
        <w:drawing>
          <wp:inline distT="0" distB="0" distL="0" distR="0">
            <wp:extent cx="5110503" cy="3240000"/>
            <wp:effectExtent l="19050" t="0" r="0" b="0"/>
            <wp:docPr id="2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5110503" cy="3240000"/>
                    </a:xfrm>
                    <a:prstGeom prst="rect">
                      <a:avLst/>
                    </a:prstGeom>
                    <a:noFill/>
                    <a:ln w="9525">
                      <a:noFill/>
                      <a:miter lim="800000"/>
                      <a:headEnd/>
                      <a:tailEnd/>
                    </a:ln>
                  </pic:spPr>
                </pic:pic>
              </a:graphicData>
            </a:graphic>
          </wp:inline>
        </w:drawing>
      </w:r>
    </w:p>
    <w:p w:rsidR="00AC4FCB" w:rsidRDefault="00AC4FCB" w:rsidP="00D963BE">
      <w:pPr>
        <w:pStyle w:val="Epgrafe"/>
        <w:jc w:val="center"/>
      </w:pPr>
      <w:bookmarkStart w:id="38" w:name="_Ref266463829"/>
      <w:r>
        <w:t xml:space="preserve">Figura </w:t>
      </w:r>
      <w:fldSimple w:instr=" SEQ Figura \* ARABIC ">
        <w:r>
          <w:rPr>
            <w:noProof/>
          </w:rPr>
          <w:t>18</w:t>
        </w:r>
      </w:fldSimple>
      <w:bookmarkEnd w:id="38"/>
      <w:r>
        <w:t>) Análisis de retardos de las compuertas.</w:t>
      </w:r>
    </w:p>
    <w:p w:rsidR="00AC4FCB" w:rsidRPr="00D963BE" w:rsidRDefault="00AC4FCB" w:rsidP="008C51E0">
      <w:pPr>
        <w:pStyle w:val="ParrafoTESIS"/>
      </w:pPr>
      <w:r w:rsidRPr="00D963BE">
        <w:t>En la simulación se aprecia el comportamiento de las salidas de las compuertas afectadas, las cuales, poseen retardos menores a los 100pS para ambos cambios.</w:t>
      </w:r>
    </w:p>
    <w:p w:rsidR="00AC4FCB" w:rsidRPr="00346997" w:rsidRDefault="00AC4FCB" w:rsidP="00AC4FCB">
      <w:pPr>
        <w:pStyle w:val="ParrafoTESIS"/>
        <w:numPr>
          <w:ilvl w:val="0"/>
          <w:numId w:val="8"/>
        </w:numPr>
        <w:rPr>
          <w:rStyle w:val="nfasis"/>
        </w:rPr>
      </w:pPr>
      <w:r w:rsidRPr="00D963BE">
        <w:rPr>
          <w:rStyle w:val="nfasis"/>
        </w:rPr>
        <w:t>Tiempo de ret</w:t>
      </w:r>
      <w:r>
        <w:rPr>
          <w:rStyle w:val="nfasis"/>
        </w:rPr>
        <w:t>ardo</w:t>
      </w:r>
      <w:r w:rsidRPr="00D963BE">
        <w:rPr>
          <w:rStyle w:val="nfasis"/>
        </w:rPr>
        <w:t xml:space="preserve"> “Alto – bajo” (TpHL) &lt; 100pS.</w:t>
      </w:r>
    </w:p>
    <w:p w:rsidR="00AC4FCB" w:rsidRPr="00346997" w:rsidRDefault="00AC4FCB" w:rsidP="00AC4FCB">
      <w:pPr>
        <w:pStyle w:val="ParrafoTESIS"/>
        <w:numPr>
          <w:ilvl w:val="0"/>
          <w:numId w:val="8"/>
        </w:numPr>
        <w:rPr>
          <w:rStyle w:val="nfasis"/>
        </w:rPr>
      </w:pPr>
      <w:r w:rsidRPr="00D963BE">
        <w:rPr>
          <w:rStyle w:val="nfasis"/>
        </w:rPr>
        <w:t>Tiempo de ret</w:t>
      </w:r>
      <w:r>
        <w:rPr>
          <w:rStyle w:val="nfasis"/>
        </w:rPr>
        <w:t>ardo</w:t>
      </w:r>
      <w:r w:rsidRPr="00D963BE">
        <w:rPr>
          <w:rStyle w:val="nfasis"/>
        </w:rPr>
        <w:t xml:space="preserve"> “Bajo – alto” (TpLH) &lt; 80pS.</w:t>
      </w:r>
    </w:p>
    <w:p w:rsidR="00AC4FCB" w:rsidRDefault="00AC4FCB" w:rsidP="00F468CE">
      <w:pPr>
        <w:pStyle w:val="Ttulo4"/>
      </w:pPr>
      <w:r>
        <w:t>Retardos del decodificador:</w:t>
      </w:r>
    </w:p>
    <w:p w:rsidR="00AC4FCB" w:rsidRDefault="00AC4FCB" w:rsidP="008C51E0">
      <w:pPr>
        <w:pStyle w:val="ParrafoTESIS"/>
      </w:pPr>
      <w:r>
        <w:t xml:space="preserve">Para el análisis de tiempos del decodificador, se llevo a cabo la conexión que se observa en la </w:t>
      </w:r>
      <w:r>
        <w:fldChar w:fldCharType="begin"/>
      </w:r>
      <w:r>
        <w:instrText xml:space="preserve"> REF _Ref268940577 \h </w:instrText>
      </w:r>
      <w:r>
        <w:fldChar w:fldCharType="separate"/>
      </w:r>
      <w:r>
        <w:t xml:space="preserve">Figura </w:t>
      </w:r>
      <w:r>
        <w:rPr>
          <w:noProof/>
        </w:rPr>
        <w:t>11</w:t>
      </w:r>
      <w:r>
        <w:fldChar w:fldCharType="end"/>
      </w:r>
      <w:r>
        <w:t>, en la cual se aprecia que la fuente V</w:t>
      </w:r>
      <w:r>
        <w:rPr>
          <w:vertAlign w:val="subscript"/>
        </w:rPr>
        <w:t>trapezoidal</w:t>
      </w:r>
      <w:r>
        <w:t xml:space="preserve"> afecta a 31 entradas inferiores del decodificador.</w:t>
      </w:r>
    </w:p>
    <w:p w:rsidR="00AC4FCB" w:rsidRDefault="00AC4FCB" w:rsidP="008C51E0">
      <w:pPr>
        <w:jc w:val="center"/>
      </w:pPr>
      <w:r>
        <w:rPr>
          <w:noProof/>
          <w:lang w:eastAsia="es-AR"/>
        </w:rPr>
        <w:drawing>
          <wp:inline distT="0" distB="0" distL="0" distR="0">
            <wp:extent cx="5244884" cy="1812898"/>
            <wp:effectExtent l="19050" t="0" r="0" b="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243859" cy="1812544"/>
                    </a:xfrm>
                    <a:prstGeom prst="rect">
                      <a:avLst/>
                    </a:prstGeom>
                    <a:noFill/>
                    <a:ln w="9525">
                      <a:noFill/>
                      <a:miter lim="800000"/>
                      <a:headEnd/>
                      <a:tailEnd/>
                    </a:ln>
                  </pic:spPr>
                </pic:pic>
              </a:graphicData>
            </a:graphic>
          </wp:inline>
        </w:drawing>
      </w:r>
    </w:p>
    <w:p w:rsidR="00AC4FCB" w:rsidRDefault="00AC4FCB" w:rsidP="008C51E0">
      <w:pPr>
        <w:pStyle w:val="Epgrafe"/>
        <w:jc w:val="center"/>
      </w:pPr>
      <w:bookmarkStart w:id="39" w:name="_Ref268940577"/>
      <w:r>
        <w:t xml:space="preserve">Figura </w:t>
      </w:r>
      <w:fldSimple w:instr=" SEQ Figura \* ARABIC ">
        <w:r>
          <w:rPr>
            <w:noProof/>
          </w:rPr>
          <w:t>19</w:t>
        </w:r>
      </w:fldSimple>
      <w:bookmarkEnd w:id="39"/>
      <w:r>
        <w:t>) Esquemático de la conexión del decodificador, análisis de tiempos de conversión.</w:t>
      </w:r>
    </w:p>
    <w:p w:rsidR="00AC4FCB" w:rsidRDefault="00AC4FCB" w:rsidP="008C51E0">
      <w:pPr>
        <w:pStyle w:val="ParrafoTESIS"/>
      </w:pPr>
      <w:r>
        <w:t>En estado de reposo (al inicio de la simulación y hasta los 2nS) el decodificador tiene en todas sus entradas un valor de tensión positivo, por lo que la decodificación de dicho código termómetro daría como resultado la palabra digital “1 1 1 1 1 1”, la cual representa al nivel más bajo de decodificación. A los 2nS, la fuente V</w:t>
      </w:r>
      <w:r>
        <w:rPr>
          <w:vertAlign w:val="subscript"/>
        </w:rPr>
        <w:t>trapezoidal</w:t>
      </w:r>
      <w:r>
        <w:t xml:space="preserve"> genera un cambio en los niveles de tensión de las 31 primeras entradas del decodificador, llevándolas un nivel de tensión bajo. Esto representaría un aumento repentino de la tensión de entrada hasta un nivel por debajo de la mitad del rango de conversión, dando así como salida decodificada a la palabra digital “1 0 0 0 0 0”. Este cambio se observa en la </w:t>
      </w:r>
      <w:fldSimple w:instr=" REF _Ref266465674 \h  \* MERGEFORMAT ">
        <w:r w:rsidRPr="000F1A6E">
          <w:t xml:space="preserve">Figura </w:t>
        </w:r>
        <w:r>
          <w:rPr>
            <w:noProof/>
          </w:rPr>
          <w:t>12</w:t>
        </w:r>
      </w:fldSimple>
      <w:r>
        <w:t>, en donde a los 3nS, la fuente trapezoidal vuelve a cambiar su estado y genera que el decodificador recupere su estado de reposo.</w:t>
      </w:r>
    </w:p>
    <w:p w:rsidR="00AC4FCB" w:rsidRDefault="00AC4FCB" w:rsidP="003A03AB">
      <w:pPr>
        <w:jc w:val="center"/>
      </w:pPr>
      <w:r>
        <w:rPr>
          <w:noProof/>
          <w:lang w:eastAsia="es-AR"/>
        </w:rPr>
        <w:drawing>
          <wp:inline distT="0" distB="0" distL="0" distR="0">
            <wp:extent cx="5110503" cy="3240000"/>
            <wp:effectExtent l="19050" t="0" r="0" b="0"/>
            <wp:docPr id="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srcRect/>
                    <a:stretch>
                      <a:fillRect/>
                    </a:stretch>
                  </pic:blipFill>
                  <pic:spPr bwMode="auto">
                    <a:xfrm>
                      <a:off x="0" y="0"/>
                      <a:ext cx="5110503" cy="3240000"/>
                    </a:xfrm>
                    <a:prstGeom prst="rect">
                      <a:avLst/>
                    </a:prstGeom>
                    <a:noFill/>
                    <a:ln w="9525">
                      <a:noFill/>
                      <a:miter lim="800000"/>
                      <a:headEnd/>
                      <a:tailEnd/>
                    </a:ln>
                  </pic:spPr>
                </pic:pic>
              </a:graphicData>
            </a:graphic>
          </wp:inline>
        </w:drawing>
      </w:r>
    </w:p>
    <w:p w:rsidR="00AC4FCB" w:rsidRDefault="00AC4FCB" w:rsidP="003A03AB">
      <w:pPr>
        <w:pStyle w:val="Epgrafe"/>
        <w:jc w:val="center"/>
        <w:rPr>
          <w:rFonts w:cstheme="minorHAnsi"/>
        </w:rPr>
      </w:pPr>
      <w:bookmarkStart w:id="40" w:name="_Ref266465674"/>
      <w:r w:rsidRPr="000F1A6E">
        <w:t xml:space="preserve">Figura </w:t>
      </w:r>
      <w:fldSimple w:instr=" SEQ Figura \* ARABIC ">
        <w:r>
          <w:rPr>
            <w:noProof/>
          </w:rPr>
          <w:t>20</w:t>
        </w:r>
      </w:fldSimple>
      <w:bookmarkEnd w:id="40"/>
      <w:r w:rsidRPr="000F1A6E">
        <w:t xml:space="preserve">) </w:t>
      </w:r>
      <w:r>
        <w:t>T</w:t>
      </w:r>
      <w:r>
        <w:rPr>
          <w:rFonts w:cstheme="minorHAnsi"/>
        </w:rPr>
        <w:t>p</w:t>
      </w:r>
      <w:r w:rsidRPr="000F1A6E">
        <w:rPr>
          <w:rFonts w:cstheme="minorHAnsi"/>
        </w:rPr>
        <w:t xml:space="preserve">HL y </w:t>
      </w:r>
      <w:r>
        <w:rPr>
          <w:rFonts w:cstheme="minorHAnsi"/>
        </w:rPr>
        <w:t>Tp</w:t>
      </w:r>
      <w:r w:rsidRPr="000F1A6E">
        <w:rPr>
          <w:rFonts w:cstheme="minorHAnsi"/>
        </w:rPr>
        <w:t xml:space="preserve">LH para una entrada en </w:t>
      </w:r>
      <w:r>
        <w:rPr>
          <w:rFonts w:cstheme="minorHAnsi"/>
        </w:rPr>
        <w:t>trapezoidal</w:t>
      </w:r>
      <w:r w:rsidRPr="000F1A6E">
        <w:rPr>
          <w:rFonts w:cstheme="minorHAnsi"/>
        </w:rPr>
        <w:t xml:space="preserve"> en el comparado C32 (mitad de la tabla de conversión).</w:t>
      </w:r>
    </w:p>
    <w:p w:rsidR="00AC4FCB" w:rsidRDefault="00AC4FCB" w:rsidP="008C51E0">
      <w:pPr>
        <w:pStyle w:val="ParrafoTESIS"/>
      </w:pPr>
      <w:r>
        <w:t xml:space="preserve">En la simulación representada en la </w:t>
      </w:r>
      <w:fldSimple w:instr=" REF _Ref266465674 \h  \* MERGEFORMAT ">
        <w:r w:rsidRPr="000F1A6E">
          <w:t xml:space="preserve">Figura </w:t>
        </w:r>
        <w:r>
          <w:rPr>
            <w:noProof/>
          </w:rPr>
          <w:t>20</w:t>
        </w:r>
      </w:fldSimple>
      <w:r>
        <w:t>, la curva de color verde es la trapezoidal que es conectada a la entrada del decodificador correspondiente al comparador C32, el cual determina el valor medio del código termómetro. Las demás curvas son la salida del decodificador respondiendo al cambio de lógica generado por la fuente trapezoidal.</w:t>
      </w:r>
    </w:p>
    <w:p w:rsidR="00AC4FCB" w:rsidRDefault="00AC4FCB" w:rsidP="008C51E0">
      <w:pPr>
        <w:pStyle w:val="ParrafoTESIS"/>
      </w:pPr>
      <w:r>
        <w:t>Como resultado de la simulación se obtuvieron los siguientes tiempos:</w:t>
      </w:r>
    </w:p>
    <w:p w:rsidR="00AC4FCB" w:rsidRDefault="00AC4FCB" w:rsidP="00AC4FCB">
      <w:pPr>
        <w:pStyle w:val="ParrafoTESIS"/>
        <w:numPr>
          <w:ilvl w:val="0"/>
          <w:numId w:val="8"/>
        </w:numPr>
        <w:rPr>
          <w:rStyle w:val="nfasis"/>
        </w:rPr>
      </w:pPr>
      <w:r w:rsidRPr="00D963BE">
        <w:rPr>
          <w:rStyle w:val="nfasis"/>
        </w:rPr>
        <w:t xml:space="preserve">Tiempos de </w:t>
      </w:r>
      <w:r>
        <w:rPr>
          <w:rStyle w:val="nfasis"/>
        </w:rPr>
        <w:t>retardos</w:t>
      </w:r>
      <w:r w:rsidRPr="00D963BE">
        <w:rPr>
          <w:rStyle w:val="nfasis"/>
        </w:rPr>
        <w:t xml:space="preserve"> de L a H &lt; 1nS. (780 pS)</w:t>
      </w:r>
      <w:r>
        <w:rPr>
          <w:rStyle w:val="nfasis"/>
        </w:rPr>
        <w:t>.</w:t>
      </w:r>
    </w:p>
    <w:p w:rsidR="00AC4FCB" w:rsidRDefault="00AC4FCB" w:rsidP="00AC4FCB">
      <w:pPr>
        <w:pStyle w:val="ParrafoTESIS"/>
        <w:numPr>
          <w:ilvl w:val="0"/>
          <w:numId w:val="8"/>
        </w:numPr>
        <w:rPr>
          <w:rStyle w:val="nfasis"/>
        </w:rPr>
      </w:pPr>
      <w:r w:rsidRPr="00D963BE">
        <w:rPr>
          <w:rStyle w:val="nfasis"/>
        </w:rPr>
        <w:t xml:space="preserve">Tiempos de </w:t>
      </w:r>
      <w:r>
        <w:rPr>
          <w:rStyle w:val="nfasis"/>
        </w:rPr>
        <w:t>retardos</w:t>
      </w:r>
      <w:r w:rsidRPr="00D963BE">
        <w:rPr>
          <w:rStyle w:val="nfasis"/>
        </w:rPr>
        <w:t xml:space="preserve"> de H a L &lt; 1nS. (250 pS)</w:t>
      </w:r>
      <w:r>
        <w:rPr>
          <w:rStyle w:val="nfasis"/>
        </w:rPr>
        <w:t>.</w:t>
      </w:r>
    </w:p>
    <w:p w:rsidR="00AC4FCB" w:rsidRDefault="00AC4FCB">
      <w:pPr>
        <w:pStyle w:val="Ttulo4"/>
      </w:pPr>
      <w:r>
        <w:t>Tiempos de conversión del flash:</w:t>
      </w:r>
    </w:p>
    <w:p w:rsidR="00AC4FCB" w:rsidRDefault="00AC4FCB" w:rsidP="00080181">
      <w:pPr>
        <w:pStyle w:val="ParrafoTESIS"/>
      </w:pPr>
      <w:r>
        <w:t>Luego de analizados los tiempos de retardo individuales de los componentes que lo conforman, se determina que el factor crítico para el tiempo de respuesta del conversor son los comparadores. Los mismos poseen un retardo de transición máximo del orden de 7uS, muy próximo al limite para el funcionamiento a 100KHz del conversor (10uS). El decodificador agrega a este tiempo una contribución de poca consideración, ya que sus retardos rondan los cientos de pico-segundos (pS).</w:t>
      </w:r>
    </w:p>
    <w:p w:rsidR="00AC4FCB" w:rsidRDefault="00AC4FCB" w:rsidP="003A03AB">
      <w:pPr>
        <w:pStyle w:val="Ttulo3"/>
      </w:pPr>
      <w:bookmarkStart w:id="41" w:name="_Toc266984400"/>
      <w:r>
        <w:t>2.2.3) Formato de salida</w:t>
      </w:r>
      <w:bookmarkEnd w:id="41"/>
    </w:p>
    <w:p w:rsidR="00AC4FCB" w:rsidRDefault="00AC4FCB" w:rsidP="008C51E0">
      <w:pPr>
        <w:pStyle w:val="ParrafoTESIS"/>
      </w:pPr>
      <w:r>
        <w:t>El formato de salida del conversor es binario unipolar.</w:t>
      </w:r>
    </w:p>
    <w:p w:rsidR="00AC4FCB" w:rsidRDefault="00AC4FCB" w:rsidP="008C51E0">
      <w:pPr>
        <w:pStyle w:val="ParrafoTESIS"/>
      </w:pPr>
    </w:p>
    <w:p w:rsidR="00AC4FCB" w:rsidRDefault="00AC4FCB" w:rsidP="003A03AB">
      <w:pPr>
        <w:pStyle w:val="Ttulo3"/>
      </w:pPr>
      <w:bookmarkStart w:id="42" w:name="_Toc266984401"/>
      <w:r>
        <w:t>2.2.4) Precisión</w:t>
      </w:r>
      <w:bookmarkEnd w:id="42"/>
    </w:p>
    <w:p w:rsidR="00AC4FCB" w:rsidRPr="00050FF9" w:rsidRDefault="00AC4FCB" w:rsidP="008C51E0">
      <w:pPr>
        <w:pStyle w:val="ParrafoTESIS"/>
        <w:rPr>
          <w:vertAlign w:val="subscript"/>
        </w:rPr>
      </w:pPr>
      <w:r>
        <w:t xml:space="preserve">La precisión incluye errores provenientes de la parte analógica y digital. El error digital del conversor es de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LSB </m:t>
        </m:r>
      </m:oMath>
      <w:r>
        <w:rPr>
          <w:rFonts w:eastAsiaTheme="minorEastAsia"/>
        </w:rPr>
        <w:t xml:space="preserve">=5mV. </w:t>
      </w:r>
      <w:r>
        <w:t>La fuente de error analógico es el comparador. Dicho error varía según el offset y ganancia del mismo, que al estar trabajando para diferentes tensiones de entrada, varía entre los niveles inferiores y superiores del código termómetro.</w:t>
      </w:r>
    </w:p>
    <w:p w:rsidR="00AC4FCB" w:rsidRDefault="00AC4FCB" w:rsidP="009608BA">
      <w:pPr>
        <w:jc w:val="center"/>
      </w:pPr>
      <w:r>
        <w:rPr>
          <w:noProof/>
          <w:lang w:eastAsia="es-AR"/>
        </w:rPr>
        <w:drawing>
          <wp:inline distT="0" distB="0" distL="0" distR="0">
            <wp:extent cx="5110503" cy="3240000"/>
            <wp:effectExtent l="19050" t="0" r="0" b="0"/>
            <wp:docPr id="3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110503" cy="3240000"/>
                    </a:xfrm>
                    <a:prstGeom prst="rect">
                      <a:avLst/>
                    </a:prstGeom>
                    <a:noFill/>
                    <a:ln w="9525">
                      <a:noFill/>
                      <a:miter lim="800000"/>
                      <a:headEnd/>
                      <a:tailEnd/>
                    </a:ln>
                  </pic:spPr>
                </pic:pic>
              </a:graphicData>
            </a:graphic>
          </wp:inline>
        </w:drawing>
      </w:r>
    </w:p>
    <w:p w:rsidR="00AC4FCB" w:rsidRDefault="00AC4FCB" w:rsidP="009608BA">
      <w:pPr>
        <w:pStyle w:val="Epgrafe"/>
        <w:jc w:val="center"/>
      </w:pPr>
      <w:bookmarkStart w:id="43" w:name="_Ref266472245"/>
      <w:r>
        <w:t xml:space="preserve">Figura </w:t>
      </w:r>
      <w:fldSimple w:instr=" SEQ Figura \* ARABIC ">
        <w:r>
          <w:rPr>
            <w:noProof/>
          </w:rPr>
          <w:t>21</w:t>
        </w:r>
      </w:fldSimple>
      <w:bookmarkEnd w:id="43"/>
      <w:r>
        <w:t>)</w:t>
      </w:r>
      <w:r w:rsidRPr="00760A0C">
        <w:t xml:space="preserve"> </w:t>
      </w:r>
      <w:r>
        <w:t>Barrido de tensión continua</w:t>
      </w:r>
      <w:r w:rsidRPr="00EB575C">
        <w:t xml:space="preserve"> </w:t>
      </w:r>
      <w:r>
        <w:t>con V</w:t>
      </w:r>
      <w:r>
        <w:rPr>
          <w:vertAlign w:val="subscript"/>
        </w:rPr>
        <w:t>CM</w:t>
      </w:r>
      <w:r>
        <w:t>=1.005V.</w:t>
      </w:r>
    </w:p>
    <w:p w:rsidR="00AC4FCB" w:rsidRDefault="00AC4FCB" w:rsidP="009608BA">
      <w:pPr>
        <w:jc w:val="center"/>
      </w:pPr>
      <w:r>
        <w:rPr>
          <w:noProof/>
          <w:lang w:eastAsia="es-AR"/>
        </w:rPr>
        <w:drawing>
          <wp:inline distT="0" distB="0" distL="0" distR="0">
            <wp:extent cx="5110503" cy="3240000"/>
            <wp:effectExtent l="19050" t="0" r="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110503" cy="3240000"/>
                    </a:xfrm>
                    <a:prstGeom prst="rect">
                      <a:avLst/>
                    </a:prstGeom>
                    <a:noFill/>
                    <a:ln w="9525">
                      <a:noFill/>
                      <a:miter lim="800000"/>
                      <a:headEnd/>
                      <a:tailEnd/>
                    </a:ln>
                  </pic:spPr>
                </pic:pic>
              </a:graphicData>
            </a:graphic>
          </wp:inline>
        </w:drawing>
      </w:r>
    </w:p>
    <w:p w:rsidR="00AC4FCB" w:rsidRDefault="00AC4FCB" w:rsidP="009608BA">
      <w:pPr>
        <w:pStyle w:val="Epgrafe"/>
        <w:jc w:val="center"/>
      </w:pPr>
      <w:bookmarkStart w:id="44" w:name="_Ref266472246"/>
      <w:r>
        <w:t xml:space="preserve">Figura </w:t>
      </w:r>
      <w:fldSimple w:instr=" SEQ Figura \* ARABIC ">
        <w:r>
          <w:rPr>
            <w:noProof/>
          </w:rPr>
          <w:t>22</w:t>
        </w:r>
      </w:fldSimple>
      <w:bookmarkEnd w:id="44"/>
      <w:r>
        <w:t>)</w:t>
      </w:r>
      <w:r w:rsidRPr="00760A0C">
        <w:t xml:space="preserve"> </w:t>
      </w:r>
      <w:r>
        <w:t>Barrido de tensión continua</w:t>
      </w:r>
      <w:r w:rsidRPr="00EB575C">
        <w:t xml:space="preserve"> con </w:t>
      </w:r>
      <w:r>
        <w:t>V</w:t>
      </w:r>
      <w:r>
        <w:rPr>
          <w:vertAlign w:val="subscript"/>
        </w:rPr>
        <w:t>CM</w:t>
      </w:r>
      <w:r w:rsidRPr="00EB575C">
        <w:t>=1.</w:t>
      </w:r>
      <w:r>
        <w:t>62</w:t>
      </w:r>
      <w:r w:rsidRPr="00EB575C">
        <w:t>5</w:t>
      </w:r>
      <w:r>
        <w:t>V.</w:t>
      </w:r>
    </w:p>
    <w:p w:rsidR="00AC4FCB" w:rsidRPr="009608BA" w:rsidRDefault="00AC4FCB" w:rsidP="008C51E0">
      <w:pPr>
        <w:pStyle w:val="ParrafoTESIS"/>
      </w:pPr>
      <w:r w:rsidRPr="009608BA">
        <w:t>Como se muestra en la</w:t>
      </w:r>
      <w:r>
        <w:t>s</w:t>
      </w:r>
      <w:r w:rsidRPr="009608BA">
        <w:t xml:space="preserve"> </w:t>
      </w:r>
      <w:fldSimple w:instr=" REF _Ref266472245 \h  \* MERGEFORMAT ">
        <w:r>
          <w:t>Figura 21</w:t>
        </w:r>
      </w:fldSimple>
      <w:r>
        <w:t xml:space="preserve"> y </w:t>
      </w:r>
      <w:fldSimple w:instr=" REF _Ref266472246 \h  \* MERGEFORMAT ">
        <w:r>
          <w:t xml:space="preserve">Figura </w:t>
        </w:r>
        <w:r>
          <w:rPr>
            <w:noProof/>
          </w:rPr>
          <w:t>22</w:t>
        </w:r>
      </w:fldSimple>
      <w:r w:rsidRPr="009608BA">
        <w:t>, el offset del comparador v</w:t>
      </w:r>
      <w:r>
        <w:t>aría según cuál sea el voltaje en modo común</w:t>
      </w:r>
      <w:r w:rsidRPr="009608BA">
        <w:t xml:space="preserve">. Para el nivel más bajo </w:t>
      </w:r>
      <w:r>
        <w:t>de referencia</w:t>
      </w:r>
      <w:r w:rsidRPr="009608BA">
        <w:t xml:space="preserve"> (1.005V) el error de offset es de -60uV, mientras que para el nivel más alto (1.625V) es de +180uV</w:t>
      </w:r>
      <w:r>
        <w:t>, aproximadamente</w:t>
      </w:r>
      <w:r w:rsidRPr="009608BA">
        <w:t xml:space="preserve">. </w:t>
      </w:r>
      <w:r>
        <w:t>Análogamente, l</w:t>
      </w:r>
      <w:r w:rsidRPr="009608BA">
        <w:t>a ganancia del co</w:t>
      </w:r>
      <w:r>
        <w:t>mparador también se ve afectada</w:t>
      </w:r>
      <w:r w:rsidRPr="009608BA">
        <w:t xml:space="preserve"> y varía entre 23.843 y 25.814 veces.</w:t>
      </w:r>
      <w:r>
        <w:t xml:space="preserve"> </w:t>
      </w:r>
      <w:r w:rsidRPr="009608BA">
        <w:t xml:space="preserve">En conclusión, el error total del conversor es la suma de ambos errores, tanto digital como analógico, igual a </w:t>
      </w:r>
      <m:oMath>
        <m:r>
          <m:rPr>
            <m:sty m:val="p"/>
          </m:rPr>
          <w:rPr>
            <w:rFonts w:ascii="Cambria Math" w:hAnsi="Cambria Math"/>
          </w:rPr>
          <m:t>±5.180</m:t>
        </m:r>
        <m:r>
          <w:rPr>
            <w:rFonts w:ascii="Cambria Math" w:hAnsi="Cambria Math"/>
          </w:rPr>
          <m:t>mV</m:t>
        </m:r>
        <m:r>
          <m:rPr>
            <m:sty m:val="p"/>
          </m:rPr>
          <w:rPr>
            <w:rFonts w:ascii="Cambria Math" w:hAnsi="Cambria Math"/>
          </w:rPr>
          <m:t>.</m:t>
        </m:r>
      </m:oMath>
    </w:p>
    <w:p w:rsidR="002D5649" w:rsidRPr="00AC4FCB" w:rsidRDefault="00AC4FCB" w:rsidP="00AC4FCB">
      <w:pPr>
        <w:rPr>
          <w:lang w:val="es-ES"/>
        </w:rPr>
      </w:pPr>
      <w:r>
        <w:rPr>
          <w:lang w:val="es-ES"/>
        </w:rPr>
        <w:fldChar w:fldCharType="end"/>
      </w:r>
    </w:p>
    <w:sectPr w:rsidR="002D5649" w:rsidRPr="00AC4FCB" w:rsidSect="00741B54">
      <w:endnotePr>
        <w:numFmt w:val="decimal"/>
      </w:endnotePr>
      <w:pgSz w:w="11907" w:h="16839"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21E0" w:rsidRDefault="004A21E0" w:rsidP="00F302F8">
      <w:pPr>
        <w:spacing w:after="0" w:line="240" w:lineRule="auto"/>
      </w:pPr>
      <w:r>
        <w:separator/>
      </w:r>
    </w:p>
  </w:endnote>
  <w:endnote w:type="continuationSeparator" w:id="0">
    <w:p w:rsidR="004A21E0" w:rsidRDefault="004A21E0" w:rsidP="00F302F8">
      <w:pPr>
        <w:spacing w:after="0" w:line="240" w:lineRule="auto"/>
      </w:pPr>
      <w:r>
        <w:continuationSeparator/>
      </w:r>
    </w:p>
  </w:endnote>
  <w:endnote w:id="1">
    <w:p w:rsidR="00AC4FCB" w:rsidRPr="00844488" w:rsidRDefault="00AC4FCB" w:rsidP="003A03AB">
      <w:pPr>
        <w:pStyle w:val="Textonotaalfinal"/>
        <w:rPr>
          <w:sz w:val="16"/>
          <w:lang w:val="en-US"/>
        </w:rPr>
      </w:pPr>
      <w:r w:rsidRPr="008047D9">
        <w:rPr>
          <w:rStyle w:val="Refdenotaalfinal"/>
          <w:sz w:val="16"/>
        </w:rPr>
        <w:endnoteRef/>
      </w:r>
      <w:r w:rsidRPr="008047D9">
        <w:rPr>
          <w:sz w:val="16"/>
          <w:lang w:val="en-US"/>
        </w:rPr>
        <w:t xml:space="preserve"> </w:t>
      </w:r>
      <w:r w:rsidRPr="008047D9">
        <w:rPr>
          <w:rStyle w:val="apple-style-span"/>
          <w:sz w:val="16"/>
          <w:lang w:val="en-US"/>
        </w:rPr>
        <w:t>Ref.: http://www.mosis.com</w:t>
      </w:r>
    </w:p>
  </w:endnote>
  <w:endnote w:id="2">
    <w:p w:rsidR="00AC4FCB" w:rsidRPr="00844488" w:rsidRDefault="00AC4FCB" w:rsidP="003A03AB">
      <w:pPr>
        <w:pStyle w:val="Textonotaalfinal"/>
        <w:rPr>
          <w:sz w:val="16"/>
          <w:lang w:val="en-US"/>
        </w:rPr>
      </w:pPr>
      <w:r w:rsidRPr="008047D9">
        <w:rPr>
          <w:rStyle w:val="Refdenotaalfinal"/>
          <w:sz w:val="16"/>
        </w:rPr>
        <w:endnoteRef/>
      </w:r>
      <w:r w:rsidRPr="008047D9">
        <w:rPr>
          <w:sz w:val="16"/>
          <w:lang w:val="en-US"/>
        </w:rPr>
        <w:t xml:space="preserve"> Ref.: “CMOS Analog Circuit Design”- Philip E. Allen, Douglas R. Holberg</w:t>
      </w:r>
    </w:p>
  </w:endnote>
  <w:endnote w:id="3">
    <w:p w:rsidR="00AC4FCB" w:rsidRPr="00FA70FA" w:rsidRDefault="00AC4FCB" w:rsidP="003A03AB">
      <w:pPr>
        <w:pStyle w:val="Textonotaalfinal"/>
      </w:pPr>
      <w:r w:rsidRPr="008047D9">
        <w:rPr>
          <w:rStyle w:val="Refdenotaalfinal"/>
          <w:sz w:val="16"/>
        </w:rPr>
        <w:endnoteRef/>
      </w:r>
      <w:r w:rsidRPr="008047D9">
        <w:rPr>
          <w:sz w:val="16"/>
        </w:rPr>
        <w:t xml:space="preserve"> Ref.: “CIRCUITOS ELECTRONICOS Discretos e integrados”- Donald Schilling</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Adobe Garamond Pro Bold">
    <w:altName w:val="Times New Roman"/>
    <w:panose1 w:val="00000000000000000000"/>
    <w:charset w:val="00"/>
    <w:family w:val="roman"/>
    <w:notTrueType/>
    <w:pitch w:val="variable"/>
    <w:sig w:usb0="800000AF" w:usb1="5000205B" w:usb2="00000000" w:usb3="00000000" w:csb0="0000009B"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21E0" w:rsidRDefault="004A21E0" w:rsidP="00F302F8">
      <w:pPr>
        <w:spacing w:after="0" w:line="240" w:lineRule="auto"/>
      </w:pPr>
      <w:r>
        <w:separator/>
      </w:r>
    </w:p>
  </w:footnote>
  <w:footnote w:type="continuationSeparator" w:id="0">
    <w:p w:rsidR="004A21E0" w:rsidRDefault="004A21E0" w:rsidP="00F302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D662C"/>
    <w:multiLevelType w:val="hybridMultilevel"/>
    <w:tmpl w:val="DA20A5C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06AE6814"/>
    <w:multiLevelType w:val="hybridMultilevel"/>
    <w:tmpl w:val="25EC548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nsid w:val="14CD3B36"/>
    <w:multiLevelType w:val="hybridMultilevel"/>
    <w:tmpl w:val="93A2262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
    <w:nsid w:val="2465718C"/>
    <w:multiLevelType w:val="hybridMultilevel"/>
    <w:tmpl w:val="A8A8DB2C"/>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
    <w:nsid w:val="24AE6B2A"/>
    <w:multiLevelType w:val="hybridMultilevel"/>
    <w:tmpl w:val="10F6058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272614B1"/>
    <w:multiLevelType w:val="hybridMultilevel"/>
    <w:tmpl w:val="E924B3A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nsid w:val="2A455BFE"/>
    <w:multiLevelType w:val="hybridMultilevel"/>
    <w:tmpl w:val="F6F6EBEA"/>
    <w:lvl w:ilvl="0" w:tplc="2C0A0001">
      <w:start w:val="1"/>
      <w:numFmt w:val="bullet"/>
      <w:lvlText w:val=""/>
      <w:lvlJc w:val="left"/>
      <w:pPr>
        <w:ind w:left="1069" w:hanging="360"/>
      </w:pPr>
      <w:rPr>
        <w:rFonts w:ascii="Symbol" w:hAnsi="Symbol"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7">
    <w:nsid w:val="465A3A2B"/>
    <w:multiLevelType w:val="hybridMultilevel"/>
    <w:tmpl w:val="A44CA5BE"/>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nsid w:val="5C21386A"/>
    <w:multiLevelType w:val="hybridMultilevel"/>
    <w:tmpl w:val="6B54E7AE"/>
    <w:lvl w:ilvl="0" w:tplc="67EA0A38">
      <w:numFmt w:val="bullet"/>
      <w:lvlText w:val="-"/>
      <w:lvlJc w:val="left"/>
      <w:pPr>
        <w:ind w:left="1065" w:hanging="360"/>
      </w:pPr>
      <w:rPr>
        <w:rFonts w:ascii="Calibri" w:eastAsiaTheme="minorHAnsi" w:hAnsi="Calibri" w:cs="Calibri" w:hint="default"/>
      </w:rPr>
    </w:lvl>
    <w:lvl w:ilvl="1" w:tplc="2C0A0003" w:tentative="1">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9">
    <w:nsid w:val="76E20A8B"/>
    <w:multiLevelType w:val="hybridMultilevel"/>
    <w:tmpl w:val="64C8E7B0"/>
    <w:lvl w:ilvl="0" w:tplc="2C0A0001">
      <w:start w:val="1"/>
      <w:numFmt w:val="bullet"/>
      <w:lvlText w:val=""/>
      <w:lvlJc w:val="left"/>
      <w:pPr>
        <w:ind w:left="1429" w:hanging="360"/>
      </w:pPr>
      <w:rPr>
        <w:rFonts w:ascii="Symbol" w:hAnsi="Symbol" w:hint="default"/>
      </w:r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num w:numId="1">
    <w:abstractNumId w:val="9"/>
  </w:num>
  <w:num w:numId="2">
    <w:abstractNumId w:val="7"/>
  </w:num>
  <w:num w:numId="3">
    <w:abstractNumId w:val="8"/>
  </w:num>
  <w:num w:numId="4">
    <w:abstractNumId w:val="6"/>
  </w:num>
  <w:num w:numId="5">
    <w:abstractNumId w:val="3"/>
  </w:num>
  <w:num w:numId="6">
    <w:abstractNumId w:val="4"/>
  </w:num>
  <w:num w:numId="7">
    <w:abstractNumId w:val="2"/>
  </w:num>
  <w:num w:numId="8">
    <w:abstractNumId w:val="1"/>
  </w:num>
  <w:num w:numId="9">
    <w:abstractNumId w:val="0"/>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drawingGridHorizontalSpacing w:val="110"/>
  <w:displayHorizontalDrawingGridEvery w:val="2"/>
  <w:characterSpacingControl w:val="doNotCompress"/>
  <w:footnotePr>
    <w:footnote w:id="-1"/>
    <w:footnote w:id="0"/>
  </w:footnotePr>
  <w:endnotePr>
    <w:numFmt w:val="decimal"/>
    <w:endnote w:id="-1"/>
    <w:endnote w:id="0"/>
  </w:endnotePr>
  <w:compat/>
  <w:rsids>
    <w:rsidRoot w:val="00F302F8"/>
    <w:rsid w:val="00001077"/>
    <w:rsid w:val="000061A0"/>
    <w:rsid w:val="0001034A"/>
    <w:rsid w:val="000164E5"/>
    <w:rsid w:val="00033477"/>
    <w:rsid w:val="000379F5"/>
    <w:rsid w:val="000517AD"/>
    <w:rsid w:val="0006576F"/>
    <w:rsid w:val="0007651E"/>
    <w:rsid w:val="00096EDE"/>
    <w:rsid w:val="000B3E93"/>
    <w:rsid w:val="000D12D8"/>
    <w:rsid w:val="000D63E1"/>
    <w:rsid w:val="0010353A"/>
    <w:rsid w:val="00131FFE"/>
    <w:rsid w:val="00135215"/>
    <w:rsid w:val="00163B5D"/>
    <w:rsid w:val="001672BB"/>
    <w:rsid w:val="001853D5"/>
    <w:rsid w:val="00196184"/>
    <w:rsid w:val="00196C82"/>
    <w:rsid w:val="001A25B4"/>
    <w:rsid w:val="001C6B8C"/>
    <w:rsid w:val="001D4173"/>
    <w:rsid w:val="001E2879"/>
    <w:rsid w:val="00225159"/>
    <w:rsid w:val="00235572"/>
    <w:rsid w:val="00245A33"/>
    <w:rsid w:val="00260341"/>
    <w:rsid w:val="002C4427"/>
    <w:rsid w:val="002C664E"/>
    <w:rsid w:val="002D104F"/>
    <w:rsid w:val="002D53CD"/>
    <w:rsid w:val="002D5649"/>
    <w:rsid w:val="003064C1"/>
    <w:rsid w:val="003067E0"/>
    <w:rsid w:val="0031545D"/>
    <w:rsid w:val="0032585D"/>
    <w:rsid w:val="00334B73"/>
    <w:rsid w:val="00384902"/>
    <w:rsid w:val="00385C7A"/>
    <w:rsid w:val="00394FCC"/>
    <w:rsid w:val="003B5AD7"/>
    <w:rsid w:val="00405E39"/>
    <w:rsid w:val="00471902"/>
    <w:rsid w:val="00475B8E"/>
    <w:rsid w:val="00483926"/>
    <w:rsid w:val="004A1C6C"/>
    <w:rsid w:val="004A21E0"/>
    <w:rsid w:val="004D5352"/>
    <w:rsid w:val="00536948"/>
    <w:rsid w:val="00544EF9"/>
    <w:rsid w:val="00545093"/>
    <w:rsid w:val="0054741A"/>
    <w:rsid w:val="005B2EEA"/>
    <w:rsid w:val="005E0462"/>
    <w:rsid w:val="005F513C"/>
    <w:rsid w:val="006208DE"/>
    <w:rsid w:val="0062623B"/>
    <w:rsid w:val="0065332C"/>
    <w:rsid w:val="00666B9B"/>
    <w:rsid w:val="00676042"/>
    <w:rsid w:val="006840E6"/>
    <w:rsid w:val="00686625"/>
    <w:rsid w:val="006A1B63"/>
    <w:rsid w:val="006B0A6B"/>
    <w:rsid w:val="006B1E00"/>
    <w:rsid w:val="006B3DAB"/>
    <w:rsid w:val="006B611D"/>
    <w:rsid w:val="006F36DA"/>
    <w:rsid w:val="00704A66"/>
    <w:rsid w:val="00741B54"/>
    <w:rsid w:val="007457C4"/>
    <w:rsid w:val="00781482"/>
    <w:rsid w:val="007931E6"/>
    <w:rsid w:val="007A0851"/>
    <w:rsid w:val="007D7A79"/>
    <w:rsid w:val="007E53A4"/>
    <w:rsid w:val="00820E94"/>
    <w:rsid w:val="00830FCD"/>
    <w:rsid w:val="00835297"/>
    <w:rsid w:val="008407F9"/>
    <w:rsid w:val="00881615"/>
    <w:rsid w:val="0088228F"/>
    <w:rsid w:val="008A055B"/>
    <w:rsid w:val="008C6011"/>
    <w:rsid w:val="008D175C"/>
    <w:rsid w:val="008E24CD"/>
    <w:rsid w:val="00933B61"/>
    <w:rsid w:val="00951D2B"/>
    <w:rsid w:val="00975BB9"/>
    <w:rsid w:val="009D608E"/>
    <w:rsid w:val="009E0BC2"/>
    <w:rsid w:val="00A209F2"/>
    <w:rsid w:val="00A276C9"/>
    <w:rsid w:val="00A327E6"/>
    <w:rsid w:val="00A537B3"/>
    <w:rsid w:val="00A655C9"/>
    <w:rsid w:val="00A67305"/>
    <w:rsid w:val="00A67DE7"/>
    <w:rsid w:val="00AA00A8"/>
    <w:rsid w:val="00AA5A4C"/>
    <w:rsid w:val="00AC2BB5"/>
    <w:rsid w:val="00AC4FCB"/>
    <w:rsid w:val="00AE4956"/>
    <w:rsid w:val="00B0043A"/>
    <w:rsid w:val="00B00962"/>
    <w:rsid w:val="00B1499D"/>
    <w:rsid w:val="00B271A3"/>
    <w:rsid w:val="00B27C2E"/>
    <w:rsid w:val="00B7627F"/>
    <w:rsid w:val="00B809B5"/>
    <w:rsid w:val="00B94184"/>
    <w:rsid w:val="00BC07D4"/>
    <w:rsid w:val="00BE6BB2"/>
    <w:rsid w:val="00C112B0"/>
    <w:rsid w:val="00C12C04"/>
    <w:rsid w:val="00C65627"/>
    <w:rsid w:val="00C822B4"/>
    <w:rsid w:val="00C866AC"/>
    <w:rsid w:val="00C90A79"/>
    <w:rsid w:val="00CA44A3"/>
    <w:rsid w:val="00CC29BC"/>
    <w:rsid w:val="00CC40DB"/>
    <w:rsid w:val="00CC76A5"/>
    <w:rsid w:val="00D040E3"/>
    <w:rsid w:val="00D14F10"/>
    <w:rsid w:val="00D16526"/>
    <w:rsid w:val="00D5108C"/>
    <w:rsid w:val="00D91BB6"/>
    <w:rsid w:val="00DE714D"/>
    <w:rsid w:val="00E2110A"/>
    <w:rsid w:val="00E2125D"/>
    <w:rsid w:val="00E22568"/>
    <w:rsid w:val="00E4539D"/>
    <w:rsid w:val="00E712B0"/>
    <w:rsid w:val="00E85D02"/>
    <w:rsid w:val="00E94075"/>
    <w:rsid w:val="00EA6C99"/>
    <w:rsid w:val="00EB0BF1"/>
    <w:rsid w:val="00EF46EA"/>
    <w:rsid w:val="00F05B83"/>
    <w:rsid w:val="00F22B34"/>
    <w:rsid w:val="00F255DA"/>
    <w:rsid w:val="00F302F8"/>
    <w:rsid w:val="00F52EB2"/>
    <w:rsid w:val="00F553AC"/>
    <w:rsid w:val="00F901B4"/>
    <w:rsid w:val="00FB6777"/>
    <w:rsid w:val="00FC133C"/>
    <w:rsid w:val="00FD4EFE"/>
    <w:rsid w:val="00FE774D"/>
    <w:rsid w:val="00FF4FD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2F8"/>
  </w:style>
  <w:style w:type="paragraph" w:styleId="Ttulo1">
    <w:name w:val="heading 1"/>
    <w:basedOn w:val="Normal"/>
    <w:next w:val="Normal"/>
    <w:link w:val="Ttulo1Car"/>
    <w:uiPriority w:val="9"/>
    <w:qFormat/>
    <w:rsid w:val="00F302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302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CC40DB"/>
    <w:pPr>
      <w:spacing w:before="100" w:beforeAutospacing="1" w:after="100" w:afterAutospacing="1" w:line="240" w:lineRule="auto"/>
      <w:outlineLvl w:val="2"/>
    </w:pPr>
    <w:rPr>
      <w:rFonts w:ascii="Times New Roman" w:eastAsia="Times New Roman" w:hAnsi="Times New Roman" w:cs="Times New Roman"/>
      <w:b/>
      <w:bCs/>
      <w:color w:val="4F81BD" w:themeColor="accent1"/>
      <w:sz w:val="24"/>
      <w:szCs w:val="27"/>
      <w:lang w:eastAsia="es-AR"/>
    </w:rPr>
  </w:style>
  <w:style w:type="paragraph" w:styleId="Ttulo4">
    <w:name w:val="heading 4"/>
    <w:basedOn w:val="Normal"/>
    <w:next w:val="Normal"/>
    <w:link w:val="Ttulo4Car"/>
    <w:uiPriority w:val="9"/>
    <w:unhideWhenUsed/>
    <w:qFormat/>
    <w:rsid w:val="00CC76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02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302F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C40DB"/>
    <w:rPr>
      <w:rFonts w:ascii="Times New Roman" w:eastAsia="Times New Roman" w:hAnsi="Times New Roman" w:cs="Times New Roman"/>
      <w:b/>
      <w:bCs/>
      <w:color w:val="4F81BD" w:themeColor="accent1"/>
      <w:sz w:val="24"/>
      <w:szCs w:val="27"/>
      <w:lang w:eastAsia="es-AR"/>
    </w:rPr>
  </w:style>
  <w:style w:type="character" w:customStyle="1" w:styleId="apple-style-span">
    <w:name w:val="apple-style-span"/>
    <w:basedOn w:val="Fuentedeprrafopredeter"/>
    <w:rsid w:val="00F302F8"/>
  </w:style>
  <w:style w:type="character" w:customStyle="1" w:styleId="apple-converted-space">
    <w:name w:val="apple-converted-space"/>
    <w:basedOn w:val="Fuentedeprrafopredeter"/>
    <w:rsid w:val="00F302F8"/>
  </w:style>
  <w:style w:type="character" w:styleId="Hipervnculo">
    <w:name w:val="Hyperlink"/>
    <w:basedOn w:val="Fuentedeprrafopredeter"/>
    <w:uiPriority w:val="99"/>
    <w:unhideWhenUsed/>
    <w:rsid w:val="00F302F8"/>
    <w:rPr>
      <w:color w:val="0000FF"/>
      <w:u w:val="single"/>
    </w:rPr>
  </w:style>
  <w:style w:type="paragraph" w:styleId="NormalWeb">
    <w:name w:val="Normal (Web)"/>
    <w:basedOn w:val="Normal"/>
    <w:uiPriority w:val="99"/>
    <w:unhideWhenUsed/>
    <w:rsid w:val="00F302F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F302F8"/>
    <w:pPr>
      <w:ind w:left="720"/>
      <w:contextualSpacing/>
    </w:pPr>
  </w:style>
  <w:style w:type="character" w:styleId="CitaHTML">
    <w:name w:val="HTML Cite"/>
    <w:basedOn w:val="Fuentedeprrafopredeter"/>
    <w:uiPriority w:val="99"/>
    <w:semiHidden/>
    <w:unhideWhenUsed/>
    <w:rsid w:val="00F302F8"/>
    <w:rPr>
      <w:i/>
      <w:iCs/>
    </w:rPr>
  </w:style>
  <w:style w:type="paragraph" w:styleId="Epgrafe">
    <w:name w:val="caption"/>
    <w:basedOn w:val="Normal"/>
    <w:next w:val="Normal"/>
    <w:uiPriority w:val="35"/>
    <w:unhideWhenUsed/>
    <w:qFormat/>
    <w:rsid w:val="00F302F8"/>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F302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02F8"/>
    <w:rPr>
      <w:sz w:val="20"/>
      <w:szCs w:val="20"/>
    </w:rPr>
  </w:style>
  <w:style w:type="character" w:styleId="Refdenotaalpie">
    <w:name w:val="footnote reference"/>
    <w:basedOn w:val="Fuentedeprrafopredeter"/>
    <w:uiPriority w:val="99"/>
    <w:semiHidden/>
    <w:unhideWhenUsed/>
    <w:rsid w:val="00F302F8"/>
    <w:rPr>
      <w:vertAlign w:val="superscript"/>
    </w:rPr>
  </w:style>
  <w:style w:type="paragraph" w:styleId="Subttulo">
    <w:name w:val="Subtitle"/>
    <w:basedOn w:val="Normal"/>
    <w:next w:val="Normal"/>
    <w:link w:val="SubttuloCar"/>
    <w:uiPriority w:val="11"/>
    <w:qFormat/>
    <w:rsid w:val="00F302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302F8"/>
    <w:rPr>
      <w:rFonts w:asciiTheme="majorHAnsi" w:eastAsiaTheme="majorEastAsia" w:hAnsiTheme="majorHAnsi" w:cstheme="majorBidi"/>
      <w:i/>
      <w:iCs/>
      <w:color w:val="4F81BD" w:themeColor="accent1"/>
      <w:spacing w:val="15"/>
      <w:sz w:val="24"/>
      <w:szCs w:val="24"/>
    </w:rPr>
  </w:style>
  <w:style w:type="paragraph" w:customStyle="1" w:styleId="ParrafoTESIS">
    <w:name w:val="Parrafo_TESIS"/>
    <w:basedOn w:val="Normal"/>
    <w:autoRedefine/>
    <w:qFormat/>
    <w:rsid w:val="002C4427"/>
    <w:pPr>
      <w:spacing w:before="120" w:after="120" w:line="360" w:lineRule="auto"/>
      <w:ind w:firstLine="709"/>
      <w:jc w:val="both"/>
    </w:pPr>
    <w:rPr>
      <w:rFonts w:cstheme="minorHAnsi"/>
    </w:rPr>
  </w:style>
  <w:style w:type="paragraph" w:customStyle="1" w:styleId="IntroCAPTESIS">
    <w:name w:val="IntroCAP_TESIS"/>
    <w:basedOn w:val="ParrafoTESIS"/>
    <w:qFormat/>
    <w:rsid w:val="00F302F8"/>
    <w:rPr>
      <w:i/>
    </w:rPr>
  </w:style>
  <w:style w:type="table" w:styleId="Tablaconcuadrcula">
    <w:name w:val="Table Grid"/>
    <w:basedOn w:val="Tablanormal"/>
    <w:uiPriority w:val="59"/>
    <w:rsid w:val="00F302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302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02F8"/>
    <w:rPr>
      <w:rFonts w:ascii="Tahoma" w:hAnsi="Tahoma" w:cs="Tahoma"/>
      <w:sz w:val="16"/>
      <w:szCs w:val="16"/>
    </w:rPr>
  </w:style>
  <w:style w:type="paragraph" w:styleId="Revisin">
    <w:name w:val="Revision"/>
    <w:hidden/>
    <w:uiPriority w:val="99"/>
    <w:semiHidden/>
    <w:rsid w:val="00F52EB2"/>
    <w:pPr>
      <w:spacing w:after="0" w:line="240" w:lineRule="auto"/>
    </w:pPr>
  </w:style>
  <w:style w:type="paragraph" w:styleId="Textonotaalfinal">
    <w:name w:val="endnote text"/>
    <w:basedOn w:val="Normal"/>
    <w:link w:val="TextonotaalfinalCar"/>
    <w:uiPriority w:val="99"/>
    <w:semiHidden/>
    <w:unhideWhenUsed/>
    <w:rsid w:val="00F05B8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05B83"/>
    <w:rPr>
      <w:sz w:val="20"/>
      <w:szCs w:val="20"/>
    </w:rPr>
  </w:style>
  <w:style w:type="character" w:styleId="Refdenotaalfinal">
    <w:name w:val="endnote reference"/>
    <w:basedOn w:val="Fuentedeprrafopredeter"/>
    <w:uiPriority w:val="99"/>
    <w:semiHidden/>
    <w:unhideWhenUsed/>
    <w:rsid w:val="00F05B83"/>
    <w:rPr>
      <w:vertAlign w:val="superscript"/>
    </w:rPr>
  </w:style>
  <w:style w:type="table" w:customStyle="1" w:styleId="Listaclara-nfasis11">
    <w:name w:val="Lista clara - Énfasis 11"/>
    <w:basedOn w:val="Tablanormal"/>
    <w:uiPriority w:val="61"/>
    <w:rsid w:val="00CC29B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4Car">
    <w:name w:val="Título 4 Car"/>
    <w:basedOn w:val="Fuentedeprrafopredeter"/>
    <w:link w:val="Ttulo4"/>
    <w:uiPriority w:val="9"/>
    <w:rsid w:val="00CC76A5"/>
    <w:rPr>
      <w:rFonts w:asciiTheme="majorHAnsi" w:eastAsiaTheme="majorEastAsia" w:hAnsiTheme="majorHAnsi" w:cstheme="majorBidi"/>
      <w:b/>
      <w:bCs/>
      <w:i/>
      <w:iCs/>
      <w:color w:val="4F81BD" w:themeColor="accent1"/>
    </w:rPr>
  </w:style>
  <w:style w:type="character" w:styleId="nfasis">
    <w:name w:val="Emphasis"/>
    <w:basedOn w:val="Fuentedeprrafopredeter"/>
    <w:uiPriority w:val="20"/>
    <w:qFormat/>
    <w:rsid w:val="00CC76A5"/>
    <w:rPr>
      <w:i/>
      <w:iCs/>
    </w:rPr>
  </w:style>
  <w:style w:type="paragraph" w:styleId="Bibliografa">
    <w:name w:val="Bibliography"/>
    <w:basedOn w:val="Normal"/>
    <w:next w:val="Normal"/>
    <w:uiPriority w:val="37"/>
    <w:unhideWhenUsed/>
    <w:rsid w:val="00F553AC"/>
  </w:style>
  <w:style w:type="character" w:styleId="Refdecomentario">
    <w:name w:val="annotation reference"/>
    <w:basedOn w:val="Fuentedeprrafopredeter"/>
    <w:uiPriority w:val="99"/>
    <w:semiHidden/>
    <w:unhideWhenUsed/>
    <w:rsid w:val="00C866AC"/>
    <w:rPr>
      <w:sz w:val="16"/>
      <w:szCs w:val="16"/>
    </w:rPr>
  </w:style>
  <w:style w:type="paragraph" w:styleId="Textocomentario">
    <w:name w:val="annotation text"/>
    <w:basedOn w:val="Normal"/>
    <w:link w:val="TextocomentarioCar"/>
    <w:uiPriority w:val="99"/>
    <w:semiHidden/>
    <w:unhideWhenUsed/>
    <w:rsid w:val="00C866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66AC"/>
    <w:rPr>
      <w:sz w:val="20"/>
      <w:szCs w:val="20"/>
    </w:rPr>
  </w:style>
  <w:style w:type="paragraph" w:styleId="Asuntodelcomentario">
    <w:name w:val="annotation subject"/>
    <w:basedOn w:val="Textocomentario"/>
    <w:next w:val="Textocomentario"/>
    <w:link w:val="AsuntodelcomentarioCar"/>
    <w:uiPriority w:val="99"/>
    <w:semiHidden/>
    <w:unhideWhenUsed/>
    <w:rsid w:val="00C866AC"/>
    <w:rPr>
      <w:b/>
      <w:bCs/>
    </w:rPr>
  </w:style>
  <w:style w:type="character" w:customStyle="1" w:styleId="AsuntodelcomentarioCar">
    <w:name w:val="Asunto del comentario Car"/>
    <w:basedOn w:val="TextocomentarioCar"/>
    <w:link w:val="Asuntodelcomentario"/>
    <w:uiPriority w:val="99"/>
    <w:semiHidden/>
    <w:rsid w:val="00C866AC"/>
    <w:rPr>
      <w:b/>
      <w:bCs/>
    </w:rPr>
  </w:style>
  <w:style w:type="paragraph" w:styleId="TtulodeTDC">
    <w:name w:val="TOC Heading"/>
    <w:basedOn w:val="Ttulo1"/>
    <w:next w:val="Normal"/>
    <w:uiPriority w:val="39"/>
    <w:semiHidden/>
    <w:unhideWhenUsed/>
    <w:qFormat/>
    <w:rsid w:val="00AC4FCB"/>
    <w:pPr>
      <w:outlineLvl w:val="9"/>
    </w:pPr>
    <w:rPr>
      <w:lang w:val="es-ES"/>
    </w:rPr>
  </w:style>
  <w:style w:type="character" w:styleId="Textoennegrita">
    <w:name w:val="Strong"/>
    <w:basedOn w:val="Fuentedeprrafopredeter"/>
    <w:uiPriority w:val="22"/>
    <w:qFormat/>
    <w:rsid w:val="00AC4FCB"/>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Colors" Target="diagrams/colors2.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diagramLayout" Target="diagrams/layout4.xml"/><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diagramQuickStyle" Target="diagrams/quickStyle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image" Target="media/image11.emf"/><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diagramLayout" Target="diagrams/layout3.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10" Type="http://schemas.openxmlformats.org/officeDocument/2006/relationships/image" Target="media/image3.emf"/><Relationship Id="rId19" Type="http://schemas.microsoft.com/office/2007/relationships/diagramDrawing" Target="diagrams/drawing1.xml"/><Relationship Id="rId31" Type="http://schemas.openxmlformats.org/officeDocument/2006/relationships/diagramColors" Target="diagrams/colors3.xm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0.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image" Target="media/image16.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A3BE77-B47D-4CC3-A02C-EF397079DAB2}" type="doc">
      <dgm:prSet loTypeId="urn:microsoft.com/office/officeart/2005/8/layout/hierarchy4" loCatId="hierarchy" qsTypeId="urn:microsoft.com/office/officeart/2005/8/quickstyle/simple1" qsCatId="simple" csTypeId="urn:microsoft.com/office/officeart/2005/8/colors/accent1_2" csCatId="accent1" phldr="1"/>
      <dgm:spPr/>
      <dgm:t>
        <a:bodyPr/>
        <a:lstStyle/>
        <a:p>
          <a:endParaRPr lang="es-AR"/>
        </a:p>
      </dgm:t>
    </dgm:pt>
    <dgm:pt modelId="{5F3697D6-9B8A-4FC8-875A-409E783CBA6C}">
      <dgm:prSet phldrT="[Texto]"/>
      <dgm:spPr/>
      <dgm:t>
        <a:bodyPr/>
        <a:lstStyle/>
        <a:p>
          <a:r>
            <a:rPr lang="es-AR"/>
            <a:t>CONVERSOR FLASH</a:t>
          </a:r>
        </a:p>
      </dgm:t>
    </dgm:pt>
    <dgm:pt modelId="{56AD3C1C-E682-4322-A76F-D20B4983137C}" type="parTrans" cxnId="{A7DF1C9A-32FD-48AD-ADE7-24611E04D2F6}">
      <dgm:prSet/>
      <dgm:spPr/>
      <dgm:t>
        <a:bodyPr/>
        <a:lstStyle/>
        <a:p>
          <a:endParaRPr lang="es-AR"/>
        </a:p>
      </dgm:t>
    </dgm:pt>
    <dgm:pt modelId="{A68F4CB2-851B-4EDC-BA10-B7B65E8EA7E1}" type="sibTrans" cxnId="{A7DF1C9A-32FD-48AD-ADE7-24611E04D2F6}">
      <dgm:prSet/>
      <dgm:spPr/>
      <dgm:t>
        <a:bodyPr/>
        <a:lstStyle/>
        <a:p>
          <a:endParaRPr lang="es-AR"/>
        </a:p>
      </dgm:t>
    </dgm:pt>
    <dgm:pt modelId="{82FC5F13-03F2-42B0-8FC5-91B3F7D20E41}">
      <dgm:prSet phldrT="[Texto]"/>
      <dgm:spPr/>
      <dgm:t>
        <a:bodyPr/>
        <a:lstStyle/>
        <a:p>
          <a:r>
            <a:rPr lang="es-AR"/>
            <a:t>Analógico</a:t>
          </a:r>
        </a:p>
      </dgm:t>
    </dgm:pt>
    <dgm:pt modelId="{146CDF79-601C-4526-9AB5-99805A249A0C}" type="parTrans" cxnId="{AF8C70B8-50F8-4A74-AB33-FB89D5FDDC50}">
      <dgm:prSet/>
      <dgm:spPr/>
      <dgm:t>
        <a:bodyPr/>
        <a:lstStyle/>
        <a:p>
          <a:endParaRPr lang="es-AR"/>
        </a:p>
      </dgm:t>
    </dgm:pt>
    <dgm:pt modelId="{23DF92AB-531C-4065-8F05-6999A4C59A7F}" type="sibTrans" cxnId="{AF8C70B8-50F8-4A74-AB33-FB89D5FDDC50}">
      <dgm:prSet/>
      <dgm:spPr/>
      <dgm:t>
        <a:bodyPr/>
        <a:lstStyle/>
        <a:p>
          <a:endParaRPr lang="es-AR"/>
        </a:p>
      </dgm:t>
    </dgm:pt>
    <dgm:pt modelId="{A3627B82-19BB-42F6-8010-B9F581F2E628}">
      <dgm:prSet phldrT="[Texto]"/>
      <dgm:spPr/>
      <dgm:t>
        <a:bodyPr/>
        <a:lstStyle/>
        <a:p>
          <a:r>
            <a:rPr lang="es-AR"/>
            <a:t>DIVISOR RESISTIVO</a:t>
          </a:r>
        </a:p>
      </dgm:t>
    </dgm:pt>
    <dgm:pt modelId="{6BC113EB-BC3A-4EB3-ADBC-7E369FCC53F3}" type="parTrans" cxnId="{A77FC58E-13B0-43FB-8C89-D408DBACA7B5}">
      <dgm:prSet/>
      <dgm:spPr/>
      <dgm:t>
        <a:bodyPr/>
        <a:lstStyle/>
        <a:p>
          <a:endParaRPr lang="es-AR"/>
        </a:p>
      </dgm:t>
    </dgm:pt>
    <dgm:pt modelId="{28E37A47-A472-4DEA-84AC-7B26C7DF563F}" type="sibTrans" cxnId="{A77FC58E-13B0-43FB-8C89-D408DBACA7B5}">
      <dgm:prSet/>
      <dgm:spPr/>
      <dgm:t>
        <a:bodyPr/>
        <a:lstStyle/>
        <a:p>
          <a:endParaRPr lang="es-AR"/>
        </a:p>
      </dgm:t>
    </dgm:pt>
    <dgm:pt modelId="{9E0F7C39-3632-4F87-8948-7D21FB272B5B}">
      <dgm:prSet phldrT="[Texto]"/>
      <dgm:spPr/>
      <dgm:t>
        <a:bodyPr/>
        <a:lstStyle/>
        <a:p>
          <a:r>
            <a:rPr lang="es-AR"/>
            <a:t>COMPARADOR</a:t>
          </a:r>
        </a:p>
      </dgm:t>
    </dgm:pt>
    <dgm:pt modelId="{7BB9BDF5-10C3-4AFB-A740-1ACAB2426CBA}" type="parTrans" cxnId="{E64A3A09-B46E-422A-882D-3B56BBD30B31}">
      <dgm:prSet/>
      <dgm:spPr/>
      <dgm:t>
        <a:bodyPr/>
        <a:lstStyle/>
        <a:p>
          <a:endParaRPr lang="es-AR"/>
        </a:p>
      </dgm:t>
    </dgm:pt>
    <dgm:pt modelId="{32CD18BE-E371-4E70-849B-F7BB07C33DB4}" type="sibTrans" cxnId="{E64A3A09-B46E-422A-882D-3B56BBD30B31}">
      <dgm:prSet/>
      <dgm:spPr/>
      <dgm:t>
        <a:bodyPr/>
        <a:lstStyle/>
        <a:p>
          <a:endParaRPr lang="es-AR"/>
        </a:p>
      </dgm:t>
    </dgm:pt>
    <dgm:pt modelId="{1AE98F1E-E277-4E7C-B37B-2DD87C237351}">
      <dgm:prSet phldrT="[Texto]"/>
      <dgm:spPr/>
      <dgm:t>
        <a:bodyPr/>
        <a:lstStyle/>
        <a:p>
          <a:r>
            <a:rPr lang="es-AR"/>
            <a:t>DECODIFICADOR</a:t>
          </a:r>
        </a:p>
      </dgm:t>
    </dgm:pt>
    <dgm:pt modelId="{6087DDA3-3EE4-4A37-88E0-1B1A5DB6F32A}" type="parTrans" cxnId="{BF59E181-D274-452E-BFE9-AE043F25446A}">
      <dgm:prSet/>
      <dgm:spPr/>
      <dgm:t>
        <a:bodyPr/>
        <a:lstStyle/>
        <a:p>
          <a:endParaRPr lang="es-AR"/>
        </a:p>
      </dgm:t>
    </dgm:pt>
    <dgm:pt modelId="{025C4CC2-BEED-4875-A644-3F5157E4C048}" type="sibTrans" cxnId="{BF59E181-D274-452E-BFE9-AE043F25446A}">
      <dgm:prSet/>
      <dgm:spPr/>
      <dgm:t>
        <a:bodyPr/>
        <a:lstStyle/>
        <a:p>
          <a:endParaRPr lang="es-AR"/>
        </a:p>
      </dgm:t>
    </dgm:pt>
    <dgm:pt modelId="{C24630A2-AF00-4F3D-8CCD-40A466DD1268}">
      <dgm:prSet phldrT="[Texto]"/>
      <dgm:spPr/>
      <dgm:t>
        <a:bodyPr/>
        <a:lstStyle/>
        <a:p>
          <a:r>
            <a:rPr lang="es-AR"/>
            <a:t>Digital</a:t>
          </a:r>
        </a:p>
      </dgm:t>
    </dgm:pt>
    <dgm:pt modelId="{86201C60-7D9F-43FA-921C-29BB372F5F25}" type="parTrans" cxnId="{3F88198C-B42A-4444-98BD-04A7185995A8}">
      <dgm:prSet/>
      <dgm:spPr/>
      <dgm:t>
        <a:bodyPr/>
        <a:lstStyle/>
        <a:p>
          <a:endParaRPr lang="es-AR"/>
        </a:p>
      </dgm:t>
    </dgm:pt>
    <dgm:pt modelId="{F28E80F6-41CD-44CF-8B7E-BBF3DAA33845}" type="sibTrans" cxnId="{3F88198C-B42A-4444-98BD-04A7185995A8}">
      <dgm:prSet/>
      <dgm:spPr/>
      <dgm:t>
        <a:bodyPr/>
        <a:lstStyle/>
        <a:p>
          <a:endParaRPr lang="es-AR"/>
        </a:p>
      </dgm:t>
    </dgm:pt>
    <dgm:pt modelId="{82005FC4-939D-4ACF-8C2F-E6C9501F71E5}">
      <dgm:prSet phldrT="[Texto]"/>
      <dgm:spPr/>
      <dgm:t>
        <a:bodyPr/>
        <a:lstStyle/>
        <a:p>
          <a:r>
            <a:rPr lang="es-AR"/>
            <a:t>NEGADOR</a:t>
          </a:r>
        </a:p>
      </dgm:t>
    </dgm:pt>
    <dgm:pt modelId="{51768AA2-CC1B-4302-9F5A-E6B43554C8D3}" type="parTrans" cxnId="{CCA872C4-41F8-48D5-A3CB-DEB651A4CDBB}">
      <dgm:prSet/>
      <dgm:spPr/>
      <dgm:t>
        <a:bodyPr/>
        <a:lstStyle/>
        <a:p>
          <a:endParaRPr lang="es-AR"/>
        </a:p>
      </dgm:t>
    </dgm:pt>
    <dgm:pt modelId="{F063F031-5075-4751-AAF0-C7653BB77026}" type="sibTrans" cxnId="{CCA872C4-41F8-48D5-A3CB-DEB651A4CDBB}">
      <dgm:prSet/>
      <dgm:spPr/>
      <dgm:t>
        <a:bodyPr/>
        <a:lstStyle/>
        <a:p>
          <a:endParaRPr lang="es-AR"/>
        </a:p>
      </dgm:t>
    </dgm:pt>
    <dgm:pt modelId="{44146284-82FF-4A1A-87EA-B2772AC5BFBB}">
      <dgm:prSet phldrT="[Texto]"/>
      <dgm:spPr/>
      <dgm:t>
        <a:bodyPr/>
        <a:lstStyle/>
        <a:p>
          <a:r>
            <a:rPr lang="es-AR"/>
            <a:t>COMPUERTAS NAND</a:t>
          </a:r>
        </a:p>
      </dgm:t>
    </dgm:pt>
    <dgm:pt modelId="{B534DC48-4245-4607-8BFE-FE7C9ECDC6CA}" type="parTrans" cxnId="{21254E01-C081-4565-9110-213FE39E1C5E}">
      <dgm:prSet/>
      <dgm:spPr/>
      <dgm:t>
        <a:bodyPr/>
        <a:lstStyle/>
        <a:p>
          <a:endParaRPr lang="es-AR"/>
        </a:p>
      </dgm:t>
    </dgm:pt>
    <dgm:pt modelId="{0D28F18E-3F51-44B7-90A9-E24095DE5D32}" type="sibTrans" cxnId="{21254E01-C081-4565-9110-213FE39E1C5E}">
      <dgm:prSet/>
      <dgm:spPr/>
      <dgm:t>
        <a:bodyPr/>
        <a:lstStyle/>
        <a:p>
          <a:endParaRPr lang="es-AR"/>
        </a:p>
      </dgm:t>
    </dgm:pt>
    <dgm:pt modelId="{B1C17C2D-F409-45D5-A195-A101C16AA97D}" type="pres">
      <dgm:prSet presAssocID="{90A3BE77-B47D-4CC3-A02C-EF397079DAB2}" presName="Name0" presStyleCnt="0">
        <dgm:presLayoutVars>
          <dgm:chPref val="1"/>
          <dgm:dir/>
          <dgm:animOne val="branch"/>
          <dgm:animLvl val="lvl"/>
          <dgm:resizeHandles/>
        </dgm:presLayoutVars>
      </dgm:prSet>
      <dgm:spPr/>
      <dgm:t>
        <a:bodyPr/>
        <a:lstStyle/>
        <a:p>
          <a:endParaRPr lang="es-AR"/>
        </a:p>
      </dgm:t>
    </dgm:pt>
    <dgm:pt modelId="{B90077B6-671E-4BA7-B629-993157133A77}" type="pres">
      <dgm:prSet presAssocID="{5F3697D6-9B8A-4FC8-875A-409E783CBA6C}" presName="vertOne" presStyleCnt="0"/>
      <dgm:spPr/>
    </dgm:pt>
    <dgm:pt modelId="{AA8642CE-076F-4E21-9169-AEFC3A7958DB}" type="pres">
      <dgm:prSet presAssocID="{5F3697D6-9B8A-4FC8-875A-409E783CBA6C}" presName="txOne" presStyleLbl="node0" presStyleIdx="0" presStyleCnt="1">
        <dgm:presLayoutVars>
          <dgm:chPref val="3"/>
        </dgm:presLayoutVars>
      </dgm:prSet>
      <dgm:spPr/>
      <dgm:t>
        <a:bodyPr/>
        <a:lstStyle/>
        <a:p>
          <a:endParaRPr lang="es-AR"/>
        </a:p>
      </dgm:t>
    </dgm:pt>
    <dgm:pt modelId="{3CA64998-79C4-4E5F-87C9-ABEFFE89D737}" type="pres">
      <dgm:prSet presAssocID="{5F3697D6-9B8A-4FC8-875A-409E783CBA6C}" presName="parTransOne" presStyleCnt="0"/>
      <dgm:spPr/>
    </dgm:pt>
    <dgm:pt modelId="{2245D860-2C6B-412B-8027-65E0B19ACFF2}" type="pres">
      <dgm:prSet presAssocID="{5F3697D6-9B8A-4FC8-875A-409E783CBA6C}" presName="horzOne" presStyleCnt="0"/>
      <dgm:spPr/>
    </dgm:pt>
    <dgm:pt modelId="{3E20A8BE-133A-47CF-83B9-9AE978690938}" type="pres">
      <dgm:prSet presAssocID="{82FC5F13-03F2-42B0-8FC5-91B3F7D20E41}" presName="vertTwo" presStyleCnt="0"/>
      <dgm:spPr/>
    </dgm:pt>
    <dgm:pt modelId="{A3022894-5017-4BFC-92F1-859D2AB0615B}" type="pres">
      <dgm:prSet presAssocID="{82FC5F13-03F2-42B0-8FC5-91B3F7D20E41}" presName="txTwo" presStyleLbl="node2" presStyleIdx="0" presStyleCnt="2">
        <dgm:presLayoutVars>
          <dgm:chPref val="3"/>
        </dgm:presLayoutVars>
      </dgm:prSet>
      <dgm:spPr/>
      <dgm:t>
        <a:bodyPr/>
        <a:lstStyle/>
        <a:p>
          <a:endParaRPr lang="es-AR"/>
        </a:p>
      </dgm:t>
    </dgm:pt>
    <dgm:pt modelId="{581D0262-5E39-4AA9-A6DF-9F899A9331C4}" type="pres">
      <dgm:prSet presAssocID="{82FC5F13-03F2-42B0-8FC5-91B3F7D20E41}" presName="parTransTwo" presStyleCnt="0"/>
      <dgm:spPr/>
    </dgm:pt>
    <dgm:pt modelId="{A254B675-E461-46D8-BA04-AF1DCBCD2D3B}" type="pres">
      <dgm:prSet presAssocID="{82FC5F13-03F2-42B0-8FC5-91B3F7D20E41}" presName="horzTwo" presStyleCnt="0"/>
      <dgm:spPr/>
    </dgm:pt>
    <dgm:pt modelId="{F3679C97-9067-45F6-AD17-236624C3537B}" type="pres">
      <dgm:prSet presAssocID="{A3627B82-19BB-42F6-8010-B9F581F2E628}" presName="vertThree" presStyleCnt="0"/>
      <dgm:spPr/>
    </dgm:pt>
    <dgm:pt modelId="{6703DBD5-002B-494B-811C-88092CA77056}" type="pres">
      <dgm:prSet presAssocID="{A3627B82-19BB-42F6-8010-B9F581F2E628}" presName="txThree" presStyleLbl="node3" presStyleIdx="0" presStyleCnt="3">
        <dgm:presLayoutVars>
          <dgm:chPref val="3"/>
        </dgm:presLayoutVars>
      </dgm:prSet>
      <dgm:spPr/>
      <dgm:t>
        <a:bodyPr/>
        <a:lstStyle/>
        <a:p>
          <a:endParaRPr lang="es-AR"/>
        </a:p>
      </dgm:t>
    </dgm:pt>
    <dgm:pt modelId="{FFF89B01-47F0-4D56-A7D2-CD7A8A4D67B1}" type="pres">
      <dgm:prSet presAssocID="{A3627B82-19BB-42F6-8010-B9F581F2E628}" presName="horzThree" presStyleCnt="0"/>
      <dgm:spPr/>
    </dgm:pt>
    <dgm:pt modelId="{FE111132-9CB7-41E1-AC97-F0BC3F03343E}" type="pres">
      <dgm:prSet presAssocID="{28E37A47-A472-4DEA-84AC-7B26C7DF563F}" presName="sibSpaceThree" presStyleCnt="0"/>
      <dgm:spPr/>
    </dgm:pt>
    <dgm:pt modelId="{459FF5F4-581C-4FB8-9AD1-28681B866663}" type="pres">
      <dgm:prSet presAssocID="{9E0F7C39-3632-4F87-8948-7D21FB272B5B}" presName="vertThree" presStyleCnt="0"/>
      <dgm:spPr/>
    </dgm:pt>
    <dgm:pt modelId="{71FB9E89-85B4-426C-9E92-70DA55968B4C}" type="pres">
      <dgm:prSet presAssocID="{9E0F7C39-3632-4F87-8948-7D21FB272B5B}" presName="txThree" presStyleLbl="node3" presStyleIdx="1" presStyleCnt="3">
        <dgm:presLayoutVars>
          <dgm:chPref val="3"/>
        </dgm:presLayoutVars>
      </dgm:prSet>
      <dgm:spPr/>
      <dgm:t>
        <a:bodyPr/>
        <a:lstStyle/>
        <a:p>
          <a:endParaRPr lang="es-AR"/>
        </a:p>
      </dgm:t>
    </dgm:pt>
    <dgm:pt modelId="{F61DD6E7-4540-4D7A-90E4-734F60D8248B}" type="pres">
      <dgm:prSet presAssocID="{9E0F7C39-3632-4F87-8948-7D21FB272B5B}" presName="horzThree" presStyleCnt="0"/>
      <dgm:spPr/>
    </dgm:pt>
    <dgm:pt modelId="{848AA526-DCBE-4DF9-A9A0-34DD96DA419D}" type="pres">
      <dgm:prSet presAssocID="{23DF92AB-531C-4065-8F05-6999A4C59A7F}" presName="sibSpaceTwo" presStyleCnt="0"/>
      <dgm:spPr/>
    </dgm:pt>
    <dgm:pt modelId="{5E976C85-575B-42E3-B0E3-9197FD7E04F1}" type="pres">
      <dgm:prSet presAssocID="{C24630A2-AF00-4F3D-8CCD-40A466DD1268}" presName="vertTwo" presStyleCnt="0"/>
      <dgm:spPr/>
    </dgm:pt>
    <dgm:pt modelId="{27A8E2C9-ACC0-4C1C-A1B4-FC5118E4D3CD}" type="pres">
      <dgm:prSet presAssocID="{C24630A2-AF00-4F3D-8CCD-40A466DD1268}" presName="txTwo" presStyleLbl="node2" presStyleIdx="1" presStyleCnt="2">
        <dgm:presLayoutVars>
          <dgm:chPref val="3"/>
        </dgm:presLayoutVars>
      </dgm:prSet>
      <dgm:spPr/>
      <dgm:t>
        <a:bodyPr/>
        <a:lstStyle/>
        <a:p>
          <a:endParaRPr lang="es-AR"/>
        </a:p>
      </dgm:t>
    </dgm:pt>
    <dgm:pt modelId="{BD134D29-993D-49E0-9AD3-8DF9ACCD229B}" type="pres">
      <dgm:prSet presAssocID="{C24630A2-AF00-4F3D-8CCD-40A466DD1268}" presName="parTransTwo" presStyleCnt="0"/>
      <dgm:spPr/>
    </dgm:pt>
    <dgm:pt modelId="{950D962F-98D4-4E2E-9EDC-622CA1859D92}" type="pres">
      <dgm:prSet presAssocID="{C24630A2-AF00-4F3D-8CCD-40A466DD1268}" presName="horzTwo" presStyleCnt="0"/>
      <dgm:spPr/>
    </dgm:pt>
    <dgm:pt modelId="{4E773025-6A56-4DAE-B09F-CD5EB51D8CF5}" type="pres">
      <dgm:prSet presAssocID="{1AE98F1E-E277-4E7C-B37B-2DD87C237351}" presName="vertThree" presStyleCnt="0"/>
      <dgm:spPr/>
    </dgm:pt>
    <dgm:pt modelId="{2D0BEDD2-93E1-444F-B15D-F8AE6E00B684}" type="pres">
      <dgm:prSet presAssocID="{1AE98F1E-E277-4E7C-B37B-2DD87C237351}" presName="txThree" presStyleLbl="node3" presStyleIdx="2" presStyleCnt="3">
        <dgm:presLayoutVars>
          <dgm:chPref val="3"/>
        </dgm:presLayoutVars>
      </dgm:prSet>
      <dgm:spPr/>
      <dgm:t>
        <a:bodyPr/>
        <a:lstStyle/>
        <a:p>
          <a:endParaRPr lang="es-AR"/>
        </a:p>
      </dgm:t>
    </dgm:pt>
    <dgm:pt modelId="{99975524-9E7C-4C02-BE74-E33345EC6DF1}" type="pres">
      <dgm:prSet presAssocID="{1AE98F1E-E277-4E7C-B37B-2DD87C237351}" presName="parTransThree" presStyleCnt="0"/>
      <dgm:spPr/>
    </dgm:pt>
    <dgm:pt modelId="{EF09C306-775A-4B24-9CF9-41380976B8D0}" type="pres">
      <dgm:prSet presAssocID="{1AE98F1E-E277-4E7C-B37B-2DD87C237351}" presName="horzThree" presStyleCnt="0"/>
      <dgm:spPr/>
    </dgm:pt>
    <dgm:pt modelId="{B8369508-1C3E-42EA-B911-EB12B31ABE89}" type="pres">
      <dgm:prSet presAssocID="{82005FC4-939D-4ACF-8C2F-E6C9501F71E5}" presName="vertFour" presStyleCnt="0">
        <dgm:presLayoutVars>
          <dgm:chPref val="3"/>
        </dgm:presLayoutVars>
      </dgm:prSet>
      <dgm:spPr/>
    </dgm:pt>
    <dgm:pt modelId="{85EB828F-C976-4C4B-BA1A-17244ACF076A}" type="pres">
      <dgm:prSet presAssocID="{82005FC4-939D-4ACF-8C2F-E6C9501F71E5}" presName="txFour" presStyleLbl="node4" presStyleIdx="0" presStyleCnt="2">
        <dgm:presLayoutVars>
          <dgm:chPref val="3"/>
        </dgm:presLayoutVars>
      </dgm:prSet>
      <dgm:spPr/>
      <dgm:t>
        <a:bodyPr/>
        <a:lstStyle/>
        <a:p>
          <a:endParaRPr lang="es-AR"/>
        </a:p>
      </dgm:t>
    </dgm:pt>
    <dgm:pt modelId="{7CA51DFC-9AB6-431C-9C1B-E07D82D66B4E}" type="pres">
      <dgm:prSet presAssocID="{82005FC4-939D-4ACF-8C2F-E6C9501F71E5}" presName="horzFour" presStyleCnt="0"/>
      <dgm:spPr/>
    </dgm:pt>
    <dgm:pt modelId="{A06018AF-59A4-4F09-8D5B-385DBB3F666A}" type="pres">
      <dgm:prSet presAssocID="{F063F031-5075-4751-AAF0-C7653BB77026}" presName="sibSpaceFour" presStyleCnt="0"/>
      <dgm:spPr/>
    </dgm:pt>
    <dgm:pt modelId="{B03E35B3-9816-47C8-815A-2E40261CE97F}" type="pres">
      <dgm:prSet presAssocID="{44146284-82FF-4A1A-87EA-B2772AC5BFBB}" presName="vertFour" presStyleCnt="0">
        <dgm:presLayoutVars>
          <dgm:chPref val="3"/>
        </dgm:presLayoutVars>
      </dgm:prSet>
      <dgm:spPr/>
    </dgm:pt>
    <dgm:pt modelId="{9DF2C459-4115-4E2B-AE4B-636AE7505F85}" type="pres">
      <dgm:prSet presAssocID="{44146284-82FF-4A1A-87EA-B2772AC5BFBB}" presName="txFour" presStyleLbl="node4" presStyleIdx="1" presStyleCnt="2">
        <dgm:presLayoutVars>
          <dgm:chPref val="3"/>
        </dgm:presLayoutVars>
      </dgm:prSet>
      <dgm:spPr/>
      <dgm:t>
        <a:bodyPr/>
        <a:lstStyle/>
        <a:p>
          <a:endParaRPr lang="es-AR"/>
        </a:p>
      </dgm:t>
    </dgm:pt>
    <dgm:pt modelId="{F2A14732-42DC-4D56-BA90-F09457335866}" type="pres">
      <dgm:prSet presAssocID="{44146284-82FF-4A1A-87EA-B2772AC5BFBB}" presName="horzFour" presStyleCnt="0"/>
      <dgm:spPr/>
    </dgm:pt>
  </dgm:ptLst>
  <dgm:cxnLst>
    <dgm:cxn modelId="{F8CEB3D5-EE20-49CB-82C0-ED98C85D67A9}" type="presOf" srcId="{9E0F7C39-3632-4F87-8948-7D21FB272B5B}" destId="{71FB9E89-85B4-426C-9E92-70DA55968B4C}" srcOrd="0" destOrd="0" presId="urn:microsoft.com/office/officeart/2005/8/layout/hierarchy4"/>
    <dgm:cxn modelId="{A7DF1C9A-32FD-48AD-ADE7-24611E04D2F6}" srcId="{90A3BE77-B47D-4CC3-A02C-EF397079DAB2}" destId="{5F3697D6-9B8A-4FC8-875A-409E783CBA6C}" srcOrd="0" destOrd="0" parTransId="{56AD3C1C-E682-4322-A76F-D20B4983137C}" sibTransId="{A68F4CB2-851B-4EDC-BA10-B7B65E8EA7E1}"/>
    <dgm:cxn modelId="{AF8C70B8-50F8-4A74-AB33-FB89D5FDDC50}" srcId="{5F3697D6-9B8A-4FC8-875A-409E783CBA6C}" destId="{82FC5F13-03F2-42B0-8FC5-91B3F7D20E41}" srcOrd="0" destOrd="0" parTransId="{146CDF79-601C-4526-9AB5-99805A249A0C}" sibTransId="{23DF92AB-531C-4065-8F05-6999A4C59A7F}"/>
    <dgm:cxn modelId="{97D608AD-99C6-49B3-A638-737538CFDBFD}" type="presOf" srcId="{5F3697D6-9B8A-4FC8-875A-409E783CBA6C}" destId="{AA8642CE-076F-4E21-9169-AEFC3A7958DB}" srcOrd="0" destOrd="0" presId="urn:microsoft.com/office/officeart/2005/8/layout/hierarchy4"/>
    <dgm:cxn modelId="{08126D8D-1436-46B0-A800-943358363185}" type="presOf" srcId="{90A3BE77-B47D-4CC3-A02C-EF397079DAB2}" destId="{B1C17C2D-F409-45D5-A195-A101C16AA97D}" srcOrd="0" destOrd="0" presId="urn:microsoft.com/office/officeart/2005/8/layout/hierarchy4"/>
    <dgm:cxn modelId="{BF59E181-D274-452E-BFE9-AE043F25446A}" srcId="{C24630A2-AF00-4F3D-8CCD-40A466DD1268}" destId="{1AE98F1E-E277-4E7C-B37B-2DD87C237351}" srcOrd="0" destOrd="0" parTransId="{6087DDA3-3EE4-4A37-88E0-1B1A5DB6F32A}" sibTransId="{025C4CC2-BEED-4875-A644-3F5157E4C048}"/>
    <dgm:cxn modelId="{3F88198C-B42A-4444-98BD-04A7185995A8}" srcId="{5F3697D6-9B8A-4FC8-875A-409E783CBA6C}" destId="{C24630A2-AF00-4F3D-8CCD-40A466DD1268}" srcOrd="1" destOrd="0" parTransId="{86201C60-7D9F-43FA-921C-29BB372F5F25}" sibTransId="{F28E80F6-41CD-44CF-8B7E-BBF3DAA33845}"/>
    <dgm:cxn modelId="{A77FC58E-13B0-43FB-8C89-D408DBACA7B5}" srcId="{82FC5F13-03F2-42B0-8FC5-91B3F7D20E41}" destId="{A3627B82-19BB-42F6-8010-B9F581F2E628}" srcOrd="0" destOrd="0" parTransId="{6BC113EB-BC3A-4EB3-ADBC-7E369FCC53F3}" sibTransId="{28E37A47-A472-4DEA-84AC-7B26C7DF563F}"/>
    <dgm:cxn modelId="{7EFAE066-1D83-41A8-8D83-C9CB6C7DB095}" type="presOf" srcId="{82005FC4-939D-4ACF-8C2F-E6C9501F71E5}" destId="{85EB828F-C976-4C4B-BA1A-17244ACF076A}" srcOrd="0" destOrd="0" presId="urn:microsoft.com/office/officeart/2005/8/layout/hierarchy4"/>
    <dgm:cxn modelId="{14C604A6-A818-4131-9217-B2AA846A720B}" type="presOf" srcId="{44146284-82FF-4A1A-87EA-B2772AC5BFBB}" destId="{9DF2C459-4115-4E2B-AE4B-636AE7505F85}" srcOrd="0" destOrd="0" presId="urn:microsoft.com/office/officeart/2005/8/layout/hierarchy4"/>
    <dgm:cxn modelId="{D246ED72-FD69-4C25-9512-61C09478CCC5}" type="presOf" srcId="{1AE98F1E-E277-4E7C-B37B-2DD87C237351}" destId="{2D0BEDD2-93E1-444F-B15D-F8AE6E00B684}" srcOrd="0" destOrd="0" presId="urn:microsoft.com/office/officeart/2005/8/layout/hierarchy4"/>
    <dgm:cxn modelId="{B3BA192C-F54D-495C-8B2E-51B4F900D13E}" type="presOf" srcId="{82FC5F13-03F2-42B0-8FC5-91B3F7D20E41}" destId="{A3022894-5017-4BFC-92F1-859D2AB0615B}" srcOrd="0" destOrd="0" presId="urn:microsoft.com/office/officeart/2005/8/layout/hierarchy4"/>
    <dgm:cxn modelId="{D3203611-ED83-466E-97B3-9B37049C05B5}" type="presOf" srcId="{C24630A2-AF00-4F3D-8CCD-40A466DD1268}" destId="{27A8E2C9-ACC0-4C1C-A1B4-FC5118E4D3CD}" srcOrd="0" destOrd="0" presId="urn:microsoft.com/office/officeart/2005/8/layout/hierarchy4"/>
    <dgm:cxn modelId="{07E3D4E4-2076-4A4E-9793-7E43DBE51A72}" type="presOf" srcId="{A3627B82-19BB-42F6-8010-B9F581F2E628}" destId="{6703DBD5-002B-494B-811C-88092CA77056}" srcOrd="0" destOrd="0" presId="urn:microsoft.com/office/officeart/2005/8/layout/hierarchy4"/>
    <dgm:cxn modelId="{21254E01-C081-4565-9110-213FE39E1C5E}" srcId="{1AE98F1E-E277-4E7C-B37B-2DD87C237351}" destId="{44146284-82FF-4A1A-87EA-B2772AC5BFBB}" srcOrd="1" destOrd="0" parTransId="{B534DC48-4245-4607-8BFE-FE7C9ECDC6CA}" sibTransId="{0D28F18E-3F51-44B7-90A9-E24095DE5D32}"/>
    <dgm:cxn modelId="{E64A3A09-B46E-422A-882D-3B56BBD30B31}" srcId="{82FC5F13-03F2-42B0-8FC5-91B3F7D20E41}" destId="{9E0F7C39-3632-4F87-8948-7D21FB272B5B}" srcOrd="1" destOrd="0" parTransId="{7BB9BDF5-10C3-4AFB-A740-1ACAB2426CBA}" sibTransId="{32CD18BE-E371-4E70-849B-F7BB07C33DB4}"/>
    <dgm:cxn modelId="{CCA872C4-41F8-48D5-A3CB-DEB651A4CDBB}" srcId="{1AE98F1E-E277-4E7C-B37B-2DD87C237351}" destId="{82005FC4-939D-4ACF-8C2F-E6C9501F71E5}" srcOrd="0" destOrd="0" parTransId="{51768AA2-CC1B-4302-9F5A-E6B43554C8D3}" sibTransId="{F063F031-5075-4751-AAF0-C7653BB77026}"/>
    <dgm:cxn modelId="{E15FF157-5BA8-45F1-9306-5DADD336CE2E}" type="presParOf" srcId="{B1C17C2D-F409-45D5-A195-A101C16AA97D}" destId="{B90077B6-671E-4BA7-B629-993157133A77}" srcOrd="0" destOrd="0" presId="urn:microsoft.com/office/officeart/2005/8/layout/hierarchy4"/>
    <dgm:cxn modelId="{5A1BCB29-77C0-4A4F-A99C-7CD76BC7CA86}" type="presParOf" srcId="{B90077B6-671E-4BA7-B629-993157133A77}" destId="{AA8642CE-076F-4E21-9169-AEFC3A7958DB}" srcOrd="0" destOrd="0" presId="urn:microsoft.com/office/officeart/2005/8/layout/hierarchy4"/>
    <dgm:cxn modelId="{32E6F219-21C5-41A3-A948-276CEFB8137B}" type="presParOf" srcId="{B90077B6-671E-4BA7-B629-993157133A77}" destId="{3CA64998-79C4-4E5F-87C9-ABEFFE89D737}" srcOrd="1" destOrd="0" presId="urn:microsoft.com/office/officeart/2005/8/layout/hierarchy4"/>
    <dgm:cxn modelId="{F0B51231-3C76-458C-B6BE-71A53D2F8A5E}" type="presParOf" srcId="{B90077B6-671E-4BA7-B629-993157133A77}" destId="{2245D860-2C6B-412B-8027-65E0B19ACFF2}" srcOrd="2" destOrd="0" presId="urn:microsoft.com/office/officeart/2005/8/layout/hierarchy4"/>
    <dgm:cxn modelId="{2FEA87E0-5615-456C-B096-71833F43389C}" type="presParOf" srcId="{2245D860-2C6B-412B-8027-65E0B19ACFF2}" destId="{3E20A8BE-133A-47CF-83B9-9AE978690938}" srcOrd="0" destOrd="0" presId="urn:microsoft.com/office/officeart/2005/8/layout/hierarchy4"/>
    <dgm:cxn modelId="{B6DBD772-81C7-4586-8350-1CAE9653E2A2}" type="presParOf" srcId="{3E20A8BE-133A-47CF-83B9-9AE978690938}" destId="{A3022894-5017-4BFC-92F1-859D2AB0615B}" srcOrd="0" destOrd="0" presId="urn:microsoft.com/office/officeart/2005/8/layout/hierarchy4"/>
    <dgm:cxn modelId="{69C8D8CE-AF7E-4736-8DCB-5E1C157761BB}" type="presParOf" srcId="{3E20A8BE-133A-47CF-83B9-9AE978690938}" destId="{581D0262-5E39-4AA9-A6DF-9F899A9331C4}" srcOrd="1" destOrd="0" presId="urn:microsoft.com/office/officeart/2005/8/layout/hierarchy4"/>
    <dgm:cxn modelId="{CFA9B302-5A11-46A9-B781-659CBCE7AE65}" type="presParOf" srcId="{3E20A8BE-133A-47CF-83B9-9AE978690938}" destId="{A254B675-E461-46D8-BA04-AF1DCBCD2D3B}" srcOrd="2" destOrd="0" presId="urn:microsoft.com/office/officeart/2005/8/layout/hierarchy4"/>
    <dgm:cxn modelId="{BEE7FB53-950F-45F8-8BCC-ED490E85BFFD}" type="presParOf" srcId="{A254B675-E461-46D8-BA04-AF1DCBCD2D3B}" destId="{F3679C97-9067-45F6-AD17-236624C3537B}" srcOrd="0" destOrd="0" presId="urn:microsoft.com/office/officeart/2005/8/layout/hierarchy4"/>
    <dgm:cxn modelId="{724E31DC-A3D9-4DD0-B7D8-0BC73E137DC6}" type="presParOf" srcId="{F3679C97-9067-45F6-AD17-236624C3537B}" destId="{6703DBD5-002B-494B-811C-88092CA77056}" srcOrd="0" destOrd="0" presId="urn:microsoft.com/office/officeart/2005/8/layout/hierarchy4"/>
    <dgm:cxn modelId="{7CAA87F9-A8CE-4B67-97C9-0B77E68F5A8C}" type="presParOf" srcId="{F3679C97-9067-45F6-AD17-236624C3537B}" destId="{FFF89B01-47F0-4D56-A7D2-CD7A8A4D67B1}" srcOrd="1" destOrd="0" presId="urn:microsoft.com/office/officeart/2005/8/layout/hierarchy4"/>
    <dgm:cxn modelId="{D79CC023-1D5B-4271-8462-1793B191389F}" type="presParOf" srcId="{A254B675-E461-46D8-BA04-AF1DCBCD2D3B}" destId="{FE111132-9CB7-41E1-AC97-F0BC3F03343E}" srcOrd="1" destOrd="0" presId="urn:microsoft.com/office/officeart/2005/8/layout/hierarchy4"/>
    <dgm:cxn modelId="{944B7D30-B3A8-4F3E-A4E5-16BEC0C1DAF9}" type="presParOf" srcId="{A254B675-E461-46D8-BA04-AF1DCBCD2D3B}" destId="{459FF5F4-581C-4FB8-9AD1-28681B866663}" srcOrd="2" destOrd="0" presId="urn:microsoft.com/office/officeart/2005/8/layout/hierarchy4"/>
    <dgm:cxn modelId="{714200AB-13E6-4FFC-A8F7-F0C8021505F1}" type="presParOf" srcId="{459FF5F4-581C-4FB8-9AD1-28681B866663}" destId="{71FB9E89-85B4-426C-9E92-70DA55968B4C}" srcOrd="0" destOrd="0" presId="urn:microsoft.com/office/officeart/2005/8/layout/hierarchy4"/>
    <dgm:cxn modelId="{35134AD0-3811-408D-944C-5058DBDA0E8F}" type="presParOf" srcId="{459FF5F4-581C-4FB8-9AD1-28681B866663}" destId="{F61DD6E7-4540-4D7A-90E4-734F60D8248B}" srcOrd="1" destOrd="0" presId="urn:microsoft.com/office/officeart/2005/8/layout/hierarchy4"/>
    <dgm:cxn modelId="{27B8CECF-93CC-4019-8D96-A1D40ED2A553}" type="presParOf" srcId="{2245D860-2C6B-412B-8027-65E0B19ACFF2}" destId="{848AA526-DCBE-4DF9-A9A0-34DD96DA419D}" srcOrd="1" destOrd="0" presId="urn:microsoft.com/office/officeart/2005/8/layout/hierarchy4"/>
    <dgm:cxn modelId="{7700A65F-03F1-4B32-A2AA-BE8D3AC936FD}" type="presParOf" srcId="{2245D860-2C6B-412B-8027-65E0B19ACFF2}" destId="{5E976C85-575B-42E3-B0E3-9197FD7E04F1}" srcOrd="2" destOrd="0" presId="urn:microsoft.com/office/officeart/2005/8/layout/hierarchy4"/>
    <dgm:cxn modelId="{43D68E04-C8E9-4A28-9945-56E7E9B28857}" type="presParOf" srcId="{5E976C85-575B-42E3-B0E3-9197FD7E04F1}" destId="{27A8E2C9-ACC0-4C1C-A1B4-FC5118E4D3CD}" srcOrd="0" destOrd="0" presId="urn:microsoft.com/office/officeart/2005/8/layout/hierarchy4"/>
    <dgm:cxn modelId="{E47EBF3F-0969-4B6A-83DC-EBE0B044012C}" type="presParOf" srcId="{5E976C85-575B-42E3-B0E3-9197FD7E04F1}" destId="{BD134D29-993D-49E0-9AD3-8DF9ACCD229B}" srcOrd="1" destOrd="0" presId="urn:microsoft.com/office/officeart/2005/8/layout/hierarchy4"/>
    <dgm:cxn modelId="{509DCEBA-0949-452F-93A2-847435C93F87}" type="presParOf" srcId="{5E976C85-575B-42E3-B0E3-9197FD7E04F1}" destId="{950D962F-98D4-4E2E-9EDC-622CA1859D92}" srcOrd="2" destOrd="0" presId="urn:microsoft.com/office/officeart/2005/8/layout/hierarchy4"/>
    <dgm:cxn modelId="{FB390ACA-084E-4CEC-BD9D-1F9612FC97DB}" type="presParOf" srcId="{950D962F-98D4-4E2E-9EDC-622CA1859D92}" destId="{4E773025-6A56-4DAE-B09F-CD5EB51D8CF5}" srcOrd="0" destOrd="0" presId="urn:microsoft.com/office/officeart/2005/8/layout/hierarchy4"/>
    <dgm:cxn modelId="{7B533D03-AEF6-4270-BC5E-8E2FF535F944}" type="presParOf" srcId="{4E773025-6A56-4DAE-B09F-CD5EB51D8CF5}" destId="{2D0BEDD2-93E1-444F-B15D-F8AE6E00B684}" srcOrd="0" destOrd="0" presId="urn:microsoft.com/office/officeart/2005/8/layout/hierarchy4"/>
    <dgm:cxn modelId="{51D19F7D-61AE-403E-BB2B-193D72C143DC}" type="presParOf" srcId="{4E773025-6A56-4DAE-B09F-CD5EB51D8CF5}" destId="{99975524-9E7C-4C02-BE74-E33345EC6DF1}" srcOrd="1" destOrd="0" presId="urn:microsoft.com/office/officeart/2005/8/layout/hierarchy4"/>
    <dgm:cxn modelId="{956260FF-E117-4579-B8A3-AAE1C8BE6021}" type="presParOf" srcId="{4E773025-6A56-4DAE-B09F-CD5EB51D8CF5}" destId="{EF09C306-775A-4B24-9CF9-41380976B8D0}" srcOrd="2" destOrd="0" presId="urn:microsoft.com/office/officeart/2005/8/layout/hierarchy4"/>
    <dgm:cxn modelId="{7A9EA240-189B-44B8-BFC8-768452B879BE}" type="presParOf" srcId="{EF09C306-775A-4B24-9CF9-41380976B8D0}" destId="{B8369508-1C3E-42EA-B911-EB12B31ABE89}" srcOrd="0" destOrd="0" presId="urn:microsoft.com/office/officeart/2005/8/layout/hierarchy4"/>
    <dgm:cxn modelId="{116A6651-0A8F-417D-9312-B4D4CD26FE4D}" type="presParOf" srcId="{B8369508-1C3E-42EA-B911-EB12B31ABE89}" destId="{85EB828F-C976-4C4B-BA1A-17244ACF076A}" srcOrd="0" destOrd="0" presId="urn:microsoft.com/office/officeart/2005/8/layout/hierarchy4"/>
    <dgm:cxn modelId="{4BC6F292-4CA7-455C-A995-A9C4F1EF4D5F}" type="presParOf" srcId="{B8369508-1C3E-42EA-B911-EB12B31ABE89}" destId="{7CA51DFC-9AB6-431C-9C1B-E07D82D66B4E}" srcOrd="1" destOrd="0" presId="urn:microsoft.com/office/officeart/2005/8/layout/hierarchy4"/>
    <dgm:cxn modelId="{C4827215-F2F4-422B-8FE6-9F244A78D881}" type="presParOf" srcId="{EF09C306-775A-4B24-9CF9-41380976B8D0}" destId="{A06018AF-59A4-4F09-8D5B-385DBB3F666A}" srcOrd="1" destOrd="0" presId="urn:microsoft.com/office/officeart/2005/8/layout/hierarchy4"/>
    <dgm:cxn modelId="{5DF6CBB4-4037-43AB-9E58-EAA0800F45CE}" type="presParOf" srcId="{EF09C306-775A-4B24-9CF9-41380976B8D0}" destId="{B03E35B3-9816-47C8-815A-2E40261CE97F}" srcOrd="2" destOrd="0" presId="urn:microsoft.com/office/officeart/2005/8/layout/hierarchy4"/>
    <dgm:cxn modelId="{9E61E832-7303-49AE-BCB7-2FF7ED93ECBA}" type="presParOf" srcId="{B03E35B3-9816-47C8-815A-2E40261CE97F}" destId="{9DF2C459-4115-4E2B-AE4B-636AE7505F85}" srcOrd="0" destOrd="0" presId="urn:microsoft.com/office/officeart/2005/8/layout/hierarchy4"/>
    <dgm:cxn modelId="{DF19BC4C-55E8-47BE-91B2-D28C23E3F932}" type="presParOf" srcId="{B03E35B3-9816-47C8-815A-2E40261CE97F}" destId="{F2A14732-42DC-4D56-BA90-F09457335866}" srcOrd="1" destOrd="0" presId="urn:microsoft.com/office/officeart/2005/8/layout/hierarchy4"/>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8F5F25D-1164-469A-8B32-9BFF89C205DF}"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es-AR"/>
        </a:p>
      </dgm:t>
    </dgm:pt>
    <dgm:pt modelId="{1EBFC517-FF9E-4040-B08B-33A8AADC3928}">
      <dgm:prSet phldrT="[Texto]"/>
      <dgm:spPr>
        <a:solidFill>
          <a:schemeClr val="accent2"/>
        </a:solidFill>
      </dgm:spPr>
      <dgm:t>
        <a:bodyPr/>
        <a:lstStyle/>
        <a:p>
          <a:r>
            <a:rPr lang="es-AR"/>
            <a:t>11100...0</a:t>
          </a:r>
        </a:p>
      </dgm:t>
    </dgm:pt>
    <dgm:pt modelId="{0B6E81CD-6D27-4ED0-9F0A-1D8E3BCBDDEE}" type="parTrans" cxnId="{88E33BF5-F847-44B5-8A2F-5B181BE7EEA1}">
      <dgm:prSet/>
      <dgm:spPr/>
      <dgm:t>
        <a:bodyPr/>
        <a:lstStyle/>
        <a:p>
          <a:endParaRPr lang="es-AR"/>
        </a:p>
      </dgm:t>
    </dgm:pt>
    <dgm:pt modelId="{1FDB550C-9FD9-49C7-BD66-663326D1F726}" type="sibTrans" cxnId="{88E33BF5-F847-44B5-8A2F-5B181BE7EEA1}">
      <dgm:prSet/>
      <dgm:spPr/>
      <dgm:t>
        <a:bodyPr/>
        <a:lstStyle/>
        <a:p>
          <a:endParaRPr lang="es-AR"/>
        </a:p>
      </dgm:t>
    </dgm:pt>
    <dgm:pt modelId="{03213475-4A59-470A-9C88-0E6140E020F2}">
      <dgm:prSet phldrT="[Texto]"/>
      <dgm:spPr>
        <a:solidFill>
          <a:schemeClr val="accent2"/>
        </a:solidFill>
      </dgm:spPr>
      <dgm:t>
        <a:bodyPr/>
        <a:lstStyle/>
        <a:p>
          <a:r>
            <a:rPr lang="es-AR"/>
            <a:t>1...11100</a:t>
          </a:r>
        </a:p>
      </dgm:t>
    </dgm:pt>
    <dgm:pt modelId="{D1A49022-4B9B-4600-BDEA-D9BADD21AA67}" type="parTrans" cxnId="{B9A851D4-8A7E-4D59-8D03-B989EB60B30C}">
      <dgm:prSet/>
      <dgm:spPr/>
      <dgm:t>
        <a:bodyPr/>
        <a:lstStyle/>
        <a:p>
          <a:endParaRPr lang="es-AR"/>
        </a:p>
      </dgm:t>
    </dgm:pt>
    <dgm:pt modelId="{1248161F-4809-430F-894B-2B7DA47014A7}" type="sibTrans" cxnId="{B9A851D4-8A7E-4D59-8D03-B989EB60B30C}">
      <dgm:prSet/>
      <dgm:spPr/>
      <dgm:t>
        <a:bodyPr/>
        <a:lstStyle/>
        <a:p>
          <a:endParaRPr lang="es-AR"/>
        </a:p>
      </dgm:t>
    </dgm:pt>
    <dgm:pt modelId="{9D77D418-C0CA-4BF5-BE77-E2C098A7E714}">
      <dgm:prSet phldrT="[Texto]"/>
      <dgm:spPr>
        <a:solidFill>
          <a:schemeClr val="accent2"/>
        </a:solidFill>
      </dgm:spPr>
      <dgm:t>
        <a:bodyPr/>
        <a:lstStyle/>
        <a:p>
          <a:r>
            <a:rPr lang="es-AR"/>
            <a:t>1...11111</a:t>
          </a:r>
        </a:p>
      </dgm:t>
    </dgm:pt>
    <dgm:pt modelId="{DC2A3065-547A-4BEA-B062-0FCF05FADA2B}" type="parTrans" cxnId="{9AA2091F-4F0F-4889-AAFA-B4065710AD96}">
      <dgm:prSet/>
      <dgm:spPr/>
      <dgm:t>
        <a:bodyPr/>
        <a:lstStyle/>
        <a:p>
          <a:endParaRPr lang="es-AR"/>
        </a:p>
      </dgm:t>
    </dgm:pt>
    <dgm:pt modelId="{6B06B20F-4649-4A1A-A6B9-AAC9AF2AB05C}" type="sibTrans" cxnId="{9AA2091F-4F0F-4889-AAFA-B4065710AD96}">
      <dgm:prSet/>
      <dgm:spPr/>
      <dgm:t>
        <a:bodyPr/>
        <a:lstStyle/>
        <a:p>
          <a:endParaRPr lang="es-AR"/>
        </a:p>
      </dgm:t>
    </dgm:pt>
    <dgm:pt modelId="{EA61C5D0-6508-4C2A-93A9-71F661AA1A14}">
      <dgm:prSet phldrT="[Texto]"/>
      <dgm:spPr>
        <a:solidFill>
          <a:schemeClr val="accent2"/>
        </a:solidFill>
      </dgm:spPr>
      <dgm:t>
        <a:bodyPr/>
        <a:lstStyle/>
        <a:p>
          <a:r>
            <a:rPr lang="es-AR"/>
            <a:t>1...11000</a:t>
          </a:r>
        </a:p>
      </dgm:t>
    </dgm:pt>
    <dgm:pt modelId="{EC85A9E5-885E-4547-97CE-7678681E8671}" type="parTrans" cxnId="{FC07A659-D90E-4282-8F4A-C3793C3AEDBC}">
      <dgm:prSet/>
      <dgm:spPr/>
      <dgm:t>
        <a:bodyPr/>
        <a:lstStyle/>
        <a:p>
          <a:endParaRPr lang="es-AR"/>
        </a:p>
      </dgm:t>
    </dgm:pt>
    <dgm:pt modelId="{11993924-C249-42D8-A033-98691BFBB749}" type="sibTrans" cxnId="{FC07A659-D90E-4282-8F4A-C3793C3AEDBC}">
      <dgm:prSet/>
      <dgm:spPr/>
      <dgm:t>
        <a:bodyPr/>
        <a:lstStyle/>
        <a:p>
          <a:endParaRPr lang="es-AR"/>
        </a:p>
      </dgm:t>
    </dgm:pt>
    <dgm:pt modelId="{4522D048-6E80-4651-A5AD-EB98AB33A2BC}">
      <dgm:prSet phldrT="[Texto]"/>
      <dgm:spPr>
        <a:solidFill>
          <a:schemeClr val="accent2"/>
        </a:solidFill>
      </dgm:spPr>
      <dgm:t>
        <a:bodyPr/>
        <a:lstStyle/>
        <a:p>
          <a:r>
            <a:rPr lang="es-AR"/>
            <a:t>1...11110</a:t>
          </a:r>
        </a:p>
      </dgm:t>
    </dgm:pt>
    <dgm:pt modelId="{2B5A987D-32A7-455C-9DF3-2A746F6C889A}" type="parTrans" cxnId="{83F894CD-720E-4FD4-8CBC-D9FBB8F97FCF}">
      <dgm:prSet/>
      <dgm:spPr/>
      <dgm:t>
        <a:bodyPr/>
        <a:lstStyle/>
        <a:p>
          <a:endParaRPr lang="es-AR"/>
        </a:p>
      </dgm:t>
    </dgm:pt>
    <dgm:pt modelId="{3689CD28-75F2-4FAB-93BE-65C2D4A05F30}" type="sibTrans" cxnId="{83F894CD-720E-4FD4-8CBC-D9FBB8F97FCF}">
      <dgm:prSet/>
      <dgm:spPr/>
      <dgm:t>
        <a:bodyPr/>
        <a:lstStyle/>
        <a:p>
          <a:endParaRPr lang="es-AR"/>
        </a:p>
      </dgm:t>
    </dgm:pt>
    <dgm:pt modelId="{1084D23E-CB99-4ABE-B8BB-993CD4E783F8}">
      <dgm:prSet phldrT="[Texto]"/>
      <dgm:spPr>
        <a:solidFill>
          <a:schemeClr val="accent2"/>
        </a:solidFill>
      </dgm:spPr>
      <dgm:t>
        <a:bodyPr/>
        <a:lstStyle/>
        <a:p>
          <a:r>
            <a:rPr lang="es-AR"/>
            <a:t>10000...0</a:t>
          </a:r>
        </a:p>
      </dgm:t>
    </dgm:pt>
    <dgm:pt modelId="{D817F8A5-8CD1-421A-A74E-EE8C3027636E}" type="parTrans" cxnId="{A322F561-6684-4497-976F-036BDBB4DFF8}">
      <dgm:prSet/>
      <dgm:spPr/>
      <dgm:t>
        <a:bodyPr/>
        <a:lstStyle/>
        <a:p>
          <a:endParaRPr lang="es-AR"/>
        </a:p>
      </dgm:t>
    </dgm:pt>
    <dgm:pt modelId="{7266F46D-E5A8-4508-B167-DDD021F63A25}" type="sibTrans" cxnId="{A322F561-6684-4497-976F-036BDBB4DFF8}">
      <dgm:prSet/>
      <dgm:spPr/>
      <dgm:t>
        <a:bodyPr/>
        <a:lstStyle/>
        <a:p>
          <a:endParaRPr lang="es-AR"/>
        </a:p>
      </dgm:t>
    </dgm:pt>
    <dgm:pt modelId="{69C264FA-EBA1-429C-A152-2A7F716F85AF}">
      <dgm:prSet phldrT="[Texto]"/>
      <dgm:spPr>
        <a:solidFill>
          <a:schemeClr val="accent2"/>
        </a:solidFill>
      </dgm:spPr>
      <dgm:t>
        <a:bodyPr/>
        <a:lstStyle/>
        <a:p>
          <a:r>
            <a:rPr lang="es-AR"/>
            <a:t>11000...0</a:t>
          </a:r>
        </a:p>
      </dgm:t>
    </dgm:pt>
    <dgm:pt modelId="{36043C01-8356-484C-9859-B9B556404206}" type="parTrans" cxnId="{0430038D-4D26-464A-A9AE-A3B9B9FB43F8}">
      <dgm:prSet/>
      <dgm:spPr/>
      <dgm:t>
        <a:bodyPr/>
        <a:lstStyle/>
        <a:p>
          <a:endParaRPr lang="es-AR"/>
        </a:p>
      </dgm:t>
    </dgm:pt>
    <dgm:pt modelId="{637E210E-B608-4D05-985D-268E2E564236}" type="sibTrans" cxnId="{0430038D-4D26-464A-A9AE-A3B9B9FB43F8}">
      <dgm:prSet/>
      <dgm:spPr/>
      <dgm:t>
        <a:bodyPr/>
        <a:lstStyle/>
        <a:p>
          <a:endParaRPr lang="es-AR"/>
        </a:p>
      </dgm:t>
    </dgm:pt>
    <dgm:pt modelId="{51CED5F5-07FD-4A2D-A3A7-682746362794}">
      <dgm:prSet phldrT="[Texto]"/>
      <dgm:spPr>
        <a:solidFill>
          <a:schemeClr val="accent2"/>
        </a:solidFill>
      </dgm:spPr>
      <dgm:t>
        <a:bodyPr/>
        <a:lstStyle/>
        <a:p>
          <a:r>
            <a:rPr lang="es-AR"/>
            <a:t>00000...0</a:t>
          </a:r>
        </a:p>
      </dgm:t>
    </dgm:pt>
    <dgm:pt modelId="{8912C5A5-964B-42FF-9C65-024E8F442E0E}" type="parTrans" cxnId="{7E8080FC-8CCF-4E08-A332-4A3151555B11}">
      <dgm:prSet/>
      <dgm:spPr/>
      <dgm:t>
        <a:bodyPr/>
        <a:lstStyle/>
        <a:p>
          <a:endParaRPr lang="es-AR"/>
        </a:p>
      </dgm:t>
    </dgm:pt>
    <dgm:pt modelId="{EB8C5ED5-B177-4134-8A5F-5CB3C03EB64A}" type="sibTrans" cxnId="{7E8080FC-8CCF-4E08-A332-4A3151555B11}">
      <dgm:prSet/>
      <dgm:spPr/>
      <dgm:t>
        <a:bodyPr/>
        <a:lstStyle/>
        <a:p>
          <a:endParaRPr lang="es-AR"/>
        </a:p>
      </dgm:t>
    </dgm:pt>
    <dgm:pt modelId="{33AFC3C0-C2DD-4885-9D06-E386CC839BBA}">
      <dgm:prSet phldrT="[Texto]"/>
      <dgm:spPr>
        <a:solidFill>
          <a:schemeClr val="accent2"/>
        </a:solidFill>
      </dgm:spPr>
      <dgm:t>
        <a:bodyPr/>
        <a:lstStyle/>
        <a:p>
          <a:r>
            <a:rPr lang="es-AR"/>
            <a:t>000...111</a:t>
          </a:r>
        </a:p>
      </dgm:t>
    </dgm:pt>
    <dgm:pt modelId="{5FEA010D-F587-4360-8A8A-68B733C20048}" type="parTrans" cxnId="{18990EC7-DAB4-4250-BC0F-F5E258BA1DD9}">
      <dgm:prSet/>
      <dgm:spPr/>
      <dgm:t>
        <a:bodyPr/>
        <a:lstStyle/>
        <a:p>
          <a:endParaRPr lang="es-AR"/>
        </a:p>
      </dgm:t>
    </dgm:pt>
    <dgm:pt modelId="{D2C2E5AC-B712-4723-9D66-F2BF4976A17B}" type="sibTrans" cxnId="{18990EC7-DAB4-4250-BC0F-F5E258BA1DD9}">
      <dgm:prSet/>
      <dgm:spPr/>
      <dgm:t>
        <a:bodyPr/>
        <a:lstStyle/>
        <a:p>
          <a:endParaRPr lang="es-AR"/>
        </a:p>
      </dgm:t>
    </dgm:pt>
    <dgm:pt modelId="{D86458AA-2375-4A15-8DB1-90C24E61A441}" type="pres">
      <dgm:prSet presAssocID="{88F5F25D-1164-469A-8B32-9BFF89C205DF}" presName="Name0" presStyleCnt="0">
        <dgm:presLayoutVars>
          <dgm:chPref val="3"/>
          <dgm:dir/>
          <dgm:animLvl val="lvl"/>
          <dgm:resizeHandles/>
        </dgm:presLayoutVars>
      </dgm:prSet>
      <dgm:spPr/>
      <dgm:t>
        <a:bodyPr/>
        <a:lstStyle/>
        <a:p>
          <a:endParaRPr lang="es-AR"/>
        </a:p>
      </dgm:t>
    </dgm:pt>
    <dgm:pt modelId="{7391EB38-400D-4F30-BF32-264B9C5B670C}" type="pres">
      <dgm:prSet presAssocID="{1EBFC517-FF9E-4040-B08B-33A8AADC3928}" presName="horFlow" presStyleCnt="0"/>
      <dgm:spPr/>
    </dgm:pt>
    <dgm:pt modelId="{568B9FAA-4CE6-4355-9603-C8FDE2F90B33}" type="pres">
      <dgm:prSet presAssocID="{1EBFC517-FF9E-4040-B08B-33A8AADC3928}" presName="bigChev" presStyleLbl="node1" presStyleIdx="0" presStyleCnt="9" custScaleY="36810" custLinFactNeighborX="93" custLinFactNeighborY="-64894"/>
      <dgm:spPr/>
      <dgm:t>
        <a:bodyPr/>
        <a:lstStyle/>
        <a:p>
          <a:endParaRPr lang="es-AR"/>
        </a:p>
      </dgm:t>
    </dgm:pt>
    <dgm:pt modelId="{44CAF2AD-F006-4061-831F-B133575A7FCC}" type="pres">
      <dgm:prSet presAssocID="{1EBFC517-FF9E-4040-B08B-33A8AADC3928}" presName="vSp" presStyleCnt="0"/>
      <dgm:spPr/>
    </dgm:pt>
    <dgm:pt modelId="{F38D785A-57D4-4053-A033-C2AD1DCE3EED}" type="pres">
      <dgm:prSet presAssocID="{03213475-4A59-470A-9C88-0E6140E020F2}" presName="horFlow" presStyleCnt="0"/>
      <dgm:spPr/>
    </dgm:pt>
    <dgm:pt modelId="{EAB26FB1-5F27-4C36-9258-FCA560EBF4A9}" type="pres">
      <dgm:prSet presAssocID="{03213475-4A59-470A-9C88-0E6140E020F2}" presName="bigChev" presStyleLbl="node1" presStyleIdx="1" presStyleCnt="9" custScaleY="36810" custLinFactY="200000" custLinFactNeighborY="253157"/>
      <dgm:spPr/>
      <dgm:t>
        <a:bodyPr/>
        <a:lstStyle/>
        <a:p>
          <a:endParaRPr lang="es-AR"/>
        </a:p>
      </dgm:t>
    </dgm:pt>
    <dgm:pt modelId="{49A32811-02A6-43BD-9370-46D1421F7F14}" type="pres">
      <dgm:prSet presAssocID="{03213475-4A59-470A-9C88-0E6140E020F2}" presName="vSp" presStyleCnt="0"/>
      <dgm:spPr/>
    </dgm:pt>
    <dgm:pt modelId="{65713D63-2E8C-466C-BB4F-0671265B0C34}" type="pres">
      <dgm:prSet presAssocID="{9D77D418-C0CA-4BF5-BE77-E2C098A7E714}" presName="horFlow" presStyleCnt="0"/>
      <dgm:spPr/>
    </dgm:pt>
    <dgm:pt modelId="{04DF0BD9-BD58-447F-9CE0-3F686A50ACFD}" type="pres">
      <dgm:prSet presAssocID="{9D77D418-C0CA-4BF5-BE77-E2C098A7E714}" presName="bigChev" presStyleLbl="node1" presStyleIdx="2" presStyleCnt="9" custScaleY="36810" custLinFactY="200000" custLinFactNeighborY="272066"/>
      <dgm:spPr/>
      <dgm:t>
        <a:bodyPr/>
        <a:lstStyle/>
        <a:p>
          <a:endParaRPr lang="es-AR"/>
        </a:p>
      </dgm:t>
    </dgm:pt>
    <dgm:pt modelId="{3C6FD98B-FABB-46FA-B058-18ED832667E8}" type="pres">
      <dgm:prSet presAssocID="{9D77D418-C0CA-4BF5-BE77-E2C098A7E714}" presName="vSp" presStyleCnt="0"/>
      <dgm:spPr/>
    </dgm:pt>
    <dgm:pt modelId="{899B5867-8CFC-4118-8AFF-3A040EA1F632}" type="pres">
      <dgm:prSet presAssocID="{EA61C5D0-6508-4C2A-93A9-71F661AA1A14}" presName="horFlow" presStyleCnt="0"/>
      <dgm:spPr/>
    </dgm:pt>
    <dgm:pt modelId="{4DF77F13-AB85-4DFB-AFDD-D14538B13CAB}" type="pres">
      <dgm:prSet presAssocID="{EA61C5D0-6508-4C2A-93A9-71F661AA1A14}" presName="bigChev" presStyleLbl="node1" presStyleIdx="3" presStyleCnt="9" custScaleY="36810" custLinFactY="117406" custLinFactNeighborY="200000"/>
      <dgm:spPr/>
      <dgm:t>
        <a:bodyPr/>
        <a:lstStyle/>
        <a:p>
          <a:endParaRPr lang="es-AR"/>
        </a:p>
      </dgm:t>
    </dgm:pt>
    <dgm:pt modelId="{1D21C3FF-7D71-4ADE-BB6E-7D1AC87FBB26}" type="pres">
      <dgm:prSet presAssocID="{EA61C5D0-6508-4C2A-93A9-71F661AA1A14}" presName="vSp" presStyleCnt="0"/>
      <dgm:spPr/>
    </dgm:pt>
    <dgm:pt modelId="{3977D66F-C03F-4269-B7CD-FBC1D1EF73D9}" type="pres">
      <dgm:prSet presAssocID="{4522D048-6E80-4651-A5AD-EB98AB33A2BC}" presName="horFlow" presStyleCnt="0"/>
      <dgm:spPr/>
    </dgm:pt>
    <dgm:pt modelId="{6F18A4C6-0AAE-472B-8B5D-CC1604C8A141}" type="pres">
      <dgm:prSet presAssocID="{4522D048-6E80-4651-A5AD-EB98AB33A2BC}" presName="bigChev" presStyleLbl="node1" presStyleIdx="4" presStyleCnt="9" custScaleY="36810" custLinFactY="136755" custLinFactNeighborY="200000"/>
      <dgm:spPr/>
      <dgm:t>
        <a:bodyPr/>
        <a:lstStyle/>
        <a:p>
          <a:endParaRPr lang="es-AR"/>
        </a:p>
      </dgm:t>
    </dgm:pt>
    <dgm:pt modelId="{783D7A35-2560-432C-AB86-68594F79756E}" type="pres">
      <dgm:prSet presAssocID="{4522D048-6E80-4651-A5AD-EB98AB33A2BC}" presName="vSp" presStyleCnt="0"/>
      <dgm:spPr/>
    </dgm:pt>
    <dgm:pt modelId="{9D55142D-AA26-4FC2-A531-C34906C2DCDE}" type="pres">
      <dgm:prSet presAssocID="{1084D23E-CB99-4ABE-B8BB-993CD4E783F8}" presName="horFlow" presStyleCnt="0"/>
      <dgm:spPr/>
    </dgm:pt>
    <dgm:pt modelId="{D01025D4-1B4B-4D45-9DAB-0020293F30BA}" type="pres">
      <dgm:prSet presAssocID="{1084D23E-CB99-4ABE-B8BB-993CD4E783F8}" presName="bigChev" presStyleLbl="node1" presStyleIdx="5" presStyleCnt="9" custScaleY="36810" custLinFactY="-187864" custLinFactNeighborY="-200000"/>
      <dgm:spPr/>
      <dgm:t>
        <a:bodyPr/>
        <a:lstStyle/>
        <a:p>
          <a:endParaRPr lang="es-AR"/>
        </a:p>
      </dgm:t>
    </dgm:pt>
    <dgm:pt modelId="{291DC45A-A2A3-4F34-8EE2-CE9C06FC7310}" type="pres">
      <dgm:prSet presAssocID="{1084D23E-CB99-4ABE-B8BB-993CD4E783F8}" presName="vSp" presStyleCnt="0"/>
      <dgm:spPr/>
    </dgm:pt>
    <dgm:pt modelId="{69F8B09A-4754-4C77-B619-8D12128427A2}" type="pres">
      <dgm:prSet presAssocID="{69C264FA-EBA1-429C-A152-2A7F716F85AF}" presName="horFlow" presStyleCnt="0"/>
      <dgm:spPr/>
    </dgm:pt>
    <dgm:pt modelId="{71F78A99-0D15-46FC-883B-5016CA07D37A}" type="pres">
      <dgm:prSet presAssocID="{69C264FA-EBA1-429C-A152-2A7F716F85AF}" presName="bigChev" presStyleLbl="node1" presStyleIdx="6" presStyleCnt="9" custScaleY="36810" custLinFactY="-200000" custLinFactNeighborY="-204143"/>
      <dgm:spPr/>
      <dgm:t>
        <a:bodyPr/>
        <a:lstStyle/>
        <a:p>
          <a:endParaRPr lang="es-AR"/>
        </a:p>
      </dgm:t>
    </dgm:pt>
    <dgm:pt modelId="{40CB5F6A-C190-4DE2-81B7-A1340F31F4D9}" type="pres">
      <dgm:prSet presAssocID="{69C264FA-EBA1-429C-A152-2A7F716F85AF}" presName="vSp" presStyleCnt="0"/>
      <dgm:spPr/>
    </dgm:pt>
    <dgm:pt modelId="{949B1F05-6307-4D77-9FA4-17811F3ED7D8}" type="pres">
      <dgm:prSet presAssocID="{51CED5F5-07FD-4A2D-A3A7-682746362794}" presName="horFlow" presStyleCnt="0"/>
      <dgm:spPr/>
    </dgm:pt>
    <dgm:pt modelId="{0DA82BC4-B6C6-48A8-8AEC-1FDDF365AAD6}" type="pres">
      <dgm:prSet presAssocID="{51CED5F5-07FD-4A2D-A3A7-682746362794}" presName="bigChev" presStyleLbl="node1" presStyleIdx="7" presStyleCnt="9" custScaleY="36810" custLinFactY="-222848" custLinFactNeighborX="93" custLinFactNeighborY="-300000"/>
      <dgm:spPr/>
      <dgm:t>
        <a:bodyPr/>
        <a:lstStyle/>
        <a:p>
          <a:endParaRPr lang="es-AR"/>
        </a:p>
      </dgm:t>
    </dgm:pt>
    <dgm:pt modelId="{A9139CD2-66D3-409D-AFAA-9A8635896276}" type="pres">
      <dgm:prSet presAssocID="{51CED5F5-07FD-4A2D-A3A7-682746362794}" presName="vSp" presStyleCnt="0"/>
      <dgm:spPr/>
    </dgm:pt>
    <dgm:pt modelId="{031BB06C-9F61-4F23-B317-672473DA9604}" type="pres">
      <dgm:prSet presAssocID="{33AFC3C0-C2DD-4885-9D06-E386CC839BBA}" presName="horFlow" presStyleCnt="0"/>
      <dgm:spPr/>
    </dgm:pt>
    <dgm:pt modelId="{4AC3ED48-F5EA-4C72-821E-00634B3E3CB4}" type="pres">
      <dgm:prSet presAssocID="{33AFC3C0-C2DD-4885-9D06-E386CC839BBA}" presName="bigChev" presStyleLbl="node1" presStyleIdx="8" presStyleCnt="9" custScaleY="36810" custLinFactY="-100000" custLinFactNeighborY="-118315"/>
      <dgm:spPr/>
      <dgm:t>
        <a:bodyPr/>
        <a:lstStyle/>
        <a:p>
          <a:endParaRPr lang="es-AR"/>
        </a:p>
      </dgm:t>
    </dgm:pt>
  </dgm:ptLst>
  <dgm:cxnLst>
    <dgm:cxn modelId="{3BB8552E-5C58-44AF-998C-66C95F30956B}" type="presOf" srcId="{88F5F25D-1164-469A-8B32-9BFF89C205DF}" destId="{D86458AA-2375-4A15-8DB1-90C24E61A441}" srcOrd="0" destOrd="0" presId="urn:microsoft.com/office/officeart/2005/8/layout/lProcess3"/>
    <dgm:cxn modelId="{BF939AF0-6FEA-4CB2-BA63-86B85896F2BB}" type="presOf" srcId="{9D77D418-C0CA-4BF5-BE77-E2C098A7E714}" destId="{04DF0BD9-BD58-447F-9CE0-3F686A50ACFD}" srcOrd="0" destOrd="0" presId="urn:microsoft.com/office/officeart/2005/8/layout/lProcess3"/>
    <dgm:cxn modelId="{0430038D-4D26-464A-A9AE-A3B9B9FB43F8}" srcId="{88F5F25D-1164-469A-8B32-9BFF89C205DF}" destId="{69C264FA-EBA1-429C-A152-2A7F716F85AF}" srcOrd="6" destOrd="0" parTransId="{36043C01-8356-484C-9859-B9B556404206}" sibTransId="{637E210E-B608-4D05-985D-268E2E564236}"/>
    <dgm:cxn modelId="{7E8080FC-8CCF-4E08-A332-4A3151555B11}" srcId="{88F5F25D-1164-469A-8B32-9BFF89C205DF}" destId="{51CED5F5-07FD-4A2D-A3A7-682746362794}" srcOrd="7" destOrd="0" parTransId="{8912C5A5-964B-42FF-9C65-024E8F442E0E}" sibTransId="{EB8C5ED5-B177-4134-8A5F-5CB3C03EB64A}"/>
    <dgm:cxn modelId="{9AA2091F-4F0F-4889-AAFA-B4065710AD96}" srcId="{88F5F25D-1164-469A-8B32-9BFF89C205DF}" destId="{9D77D418-C0CA-4BF5-BE77-E2C098A7E714}" srcOrd="2" destOrd="0" parTransId="{DC2A3065-547A-4BEA-B062-0FCF05FADA2B}" sibTransId="{6B06B20F-4649-4A1A-A6B9-AAC9AF2AB05C}"/>
    <dgm:cxn modelId="{44FF3A94-D237-479A-B696-0FBD93DB6DF5}" type="presOf" srcId="{03213475-4A59-470A-9C88-0E6140E020F2}" destId="{EAB26FB1-5F27-4C36-9258-FCA560EBF4A9}" srcOrd="0" destOrd="0" presId="urn:microsoft.com/office/officeart/2005/8/layout/lProcess3"/>
    <dgm:cxn modelId="{F0CE5982-9C70-4084-8A40-D9090B5C1E28}" type="presOf" srcId="{1EBFC517-FF9E-4040-B08B-33A8AADC3928}" destId="{568B9FAA-4CE6-4355-9603-C8FDE2F90B33}" srcOrd="0" destOrd="0" presId="urn:microsoft.com/office/officeart/2005/8/layout/lProcess3"/>
    <dgm:cxn modelId="{CA75CBCF-5E93-4AD6-8BDE-AA737DDE574A}" type="presOf" srcId="{69C264FA-EBA1-429C-A152-2A7F716F85AF}" destId="{71F78A99-0D15-46FC-883B-5016CA07D37A}" srcOrd="0" destOrd="0" presId="urn:microsoft.com/office/officeart/2005/8/layout/lProcess3"/>
    <dgm:cxn modelId="{4375A433-F5C1-4FC5-A3E9-DBA31369D16E}" type="presOf" srcId="{51CED5F5-07FD-4A2D-A3A7-682746362794}" destId="{0DA82BC4-B6C6-48A8-8AEC-1FDDF365AAD6}" srcOrd="0" destOrd="0" presId="urn:microsoft.com/office/officeart/2005/8/layout/lProcess3"/>
    <dgm:cxn modelId="{C7E8F4E5-DE54-4D89-83C9-19D54CDC4194}" type="presOf" srcId="{1084D23E-CB99-4ABE-B8BB-993CD4E783F8}" destId="{D01025D4-1B4B-4D45-9DAB-0020293F30BA}" srcOrd="0" destOrd="0" presId="urn:microsoft.com/office/officeart/2005/8/layout/lProcess3"/>
    <dgm:cxn modelId="{18990EC7-DAB4-4250-BC0F-F5E258BA1DD9}" srcId="{88F5F25D-1164-469A-8B32-9BFF89C205DF}" destId="{33AFC3C0-C2DD-4885-9D06-E386CC839BBA}" srcOrd="8" destOrd="0" parTransId="{5FEA010D-F587-4360-8A8A-68B733C20048}" sibTransId="{D2C2E5AC-B712-4723-9D66-F2BF4976A17B}"/>
    <dgm:cxn modelId="{91B1DE8D-34C5-42E7-B6C5-9397B650CDA8}" type="presOf" srcId="{33AFC3C0-C2DD-4885-9D06-E386CC839BBA}" destId="{4AC3ED48-F5EA-4C72-821E-00634B3E3CB4}" srcOrd="0" destOrd="0" presId="urn:microsoft.com/office/officeart/2005/8/layout/lProcess3"/>
    <dgm:cxn modelId="{83F894CD-720E-4FD4-8CBC-D9FBB8F97FCF}" srcId="{88F5F25D-1164-469A-8B32-9BFF89C205DF}" destId="{4522D048-6E80-4651-A5AD-EB98AB33A2BC}" srcOrd="4" destOrd="0" parTransId="{2B5A987D-32A7-455C-9DF3-2A746F6C889A}" sibTransId="{3689CD28-75F2-4FAB-93BE-65C2D4A05F30}"/>
    <dgm:cxn modelId="{FC07A659-D90E-4282-8F4A-C3793C3AEDBC}" srcId="{88F5F25D-1164-469A-8B32-9BFF89C205DF}" destId="{EA61C5D0-6508-4C2A-93A9-71F661AA1A14}" srcOrd="3" destOrd="0" parTransId="{EC85A9E5-885E-4547-97CE-7678681E8671}" sibTransId="{11993924-C249-42D8-A033-98691BFBB749}"/>
    <dgm:cxn modelId="{033CBDB8-9F4F-498D-AF12-7A9E39FE33D3}" type="presOf" srcId="{EA61C5D0-6508-4C2A-93A9-71F661AA1A14}" destId="{4DF77F13-AB85-4DFB-AFDD-D14538B13CAB}" srcOrd="0" destOrd="0" presId="urn:microsoft.com/office/officeart/2005/8/layout/lProcess3"/>
    <dgm:cxn modelId="{05D2D86C-7656-421D-9837-1DA32E0DD054}" type="presOf" srcId="{4522D048-6E80-4651-A5AD-EB98AB33A2BC}" destId="{6F18A4C6-0AAE-472B-8B5D-CC1604C8A141}" srcOrd="0" destOrd="0" presId="urn:microsoft.com/office/officeart/2005/8/layout/lProcess3"/>
    <dgm:cxn modelId="{B9A851D4-8A7E-4D59-8D03-B989EB60B30C}" srcId="{88F5F25D-1164-469A-8B32-9BFF89C205DF}" destId="{03213475-4A59-470A-9C88-0E6140E020F2}" srcOrd="1" destOrd="0" parTransId="{D1A49022-4B9B-4600-BDEA-D9BADD21AA67}" sibTransId="{1248161F-4809-430F-894B-2B7DA47014A7}"/>
    <dgm:cxn modelId="{88E33BF5-F847-44B5-8A2F-5B181BE7EEA1}" srcId="{88F5F25D-1164-469A-8B32-9BFF89C205DF}" destId="{1EBFC517-FF9E-4040-B08B-33A8AADC3928}" srcOrd="0" destOrd="0" parTransId="{0B6E81CD-6D27-4ED0-9F0A-1D8E3BCBDDEE}" sibTransId="{1FDB550C-9FD9-49C7-BD66-663326D1F726}"/>
    <dgm:cxn modelId="{A322F561-6684-4497-976F-036BDBB4DFF8}" srcId="{88F5F25D-1164-469A-8B32-9BFF89C205DF}" destId="{1084D23E-CB99-4ABE-B8BB-993CD4E783F8}" srcOrd="5" destOrd="0" parTransId="{D817F8A5-8CD1-421A-A74E-EE8C3027636E}" sibTransId="{7266F46D-E5A8-4508-B167-DDD021F63A25}"/>
    <dgm:cxn modelId="{1D5E0D44-20DA-45FC-BA40-E78215140A3F}" type="presParOf" srcId="{D86458AA-2375-4A15-8DB1-90C24E61A441}" destId="{7391EB38-400D-4F30-BF32-264B9C5B670C}" srcOrd="0" destOrd="0" presId="urn:microsoft.com/office/officeart/2005/8/layout/lProcess3"/>
    <dgm:cxn modelId="{8CC1B51A-8706-4826-8561-07072B68C92F}" type="presParOf" srcId="{7391EB38-400D-4F30-BF32-264B9C5B670C}" destId="{568B9FAA-4CE6-4355-9603-C8FDE2F90B33}" srcOrd="0" destOrd="0" presId="urn:microsoft.com/office/officeart/2005/8/layout/lProcess3"/>
    <dgm:cxn modelId="{6A3A8C69-945D-493A-BA7D-2432649906E0}" type="presParOf" srcId="{D86458AA-2375-4A15-8DB1-90C24E61A441}" destId="{44CAF2AD-F006-4061-831F-B133575A7FCC}" srcOrd="1" destOrd="0" presId="urn:microsoft.com/office/officeart/2005/8/layout/lProcess3"/>
    <dgm:cxn modelId="{24BB3C24-E27D-418D-853A-A11E98134200}" type="presParOf" srcId="{D86458AA-2375-4A15-8DB1-90C24E61A441}" destId="{F38D785A-57D4-4053-A033-C2AD1DCE3EED}" srcOrd="2" destOrd="0" presId="urn:microsoft.com/office/officeart/2005/8/layout/lProcess3"/>
    <dgm:cxn modelId="{74F94C0D-D0BF-4C3D-90F6-C4000CCC6BF0}" type="presParOf" srcId="{F38D785A-57D4-4053-A033-C2AD1DCE3EED}" destId="{EAB26FB1-5F27-4C36-9258-FCA560EBF4A9}" srcOrd="0" destOrd="0" presId="urn:microsoft.com/office/officeart/2005/8/layout/lProcess3"/>
    <dgm:cxn modelId="{E2CC03B3-F581-43DD-A280-07ED9CCD45CA}" type="presParOf" srcId="{D86458AA-2375-4A15-8DB1-90C24E61A441}" destId="{49A32811-02A6-43BD-9370-46D1421F7F14}" srcOrd="3" destOrd="0" presId="urn:microsoft.com/office/officeart/2005/8/layout/lProcess3"/>
    <dgm:cxn modelId="{883B57F7-452D-49C1-9AE7-5EBFD2D13883}" type="presParOf" srcId="{D86458AA-2375-4A15-8DB1-90C24E61A441}" destId="{65713D63-2E8C-466C-BB4F-0671265B0C34}" srcOrd="4" destOrd="0" presId="urn:microsoft.com/office/officeart/2005/8/layout/lProcess3"/>
    <dgm:cxn modelId="{86D5797E-79AF-44C1-8CD3-A6547D54688F}" type="presParOf" srcId="{65713D63-2E8C-466C-BB4F-0671265B0C34}" destId="{04DF0BD9-BD58-447F-9CE0-3F686A50ACFD}" srcOrd="0" destOrd="0" presId="urn:microsoft.com/office/officeart/2005/8/layout/lProcess3"/>
    <dgm:cxn modelId="{236CB1AC-02A5-4525-8098-5273AC561592}" type="presParOf" srcId="{D86458AA-2375-4A15-8DB1-90C24E61A441}" destId="{3C6FD98B-FABB-46FA-B058-18ED832667E8}" srcOrd="5" destOrd="0" presId="urn:microsoft.com/office/officeart/2005/8/layout/lProcess3"/>
    <dgm:cxn modelId="{30A1194D-DFE2-414E-ADFC-C5E3842B9529}" type="presParOf" srcId="{D86458AA-2375-4A15-8DB1-90C24E61A441}" destId="{899B5867-8CFC-4118-8AFF-3A040EA1F632}" srcOrd="6" destOrd="0" presId="urn:microsoft.com/office/officeart/2005/8/layout/lProcess3"/>
    <dgm:cxn modelId="{F2F99D30-6443-4B71-9BB8-AA9B5100F682}" type="presParOf" srcId="{899B5867-8CFC-4118-8AFF-3A040EA1F632}" destId="{4DF77F13-AB85-4DFB-AFDD-D14538B13CAB}" srcOrd="0" destOrd="0" presId="urn:microsoft.com/office/officeart/2005/8/layout/lProcess3"/>
    <dgm:cxn modelId="{C91247FA-2D73-4FD2-8659-12B7E2D310F0}" type="presParOf" srcId="{D86458AA-2375-4A15-8DB1-90C24E61A441}" destId="{1D21C3FF-7D71-4ADE-BB6E-7D1AC87FBB26}" srcOrd="7" destOrd="0" presId="urn:microsoft.com/office/officeart/2005/8/layout/lProcess3"/>
    <dgm:cxn modelId="{6FDE58CF-7B09-4BAE-84B1-C3793ACADC90}" type="presParOf" srcId="{D86458AA-2375-4A15-8DB1-90C24E61A441}" destId="{3977D66F-C03F-4269-B7CD-FBC1D1EF73D9}" srcOrd="8" destOrd="0" presId="urn:microsoft.com/office/officeart/2005/8/layout/lProcess3"/>
    <dgm:cxn modelId="{48832C06-1593-464E-9A36-9056210EDAC0}" type="presParOf" srcId="{3977D66F-C03F-4269-B7CD-FBC1D1EF73D9}" destId="{6F18A4C6-0AAE-472B-8B5D-CC1604C8A141}" srcOrd="0" destOrd="0" presId="urn:microsoft.com/office/officeart/2005/8/layout/lProcess3"/>
    <dgm:cxn modelId="{BD897A78-56FB-48AA-93BE-6CDA7A601F91}" type="presParOf" srcId="{D86458AA-2375-4A15-8DB1-90C24E61A441}" destId="{783D7A35-2560-432C-AB86-68594F79756E}" srcOrd="9" destOrd="0" presId="urn:microsoft.com/office/officeart/2005/8/layout/lProcess3"/>
    <dgm:cxn modelId="{700292C9-AD2F-4CC8-A5B8-AC065EA00932}" type="presParOf" srcId="{D86458AA-2375-4A15-8DB1-90C24E61A441}" destId="{9D55142D-AA26-4FC2-A531-C34906C2DCDE}" srcOrd="10" destOrd="0" presId="urn:microsoft.com/office/officeart/2005/8/layout/lProcess3"/>
    <dgm:cxn modelId="{5837BC91-4209-456F-8FA5-43BA42EEE462}" type="presParOf" srcId="{9D55142D-AA26-4FC2-A531-C34906C2DCDE}" destId="{D01025D4-1B4B-4D45-9DAB-0020293F30BA}" srcOrd="0" destOrd="0" presId="urn:microsoft.com/office/officeart/2005/8/layout/lProcess3"/>
    <dgm:cxn modelId="{9523765C-BDF6-4C0C-9339-2161669BABEC}" type="presParOf" srcId="{D86458AA-2375-4A15-8DB1-90C24E61A441}" destId="{291DC45A-A2A3-4F34-8EE2-CE9C06FC7310}" srcOrd="11" destOrd="0" presId="urn:microsoft.com/office/officeart/2005/8/layout/lProcess3"/>
    <dgm:cxn modelId="{81D963F5-65E2-4BB7-9362-0E41BDC3AEC8}" type="presParOf" srcId="{D86458AA-2375-4A15-8DB1-90C24E61A441}" destId="{69F8B09A-4754-4C77-B619-8D12128427A2}" srcOrd="12" destOrd="0" presId="urn:microsoft.com/office/officeart/2005/8/layout/lProcess3"/>
    <dgm:cxn modelId="{4CE0C0F9-698D-4B2C-9472-1E015BDEC72A}" type="presParOf" srcId="{69F8B09A-4754-4C77-B619-8D12128427A2}" destId="{71F78A99-0D15-46FC-883B-5016CA07D37A}" srcOrd="0" destOrd="0" presId="urn:microsoft.com/office/officeart/2005/8/layout/lProcess3"/>
    <dgm:cxn modelId="{FFD48232-F445-4972-8579-AEFB89063B04}" type="presParOf" srcId="{D86458AA-2375-4A15-8DB1-90C24E61A441}" destId="{40CB5F6A-C190-4DE2-81B7-A1340F31F4D9}" srcOrd="13" destOrd="0" presId="urn:microsoft.com/office/officeart/2005/8/layout/lProcess3"/>
    <dgm:cxn modelId="{70016268-EBAA-4E6D-B8CB-401F3DCFCA19}" type="presParOf" srcId="{D86458AA-2375-4A15-8DB1-90C24E61A441}" destId="{949B1F05-6307-4D77-9FA4-17811F3ED7D8}" srcOrd="14" destOrd="0" presId="urn:microsoft.com/office/officeart/2005/8/layout/lProcess3"/>
    <dgm:cxn modelId="{6B8E188C-17FF-4791-B82A-22E36B176781}" type="presParOf" srcId="{949B1F05-6307-4D77-9FA4-17811F3ED7D8}" destId="{0DA82BC4-B6C6-48A8-8AEC-1FDDF365AAD6}" srcOrd="0" destOrd="0" presId="urn:microsoft.com/office/officeart/2005/8/layout/lProcess3"/>
    <dgm:cxn modelId="{4ACBDE79-227A-4BC6-96B5-A21F1FF55506}" type="presParOf" srcId="{D86458AA-2375-4A15-8DB1-90C24E61A441}" destId="{A9139CD2-66D3-409D-AFAA-9A8635896276}" srcOrd="15" destOrd="0" presId="urn:microsoft.com/office/officeart/2005/8/layout/lProcess3"/>
    <dgm:cxn modelId="{6C123E32-39E6-460F-992D-4299240B82D5}" type="presParOf" srcId="{D86458AA-2375-4A15-8DB1-90C24E61A441}" destId="{031BB06C-9F61-4F23-B317-672473DA9604}" srcOrd="16" destOrd="0" presId="urn:microsoft.com/office/officeart/2005/8/layout/lProcess3"/>
    <dgm:cxn modelId="{81CC0ECF-316A-4E1F-92CC-A4F1ACDAB98D}" type="presParOf" srcId="{031BB06C-9F61-4F23-B317-672473DA9604}" destId="{4AC3ED48-F5EA-4C72-821E-00634B3E3CB4}" srcOrd="0" destOrd="0" presId="urn:microsoft.com/office/officeart/2005/8/layout/lProcess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362F44C-BD6B-4842-94CC-EDF795F73702}" type="doc">
      <dgm:prSet loTypeId="urn:microsoft.com/office/officeart/2005/8/layout/hProcess7" loCatId="list" qsTypeId="urn:microsoft.com/office/officeart/2005/8/quickstyle/simple1" qsCatId="simple" csTypeId="urn:microsoft.com/office/officeart/2005/8/colors/accent1_2" csCatId="accent1" phldr="1"/>
      <dgm:spPr/>
      <dgm:t>
        <a:bodyPr/>
        <a:lstStyle/>
        <a:p>
          <a:endParaRPr lang="es-AR"/>
        </a:p>
      </dgm:t>
    </dgm:pt>
    <dgm:pt modelId="{7BEAD1EF-7976-4A48-A737-C1680C15550C}">
      <dgm:prSet phldrT="[Texto]" custT="1"/>
      <dgm:spPr>
        <a:solidFill>
          <a:schemeClr val="accent1"/>
        </a:solidFill>
      </dgm:spPr>
      <dgm:t>
        <a:bodyPr/>
        <a:lstStyle/>
        <a:p>
          <a:pPr algn="l"/>
          <a:r>
            <a:rPr lang="es-AR" sz="1050" b="1"/>
            <a:t>DECODIFICADOR</a:t>
          </a:r>
          <a:endParaRPr lang="es-AR" sz="700" b="1"/>
        </a:p>
      </dgm:t>
    </dgm:pt>
    <dgm:pt modelId="{D3AF0650-D6F4-49AF-93EE-C0767DE8B9E6}" type="parTrans" cxnId="{9EAC7B30-1F5D-426F-8CE3-81361D1C3C53}">
      <dgm:prSet/>
      <dgm:spPr/>
      <dgm:t>
        <a:bodyPr/>
        <a:lstStyle/>
        <a:p>
          <a:endParaRPr lang="es-AR"/>
        </a:p>
      </dgm:t>
    </dgm:pt>
    <dgm:pt modelId="{F3533CD9-C047-401A-B321-833DA7AA9DE7}" type="sibTrans" cxnId="{9EAC7B30-1F5D-426F-8CE3-81361D1C3C53}">
      <dgm:prSet/>
      <dgm:spPr/>
      <dgm:t>
        <a:bodyPr/>
        <a:lstStyle/>
        <a:p>
          <a:endParaRPr lang="es-AR"/>
        </a:p>
      </dgm:t>
    </dgm:pt>
    <dgm:pt modelId="{21895CEB-D833-40E2-A883-5936927CAA5F}">
      <dgm:prSet phldrT="[Texto]" custT="1"/>
      <dgm:spPr/>
      <dgm:t>
        <a:bodyPr/>
        <a:lstStyle/>
        <a:p>
          <a:pPr algn="r"/>
          <a:r>
            <a:rPr lang="es-AR" sz="1000" i="1"/>
            <a:t>Código Binario</a:t>
          </a:r>
        </a:p>
      </dgm:t>
    </dgm:pt>
    <dgm:pt modelId="{16F51CA7-731D-44C8-86A4-DD2ED89F7154}" type="parTrans" cxnId="{7B32ECC3-FBF0-4107-AA36-52B5870BE238}">
      <dgm:prSet/>
      <dgm:spPr/>
      <dgm:t>
        <a:bodyPr/>
        <a:lstStyle/>
        <a:p>
          <a:endParaRPr lang="es-AR"/>
        </a:p>
      </dgm:t>
    </dgm:pt>
    <dgm:pt modelId="{E54A2AEB-13A9-4839-9D4C-C79B62945435}" type="sibTrans" cxnId="{7B32ECC3-FBF0-4107-AA36-52B5870BE238}">
      <dgm:prSet/>
      <dgm:spPr/>
      <dgm:t>
        <a:bodyPr/>
        <a:lstStyle/>
        <a:p>
          <a:endParaRPr lang="es-AR"/>
        </a:p>
      </dgm:t>
    </dgm:pt>
    <dgm:pt modelId="{20A474A9-B645-4E9C-B49B-BE44AA18C258}" type="pres">
      <dgm:prSet presAssocID="{D362F44C-BD6B-4842-94CC-EDF795F73702}" presName="Name0" presStyleCnt="0">
        <dgm:presLayoutVars>
          <dgm:dir/>
          <dgm:animLvl val="lvl"/>
          <dgm:resizeHandles val="exact"/>
        </dgm:presLayoutVars>
      </dgm:prSet>
      <dgm:spPr/>
      <dgm:t>
        <a:bodyPr/>
        <a:lstStyle/>
        <a:p>
          <a:endParaRPr lang="es-AR"/>
        </a:p>
      </dgm:t>
    </dgm:pt>
    <dgm:pt modelId="{1449528C-5A6D-415E-92EB-997CB4484CC5}" type="pres">
      <dgm:prSet presAssocID="{7BEAD1EF-7976-4A48-A737-C1680C15550C}" presName="compositeNode" presStyleCnt="0">
        <dgm:presLayoutVars>
          <dgm:bulletEnabled val="1"/>
        </dgm:presLayoutVars>
      </dgm:prSet>
      <dgm:spPr/>
    </dgm:pt>
    <dgm:pt modelId="{D3D23916-1F2C-41B9-8127-6E53CD136E68}" type="pres">
      <dgm:prSet presAssocID="{7BEAD1EF-7976-4A48-A737-C1680C15550C}" presName="bgRect" presStyleLbl="node1" presStyleIdx="0" presStyleCnt="1" custScaleY="412326" custLinFactNeighborX="49" custLinFactNeighborY="10283"/>
      <dgm:spPr/>
      <dgm:t>
        <a:bodyPr/>
        <a:lstStyle/>
        <a:p>
          <a:endParaRPr lang="es-AR"/>
        </a:p>
      </dgm:t>
    </dgm:pt>
    <dgm:pt modelId="{592787B2-35C0-4F7E-AE21-C0D6AFE9DDFE}" type="pres">
      <dgm:prSet presAssocID="{7BEAD1EF-7976-4A48-A737-C1680C15550C}" presName="parentNode" presStyleLbl="node1" presStyleIdx="0" presStyleCnt="1">
        <dgm:presLayoutVars>
          <dgm:chMax val="0"/>
          <dgm:bulletEnabled val="1"/>
        </dgm:presLayoutVars>
      </dgm:prSet>
      <dgm:spPr/>
      <dgm:t>
        <a:bodyPr/>
        <a:lstStyle/>
        <a:p>
          <a:endParaRPr lang="es-AR"/>
        </a:p>
      </dgm:t>
    </dgm:pt>
    <dgm:pt modelId="{B852DAA4-4532-47A8-A0E2-6DB45AD26584}" type="pres">
      <dgm:prSet presAssocID="{7BEAD1EF-7976-4A48-A737-C1680C15550C}" presName="childNode" presStyleLbl="node1" presStyleIdx="0" presStyleCnt="1">
        <dgm:presLayoutVars>
          <dgm:bulletEnabled val="1"/>
        </dgm:presLayoutVars>
      </dgm:prSet>
      <dgm:spPr/>
      <dgm:t>
        <a:bodyPr/>
        <a:lstStyle/>
        <a:p>
          <a:endParaRPr lang="es-AR"/>
        </a:p>
      </dgm:t>
    </dgm:pt>
  </dgm:ptLst>
  <dgm:cxnLst>
    <dgm:cxn modelId="{7B32ECC3-FBF0-4107-AA36-52B5870BE238}" srcId="{7BEAD1EF-7976-4A48-A737-C1680C15550C}" destId="{21895CEB-D833-40E2-A883-5936927CAA5F}" srcOrd="0" destOrd="0" parTransId="{16F51CA7-731D-44C8-86A4-DD2ED89F7154}" sibTransId="{E54A2AEB-13A9-4839-9D4C-C79B62945435}"/>
    <dgm:cxn modelId="{A09D8F96-A812-4DF9-AD51-34EC10B22FA7}" type="presOf" srcId="{7BEAD1EF-7976-4A48-A737-C1680C15550C}" destId="{592787B2-35C0-4F7E-AE21-C0D6AFE9DDFE}" srcOrd="1" destOrd="0" presId="urn:microsoft.com/office/officeart/2005/8/layout/hProcess7"/>
    <dgm:cxn modelId="{F1BEE958-0178-4C74-90C2-245912F85194}" type="presOf" srcId="{21895CEB-D833-40E2-A883-5936927CAA5F}" destId="{B852DAA4-4532-47A8-A0E2-6DB45AD26584}" srcOrd="0" destOrd="0" presId="urn:microsoft.com/office/officeart/2005/8/layout/hProcess7"/>
    <dgm:cxn modelId="{6EF945E8-8EDF-408A-81E8-15BF25B85DF1}" type="presOf" srcId="{D362F44C-BD6B-4842-94CC-EDF795F73702}" destId="{20A474A9-B645-4E9C-B49B-BE44AA18C258}" srcOrd="0" destOrd="0" presId="urn:microsoft.com/office/officeart/2005/8/layout/hProcess7"/>
    <dgm:cxn modelId="{9EAC7B30-1F5D-426F-8CE3-81361D1C3C53}" srcId="{D362F44C-BD6B-4842-94CC-EDF795F73702}" destId="{7BEAD1EF-7976-4A48-A737-C1680C15550C}" srcOrd="0" destOrd="0" parTransId="{D3AF0650-D6F4-49AF-93EE-C0767DE8B9E6}" sibTransId="{F3533CD9-C047-401A-B321-833DA7AA9DE7}"/>
    <dgm:cxn modelId="{10A729DA-AF88-460C-B5FB-A038CBF3BFAA}" type="presOf" srcId="{7BEAD1EF-7976-4A48-A737-C1680C15550C}" destId="{D3D23916-1F2C-41B9-8127-6E53CD136E68}" srcOrd="0" destOrd="0" presId="urn:microsoft.com/office/officeart/2005/8/layout/hProcess7"/>
    <dgm:cxn modelId="{553F4FC2-A74C-4A7B-BB85-7E690FA2DD1E}" type="presParOf" srcId="{20A474A9-B645-4E9C-B49B-BE44AA18C258}" destId="{1449528C-5A6D-415E-92EB-997CB4484CC5}" srcOrd="0" destOrd="0" presId="urn:microsoft.com/office/officeart/2005/8/layout/hProcess7"/>
    <dgm:cxn modelId="{B0980BD6-DAE7-489A-877F-404645D9AB90}" type="presParOf" srcId="{1449528C-5A6D-415E-92EB-997CB4484CC5}" destId="{D3D23916-1F2C-41B9-8127-6E53CD136E68}" srcOrd="0" destOrd="0" presId="urn:microsoft.com/office/officeart/2005/8/layout/hProcess7"/>
    <dgm:cxn modelId="{224AB192-0FAE-4788-B16F-159902B9FC29}" type="presParOf" srcId="{1449528C-5A6D-415E-92EB-997CB4484CC5}" destId="{592787B2-35C0-4F7E-AE21-C0D6AFE9DDFE}" srcOrd="1" destOrd="0" presId="urn:microsoft.com/office/officeart/2005/8/layout/hProcess7"/>
    <dgm:cxn modelId="{996B9756-91FD-473B-A3E1-38F7C1745653}" type="presParOf" srcId="{1449528C-5A6D-415E-92EB-997CB4484CC5}" destId="{B852DAA4-4532-47A8-A0E2-6DB45AD26584}" srcOrd="2" destOrd="0" presId="urn:microsoft.com/office/officeart/2005/8/layout/hProcess7"/>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8F5F25D-1164-469A-8B32-9BFF89C205DF}"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es-AR"/>
        </a:p>
      </dgm:t>
    </dgm:pt>
    <dgm:pt modelId="{1EBFC517-FF9E-4040-B08B-33A8AADC3928}">
      <dgm:prSet phldrT="[Texto]" custT="1"/>
      <dgm:spPr>
        <a:solidFill>
          <a:schemeClr val="accent3">
            <a:lumMod val="75000"/>
          </a:schemeClr>
        </a:solidFill>
      </dgm:spPr>
      <dgm:t>
        <a:bodyPr/>
        <a:lstStyle/>
        <a:p>
          <a:r>
            <a:rPr lang="es-AR" sz="1600"/>
            <a:t>MSB</a:t>
          </a:r>
        </a:p>
      </dgm:t>
    </dgm:pt>
    <dgm:pt modelId="{0B6E81CD-6D27-4ED0-9F0A-1D8E3BCBDDEE}" type="parTrans" cxnId="{88E33BF5-F847-44B5-8A2F-5B181BE7EEA1}">
      <dgm:prSet/>
      <dgm:spPr/>
      <dgm:t>
        <a:bodyPr/>
        <a:lstStyle/>
        <a:p>
          <a:endParaRPr lang="es-AR"/>
        </a:p>
      </dgm:t>
    </dgm:pt>
    <dgm:pt modelId="{1FDB550C-9FD9-49C7-BD66-663326D1F726}" type="sibTrans" cxnId="{88E33BF5-F847-44B5-8A2F-5B181BE7EEA1}">
      <dgm:prSet/>
      <dgm:spPr/>
      <dgm:t>
        <a:bodyPr/>
        <a:lstStyle/>
        <a:p>
          <a:endParaRPr lang="es-AR"/>
        </a:p>
      </dgm:t>
    </dgm:pt>
    <dgm:pt modelId="{03213475-4A59-470A-9C88-0E6140E020F2}">
      <dgm:prSet phldrT="[Texto]" custT="1"/>
      <dgm:spPr>
        <a:solidFill>
          <a:schemeClr val="accent3">
            <a:lumMod val="75000"/>
          </a:schemeClr>
        </a:solidFill>
      </dgm:spPr>
      <dgm:t>
        <a:bodyPr/>
        <a:lstStyle/>
        <a:p>
          <a:r>
            <a:rPr lang="es-AR" sz="1600"/>
            <a:t>5SB</a:t>
          </a:r>
        </a:p>
      </dgm:t>
    </dgm:pt>
    <dgm:pt modelId="{D1A49022-4B9B-4600-BDEA-D9BADD21AA67}" type="parTrans" cxnId="{B9A851D4-8A7E-4D59-8D03-B989EB60B30C}">
      <dgm:prSet/>
      <dgm:spPr/>
      <dgm:t>
        <a:bodyPr/>
        <a:lstStyle/>
        <a:p>
          <a:endParaRPr lang="es-AR"/>
        </a:p>
      </dgm:t>
    </dgm:pt>
    <dgm:pt modelId="{1248161F-4809-430F-894B-2B7DA47014A7}" type="sibTrans" cxnId="{B9A851D4-8A7E-4D59-8D03-B989EB60B30C}">
      <dgm:prSet/>
      <dgm:spPr/>
      <dgm:t>
        <a:bodyPr/>
        <a:lstStyle/>
        <a:p>
          <a:endParaRPr lang="es-AR"/>
        </a:p>
      </dgm:t>
    </dgm:pt>
    <dgm:pt modelId="{9D77D418-C0CA-4BF5-BE77-E2C098A7E714}">
      <dgm:prSet phldrT="[Texto]" custT="1"/>
      <dgm:spPr>
        <a:solidFill>
          <a:schemeClr val="accent3">
            <a:lumMod val="75000"/>
          </a:schemeClr>
        </a:solidFill>
      </dgm:spPr>
      <dgm:t>
        <a:bodyPr/>
        <a:lstStyle/>
        <a:p>
          <a:r>
            <a:rPr lang="es-AR" sz="1600"/>
            <a:t>LSB</a:t>
          </a:r>
        </a:p>
      </dgm:t>
    </dgm:pt>
    <dgm:pt modelId="{DC2A3065-547A-4BEA-B062-0FCF05FADA2B}" type="parTrans" cxnId="{9AA2091F-4F0F-4889-AAFA-B4065710AD96}">
      <dgm:prSet/>
      <dgm:spPr/>
      <dgm:t>
        <a:bodyPr/>
        <a:lstStyle/>
        <a:p>
          <a:endParaRPr lang="es-AR"/>
        </a:p>
      </dgm:t>
    </dgm:pt>
    <dgm:pt modelId="{6B06B20F-4649-4A1A-A6B9-AAC9AF2AB05C}" type="sibTrans" cxnId="{9AA2091F-4F0F-4889-AAFA-B4065710AD96}">
      <dgm:prSet/>
      <dgm:spPr/>
      <dgm:t>
        <a:bodyPr/>
        <a:lstStyle/>
        <a:p>
          <a:endParaRPr lang="es-AR"/>
        </a:p>
      </dgm:t>
    </dgm:pt>
    <dgm:pt modelId="{1A3C8E8B-63C1-45FB-969A-58FC30FF5667}">
      <dgm:prSet phldrT="[Texto]" custT="1"/>
      <dgm:spPr>
        <a:solidFill>
          <a:schemeClr val="accent3">
            <a:lumMod val="75000"/>
          </a:schemeClr>
        </a:solidFill>
      </dgm:spPr>
      <dgm:t>
        <a:bodyPr/>
        <a:lstStyle/>
        <a:p>
          <a:r>
            <a:rPr lang="es-AR" sz="1600"/>
            <a:t>4SB</a:t>
          </a:r>
        </a:p>
      </dgm:t>
    </dgm:pt>
    <dgm:pt modelId="{69741CD2-7DB8-4655-A639-7E683F63332E}" type="parTrans" cxnId="{C895B651-FF4D-4246-A6A2-8882F93DC3C6}">
      <dgm:prSet/>
      <dgm:spPr/>
      <dgm:t>
        <a:bodyPr/>
        <a:lstStyle/>
        <a:p>
          <a:endParaRPr lang="es-AR"/>
        </a:p>
      </dgm:t>
    </dgm:pt>
    <dgm:pt modelId="{F4839D87-0D25-4283-B258-82597CB6AD35}" type="sibTrans" cxnId="{C895B651-FF4D-4246-A6A2-8882F93DC3C6}">
      <dgm:prSet/>
      <dgm:spPr/>
      <dgm:t>
        <a:bodyPr/>
        <a:lstStyle/>
        <a:p>
          <a:endParaRPr lang="es-AR"/>
        </a:p>
      </dgm:t>
    </dgm:pt>
    <dgm:pt modelId="{688B353D-AA6D-44A3-89FB-28E58C3BFF6D}">
      <dgm:prSet phldrT="[Texto]" custT="1"/>
      <dgm:spPr>
        <a:solidFill>
          <a:schemeClr val="accent3">
            <a:lumMod val="75000"/>
          </a:schemeClr>
        </a:solidFill>
      </dgm:spPr>
      <dgm:t>
        <a:bodyPr/>
        <a:lstStyle/>
        <a:p>
          <a:r>
            <a:rPr lang="es-AR" sz="1600"/>
            <a:t>3SB</a:t>
          </a:r>
        </a:p>
      </dgm:t>
    </dgm:pt>
    <dgm:pt modelId="{9373AEB8-CF9E-4E24-9355-2F63E69E1F9C}" type="parTrans" cxnId="{3262080E-2363-4AEC-B5C3-9A5657F1E5C7}">
      <dgm:prSet/>
      <dgm:spPr/>
      <dgm:t>
        <a:bodyPr/>
        <a:lstStyle/>
        <a:p>
          <a:endParaRPr lang="es-AR"/>
        </a:p>
      </dgm:t>
    </dgm:pt>
    <dgm:pt modelId="{F7BA7A67-E1BD-4924-B009-0062389B685B}" type="sibTrans" cxnId="{3262080E-2363-4AEC-B5C3-9A5657F1E5C7}">
      <dgm:prSet/>
      <dgm:spPr/>
      <dgm:t>
        <a:bodyPr/>
        <a:lstStyle/>
        <a:p>
          <a:endParaRPr lang="es-AR"/>
        </a:p>
      </dgm:t>
    </dgm:pt>
    <dgm:pt modelId="{9DBE650A-6C0C-49B2-9611-31B06BD2D99B}">
      <dgm:prSet phldrT="[Texto]" custT="1"/>
      <dgm:spPr>
        <a:solidFill>
          <a:schemeClr val="accent3">
            <a:lumMod val="75000"/>
          </a:schemeClr>
        </a:solidFill>
      </dgm:spPr>
      <dgm:t>
        <a:bodyPr/>
        <a:lstStyle/>
        <a:p>
          <a:r>
            <a:rPr lang="es-AR" sz="1600"/>
            <a:t>2SB</a:t>
          </a:r>
        </a:p>
      </dgm:t>
    </dgm:pt>
    <dgm:pt modelId="{C0382984-4AFF-4B6A-B7CA-50AA4BFCE509}" type="parTrans" cxnId="{E2A92ED4-A422-43CD-8F65-F3F27A1CC586}">
      <dgm:prSet/>
      <dgm:spPr/>
      <dgm:t>
        <a:bodyPr/>
        <a:lstStyle/>
        <a:p>
          <a:endParaRPr lang="es-AR"/>
        </a:p>
      </dgm:t>
    </dgm:pt>
    <dgm:pt modelId="{210D8E5F-7395-41ED-AD51-44E38B1BC38A}" type="sibTrans" cxnId="{E2A92ED4-A422-43CD-8F65-F3F27A1CC586}">
      <dgm:prSet/>
      <dgm:spPr/>
      <dgm:t>
        <a:bodyPr/>
        <a:lstStyle/>
        <a:p>
          <a:endParaRPr lang="es-AR"/>
        </a:p>
      </dgm:t>
    </dgm:pt>
    <dgm:pt modelId="{D86458AA-2375-4A15-8DB1-90C24E61A441}" type="pres">
      <dgm:prSet presAssocID="{88F5F25D-1164-469A-8B32-9BFF89C205DF}" presName="Name0" presStyleCnt="0">
        <dgm:presLayoutVars>
          <dgm:chPref val="3"/>
          <dgm:dir/>
          <dgm:animLvl val="lvl"/>
          <dgm:resizeHandles/>
        </dgm:presLayoutVars>
      </dgm:prSet>
      <dgm:spPr/>
      <dgm:t>
        <a:bodyPr/>
        <a:lstStyle/>
        <a:p>
          <a:endParaRPr lang="es-AR"/>
        </a:p>
      </dgm:t>
    </dgm:pt>
    <dgm:pt modelId="{7391EB38-400D-4F30-BF32-264B9C5B670C}" type="pres">
      <dgm:prSet presAssocID="{1EBFC517-FF9E-4040-B08B-33A8AADC3928}" presName="horFlow" presStyleCnt="0"/>
      <dgm:spPr/>
    </dgm:pt>
    <dgm:pt modelId="{568B9FAA-4CE6-4355-9603-C8FDE2F90B33}" type="pres">
      <dgm:prSet presAssocID="{1EBFC517-FF9E-4040-B08B-33A8AADC3928}" presName="bigChev" presStyleLbl="node1" presStyleIdx="0" presStyleCnt="6" custLinFactNeighborY="10537"/>
      <dgm:spPr/>
      <dgm:t>
        <a:bodyPr/>
        <a:lstStyle/>
        <a:p>
          <a:endParaRPr lang="es-AR"/>
        </a:p>
      </dgm:t>
    </dgm:pt>
    <dgm:pt modelId="{44CAF2AD-F006-4061-831F-B133575A7FCC}" type="pres">
      <dgm:prSet presAssocID="{1EBFC517-FF9E-4040-B08B-33A8AADC3928}" presName="vSp" presStyleCnt="0"/>
      <dgm:spPr/>
    </dgm:pt>
    <dgm:pt modelId="{F38D785A-57D4-4053-A033-C2AD1DCE3EED}" type="pres">
      <dgm:prSet presAssocID="{03213475-4A59-470A-9C88-0E6140E020F2}" presName="horFlow" presStyleCnt="0"/>
      <dgm:spPr/>
    </dgm:pt>
    <dgm:pt modelId="{EAB26FB1-5F27-4C36-9258-FCA560EBF4A9}" type="pres">
      <dgm:prSet presAssocID="{03213475-4A59-470A-9C88-0E6140E020F2}" presName="bigChev" presStyleLbl="node1" presStyleIdx="1" presStyleCnt="6" custLinFactNeighborX="92" custLinFactNeighborY="8413"/>
      <dgm:spPr/>
      <dgm:t>
        <a:bodyPr/>
        <a:lstStyle/>
        <a:p>
          <a:endParaRPr lang="es-AR"/>
        </a:p>
      </dgm:t>
    </dgm:pt>
    <dgm:pt modelId="{49A32811-02A6-43BD-9370-46D1421F7F14}" type="pres">
      <dgm:prSet presAssocID="{03213475-4A59-470A-9C88-0E6140E020F2}" presName="vSp" presStyleCnt="0"/>
      <dgm:spPr/>
    </dgm:pt>
    <dgm:pt modelId="{65713D63-2E8C-466C-BB4F-0671265B0C34}" type="pres">
      <dgm:prSet presAssocID="{9D77D418-C0CA-4BF5-BE77-E2C098A7E714}" presName="horFlow" presStyleCnt="0"/>
      <dgm:spPr/>
    </dgm:pt>
    <dgm:pt modelId="{04DF0BD9-BD58-447F-9CE0-3F686A50ACFD}" type="pres">
      <dgm:prSet presAssocID="{9D77D418-C0CA-4BF5-BE77-E2C098A7E714}" presName="bigChev" presStyleLbl="node1" presStyleIdx="2" presStyleCnt="6" custLinFactY="138948" custLinFactNeighborX="92" custLinFactNeighborY="200000"/>
      <dgm:spPr/>
      <dgm:t>
        <a:bodyPr/>
        <a:lstStyle/>
        <a:p>
          <a:endParaRPr lang="es-AR"/>
        </a:p>
      </dgm:t>
    </dgm:pt>
    <dgm:pt modelId="{DFF7D72B-578E-442A-ACB9-C5606E23BDE3}" type="pres">
      <dgm:prSet presAssocID="{9D77D418-C0CA-4BF5-BE77-E2C098A7E714}" presName="vSp" presStyleCnt="0"/>
      <dgm:spPr/>
    </dgm:pt>
    <dgm:pt modelId="{EF2482EC-F746-4BAC-8F00-A80869506A9D}" type="pres">
      <dgm:prSet presAssocID="{1A3C8E8B-63C1-45FB-969A-58FC30FF5667}" presName="horFlow" presStyleCnt="0"/>
      <dgm:spPr/>
    </dgm:pt>
    <dgm:pt modelId="{FAABD09F-03BB-4905-8EDB-129BE4BC1DD8}" type="pres">
      <dgm:prSet presAssocID="{1A3C8E8B-63C1-45FB-969A-58FC30FF5667}" presName="bigChev" presStyleLbl="node1" presStyleIdx="3" presStyleCnt="6" custLinFactY="-6679" custLinFactNeighborX="92" custLinFactNeighborY="-100000"/>
      <dgm:spPr/>
      <dgm:t>
        <a:bodyPr/>
        <a:lstStyle/>
        <a:p>
          <a:endParaRPr lang="es-AR"/>
        </a:p>
      </dgm:t>
    </dgm:pt>
    <dgm:pt modelId="{545B1DDE-4A03-4A59-BED8-8ED842B7A95D}" type="pres">
      <dgm:prSet presAssocID="{1A3C8E8B-63C1-45FB-969A-58FC30FF5667}" presName="vSp" presStyleCnt="0"/>
      <dgm:spPr/>
    </dgm:pt>
    <dgm:pt modelId="{0EC6E9CD-4260-4357-90CE-539E7507E295}" type="pres">
      <dgm:prSet presAssocID="{688B353D-AA6D-44A3-89FB-28E58C3BFF6D}" presName="horFlow" presStyleCnt="0"/>
      <dgm:spPr/>
    </dgm:pt>
    <dgm:pt modelId="{D1244001-5F5B-4529-B00C-280E5149C8F3}" type="pres">
      <dgm:prSet presAssocID="{688B353D-AA6D-44A3-89FB-28E58C3BFF6D}" presName="bigChev" presStyleLbl="node1" presStyleIdx="4" presStyleCnt="6" custLinFactY="-6678" custLinFactNeighborX="92" custLinFactNeighborY="-100000"/>
      <dgm:spPr/>
      <dgm:t>
        <a:bodyPr/>
        <a:lstStyle/>
        <a:p>
          <a:endParaRPr lang="es-AR"/>
        </a:p>
      </dgm:t>
    </dgm:pt>
    <dgm:pt modelId="{C70CAA6C-5E6A-4349-A177-8FD0FDDC45C5}" type="pres">
      <dgm:prSet presAssocID="{688B353D-AA6D-44A3-89FB-28E58C3BFF6D}" presName="vSp" presStyleCnt="0"/>
      <dgm:spPr/>
    </dgm:pt>
    <dgm:pt modelId="{775DB5A5-F0F1-468B-B89C-B9C0D89FFCF7}" type="pres">
      <dgm:prSet presAssocID="{9DBE650A-6C0C-49B2-9611-31B06BD2D99B}" presName="horFlow" presStyleCnt="0"/>
      <dgm:spPr/>
    </dgm:pt>
    <dgm:pt modelId="{D37E9E4F-69AA-45A1-883D-D7E3D0AC39D5}" type="pres">
      <dgm:prSet presAssocID="{9DBE650A-6C0C-49B2-9611-31B06BD2D99B}" presName="bigChev" presStyleLbl="node1" presStyleIdx="5" presStyleCnt="6" custLinFactY="-14264" custLinFactNeighborX="92" custLinFactNeighborY="-100000"/>
      <dgm:spPr/>
      <dgm:t>
        <a:bodyPr/>
        <a:lstStyle/>
        <a:p>
          <a:endParaRPr lang="es-AR"/>
        </a:p>
      </dgm:t>
    </dgm:pt>
  </dgm:ptLst>
  <dgm:cxnLst>
    <dgm:cxn modelId="{03202735-263B-4BBD-B0BE-9C5B829E55E9}" type="presOf" srcId="{03213475-4A59-470A-9C88-0E6140E020F2}" destId="{EAB26FB1-5F27-4C36-9258-FCA560EBF4A9}" srcOrd="0" destOrd="0" presId="urn:microsoft.com/office/officeart/2005/8/layout/lProcess3"/>
    <dgm:cxn modelId="{B8FB3EA2-026E-435A-88D8-8BBC90B4EF57}" type="presOf" srcId="{1A3C8E8B-63C1-45FB-969A-58FC30FF5667}" destId="{FAABD09F-03BB-4905-8EDB-129BE4BC1DD8}" srcOrd="0" destOrd="0" presId="urn:microsoft.com/office/officeart/2005/8/layout/lProcess3"/>
    <dgm:cxn modelId="{88E33BF5-F847-44B5-8A2F-5B181BE7EEA1}" srcId="{88F5F25D-1164-469A-8B32-9BFF89C205DF}" destId="{1EBFC517-FF9E-4040-B08B-33A8AADC3928}" srcOrd="0" destOrd="0" parTransId="{0B6E81CD-6D27-4ED0-9F0A-1D8E3BCBDDEE}" sibTransId="{1FDB550C-9FD9-49C7-BD66-663326D1F726}"/>
    <dgm:cxn modelId="{9AA2091F-4F0F-4889-AAFA-B4065710AD96}" srcId="{88F5F25D-1164-469A-8B32-9BFF89C205DF}" destId="{9D77D418-C0CA-4BF5-BE77-E2C098A7E714}" srcOrd="2" destOrd="0" parTransId="{DC2A3065-547A-4BEA-B062-0FCF05FADA2B}" sibTransId="{6B06B20F-4649-4A1A-A6B9-AAC9AF2AB05C}"/>
    <dgm:cxn modelId="{D04714AB-088E-4C7B-AB93-5CE66E3E8EBF}" type="presOf" srcId="{1EBFC517-FF9E-4040-B08B-33A8AADC3928}" destId="{568B9FAA-4CE6-4355-9603-C8FDE2F90B33}" srcOrd="0" destOrd="0" presId="urn:microsoft.com/office/officeart/2005/8/layout/lProcess3"/>
    <dgm:cxn modelId="{B2CFD1D1-AE25-4653-9907-BF542D99837E}" type="presOf" srcId="{688B353D-AA6D-44A3-89FB-28E58C3BFF6D}" destId="{D1244001-5F5B-4529-B00C-280E5149C8F3}" srcOrd="0" destOrd="0" presId="urn:microsoft.com/office/officeart/2005/8/layout/lProcess3"/>
    <dgm:cxn modelId="{C46C850E-7517-4DBE-9A0B-F53DC3DF5AB2}" type="presOf" srcId="{9D77D418-C0CA-4BF5-BE77-E2C098A7E714}" destId="{04DF0BD9-BD58-447F-9CE0-3F686A50ACFD}" srcOrd="0" destOrd="0" presId="urn:microsoft.com/office/officeart/2005/8/layout/lProcess3"/>
    <dgm:cxn modelId="{13F6F233-83BD-46A7-A9C7-6D721EF9DDCB}" type="presOf" srcId="{9DBE650A-6C0C-49B2-9611-31B06BD2D99B}" destId="{D37E9E4F-69AA-45A1-883D-D7E3D0AC39D5}" srcOrd="0" destOrd="0" presId="urn:microsoft.com/office/officeart/2005/8/layout/lProcess3"/>
    <dgm:cxn modelId="{9EF0831F-61CB-463B-A1F5-9AF9EFBC0C79}" type="presOf" srcId="{88F5F25D-1164-469A-8B32-9BFF89C205DF}" destId="{D86458AA-2375-4A15-8DB1-90C24E61A441}" srcOrd="0" destOrd="0" presId="urn:microsoft.com/office/officeart/2005/8/layout/lProcess3"/>
    <dgm:cxn modelId="{E2A92ED4-A422-43CD-8F65-F3F27A1CC586}" srcId="{88F5F25D-1164-469A-8B32-9BFF89C205DF}" destId="{9DBE650A-6C0C-49B2-9611-31B06BD2D99B}" srcOrd="5" destOrd="0" parTransId="{C0382984-4AFF-4B6A-B7CA-50AA4BFCE509}" sibTransId="{210D8E5F-7395-41ED-AD51-44E38B1BC38A}"/>
    <dgm:cxn modelId="{C895B651-FF4D-4246-A6A2-8882F93DC3C6}" srcId="{88F5F25D-1164-469A-8B32-9BFF89C205DF}" destId="{1A3C8E8B-63C1-45FB-969A-58FC30FF5667}" srcOrd="3" destOrd="0" parTransId="{69741CD2-7DB8-4655-A639-7E683F63332E}" sibTransId="{F4839D87-0D25-4283-B258-82597CB6AD35}"/>
    <dgm:cxn modelId="{3262080E-2363-4AEC-B5C3-9A5657F1E5C7}" srcId="{88F5F25D-1164-469A-8B32-9BFF89C205DF}" destId="{688B353D-AA6D-44A3-89FB-28E58C3BFF6D}" srcOrd="4" destOrd="0" parTransId="{9373AEB8-CF9E-4E24-9355-2F63E69E1F9C}" sibTransId="{F7BA7A67-E1BD-4924-B009-0062389B685B}"/>
    <dgm:cxn modelId="{B9A851D4-8A7E-4D59-8D03-B989EB60B30C}" srcId="{88F5F25D-1164-469A-8B32-9BFF89C205DF}" destId="{03213475-4A59-470A-9C88-0E6140E020F2}" srcOrd="1" destOrd="0" parTransId="{D1A49022-4B9B-4600-BDEA-D9BADD21AA67}" sibTransId="{1248161F-4809-430F-894B-2B7DA47014A7}"/>
    <dgm:cxn modelId="{734A17BB-0873-47B7-B0F6-28448E3CB918}" type="presParOf" srcId="{D86458AA-2375-4A15-8DB1-90C24E61A441}" destId="{7391EB38-400D-4F30-BF32-264B9C5B670C}" srcOrd="0" destOrd="0" presId="urn:microsoft.com/office/officeart/2005/8/layout/lProcess3"/>
    <dgm:cxn modelId="{A8983D8A-4EB8-4A4D-BD26-E7EE3E5DBA28}" type="presParOf" srcId="{7391EB38-400D-4F30-BF32-264B9C5B670C}" destId="{568B9FAA-4CE6-4355-9603-C8FDE2F90B33}" srcOrd="0" destOrd="0" presId="urn:microsoft.com/office/officeart/2005/8/layout/lProcess3"/>
    <dgm:cxn modelId="{46F84E97-4C24-4BB6-BF4C-AB30BBA6C571}" type="presParOf" srcId="{D86458AA-2375-4A15-8DB1-90C24E61A441}" destId="{44CAF2AD-F006-4061-831F-B133575A7FCC}" srcOrd="1" destOrd="0" presId="urn:microsoft.com/office/officeart/2005/8/layout/lProcess3"/>
    <dgm:cxn modelId="{B64077FF-CBEA-42A7-B7F0-656A24DC5766}" type="presParOf" srcId="{D86458AA-2375-4A15-8DB1-90C24E61A441}" destId="{F38D785A-57D4-4053-A033-C2AD1DCE3EED}" srcOrd="2" destOrd="0" presId="urn:microsoft.com/office/officeart/2005/8/layout/lProcess3"/>
    <dgm:cxn modelId="{8BA9009D-7D0D-4A2B-B42D-33905A644CEF}" type="presParOf" srcId="{F38D785A-57D4-4053-A033-C2AD1DCE3EED}" destId="{EAB26FB1-5F27-4C36-9258-FCA560EBF4A9}" srcOrd="0" destOrd="0" presId="urn:microsoft.com/office/officeart/2005/8/layout/lProcess3"/>
    <dgm:cxn modelId="{7F308F1C-CEA3-4325-9492-F258C71B289B}" type="presParOf" srcId="{D86458AA-2375-4A15-8DB1-90C24E61A441}" destId="{49A32811-02A6-43BD-9370-46D1421F7F14}" srcOrd="3" destOrd="0" presId="urn:microsoft.com/office/officeart/2005/8/layout/lProcess3"/>
    <dgm:cxn modelId="{6E15034F-5D7B-4A1E-AD5C-BBD86FA912CF}" type="presParOf" srcId="{D86458AA-2375-4A15-8DB1-90C24E61A441}" destId="{65713D63-2E8C-466C-BB4F-0671265B0C34}" srcOrd="4" destOrd="0" presId="urn:microsoft.com/office/officeart/2005/8/layout/lProcess3"/>
    <dgm:cxn modelId="{B3B0D36E-3A95-41E0-9FCC-B7F3DB2C4903}" type="presParOf" srcId="{65713D63-2E8C-466C-BB4F-0671265B0C34}" destId="{04DF0BD9-BD58-447F-9CE0-3F686A50ACFD}" srcOrd="0" destOrd="0" presId="urn:microsoft.com/office/officeart/2005/8/layout/lProcess3"/>
    <dgm:cxn modelId="{234A63E0-28CA-4DC1-AB8A-919165149162}" type="presParOf" srcId="{D86458AA-2375-4A15-8DB1-90C24E61A441}" destId="{DFF7D72B-578E-442A-ACB9-C5606E23BDE3}" srcOrd="5" destOrd="0" presId="urn:microsoft.com/office/officeart/2005/8/layout/lProcess3"/>
    <dgm:cxn modelId="{7092A0CC-2D2C-4341-970F-BC7DC2B881AC}" type="presParOf" srcId="{D86458AA-2375-4A15-8DB1-90C24E61A441}" destId="{EF2482EC-F746-4BAC-8F00-A80869506A9D}" srcOrd="6" destOrd="0" presId="urn:microsoft.com/office/officeart/2005/8/layout/lProcess3"/>
    <dgm:cxn modelId="{E2ED58AF-72FC-405D-A2A8-C28F55B20D4D}" type="presParOf" srcId="{EF2482EC-F746-4BAC-8F00-A80869506A9D}" destId="{FAABD09F-03BB-4905-8EDB-129BE4BC1DD8}" srcOrd="0" destOrd="0" presId="urn:microsoft.com/office/officeart/2005/8/layout/lProcess3"/>
    <dgm:cxn modelId="{476C7E52-0347-4667-A7D5-D013341FCBA1}" type="presParOf" srcId="{D86458AA-2375-4A15-8DB1-90C24E61A441}" destId="{545B1DDE-4A03-4A59-BED8-8ED842B7A95D}" srcOrd="7" destOrd="0" presId="urn:microsoft.com/office/officeart/2005/8/layout/lProcess3"/>
    <dgm:cxn modelId="{1B4BC53F-68B6-4229-810C-C8F56EDE5C12}" type="presParOf" srcId="{D86458AA-2375-4A15-8DB1-90C24E61A441}" destId="{0EC6E9CD-4260-4357-90CE-539E7507E295}" srcOrd="8" destOrd="0" presId="urn:microsoft.com/office/officeart/2005/8/layout/lProcess3"/>
    <dgm:cxn modelId="{40B1F9DA-16A3-485D-B595-977D534332DC}" type="presParOf" srcId="{0EC6E9CD-4260-4357-90CE-539E7507E295}" destId="{D1244001-5F5B-4529-B00C-280E5149C8F3}" srcOrd="0" destOrd="0" presId="urn:microsoft.com/office/officeart/2005/8/layout/lProcess3"/>
    <dgm:cxn modelId="{631E6A58-627C-49C2-BDA9-F90BFFFF8243}" type="presParOf" srcId="{D86458AA-2375-4A15-8DB1-90C24E61A441}" destId="{C70CAA6C-5E6A-4349-A177-8FD0FDDC45C5}" srcOrd="9" destOrd="0" presId="urn:microsoft.com/office/officeart/2005/8/layout/lProcess3"/>
    <dgm:cxn modelId="{3BFDFA2C-7DC6-41E1-B4E8-3C54A5829756}" type="presParOf" srcId="{D86458AA-2375-4A15-8DB1-90C24E61A441}" destId="{775DB5A5-F0F1-468B-B89C-B9C0D89FFCF7}" srcOrd="10" destOrd="0" presId="urn:microsoft.com/office/officeart/2005/8/layout/lProcess3"/>
    <dgm:cxn modelId="{D0B2A800-9998-4A2F-88E3-4DC474E1A2A2}" type="presParOf" srcId="{775DB5A5-F0F1-468B-B89C-B9C0D89FFCF7}" destId="{D37E9E4F-69AA-45A1-883D-D7E3D0AC39D5}" srcOrd="0" destOrd="0" presId="urn:microsoft.com/office/officeart/2005/8/layout/lProcess3"/>
  </dgm:cxnLst>
  <dgm:bg>
    <a:noFill/>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A8642CE-076F-4E21-9169-AEFC3A7958DB}">
      <dsp:nvSpPr>
        <dsp:cNvPr id="0" name=""/>
        <dsp:cNvSpPr/>
      </dsp:nvSpPr>
      <dsp:spPr>
        <a:xfrm>
          <a:off x="1881" y="1279"/>
          <a:ext cx="5292136" cy="554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CONVERSOR FLASH</a:t>
          </a:r>
        </a:p>
      </dsp:txBody>
      <dsp:txXfrm>
        <a:off x="1881" y="1279"/>
        <a:ext cx="5292136" cy="554902"/>
      </dsp:txXfrm>
    </dsp:sp>
    <dsp:sp modelId="{A3022894-5017-4BFC-92F1-859D2AB0615B}">
      <dsp:nvSpPr>
        <dsp:cNvPr id="0" name=""/>
        <dsp:cNvSpPr/>
      </dsp:nvSpPr>
      <dsp:spPr>
        <a:xfrm>
          <a:off x="1881" y="624025"/>
          <a:ext cx="2605869" cy="554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Analógico</a:t>
          </a:r>
        </a:p>
      </dsp:txBody>
      <dsp:txXfrm>
        <a:off x="1881" y="624025"/>
        <a:ext cx="2605869" cy="554902"/>
      </dsp:txXfrm>
    </dsp:sp>
    <dsp:sp modelId="{6703DBD5-002B-494B-811C-88092CA77056}">
      <dsp:nvSpPr>
        <dsp:cNvPr id="0" name=""/>
        <dsp:cNvSpPr/>
      </dsp:nvSpPr>
      <dsp:spPr>
        <a:xfrm>
          <a:off x="1881" y="1246771"/>
          <a:ext cx="1276136" cy="554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DIVISOR RESISTIVO</a:t>
          </a:r>
        </a:p>
      </dsp:txBody>
      <dsp:txXfrm>
        <a:off x="1881" y="1246771"/>
        <a:ext cx="1276136" cy="554902"/>
      </dsp:txXfrm>
    </dsp:sp>
    <dsp:sp modelId="{71FB9E89-85B4-426C-9E92-70DA55968B4C}">
      <dsp:nvSpPr>
        <dsp:cNvPr id="0" name=""/>
        <dsp:cNvSpPr/>
      </dsp:nvSpPr>
      <dsp:spPr>
        <a:xfrm>
          <a:off x="1331615" y="1246771"/>
          <a:ext cx="1276136" cy="554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COMPARADOR</a:t>
          </a:r>
        </a:p>
      </dsp:txBody>
      <dsp:txXfrm>
        <a:off x="1331615" y="1246771"/>
        <a:ext cx="1276136" cy="554902"/>
      </dsp:txXfrm>
    </dsp:sp>
    <dsp:sp modelId="{27A8E2C9-ACC0-4C1C-A1B4-FC5118E4D3CD}">
      <dsp:nvSpPr>
        <dsp:cNvPr id="0" name=""/>
        <dsp:cNvSpPr/>
      </dsp:nvSpPr>
      <dsp:spPr>
        <a:xfrm>
          <a:off x="2714947" y="624025"/>
          <a:ext cx="2579070" cy="554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AR" sz="2400" kern="1200"/>
            <a:t>Digital</a:t>
          </a:r>
        </a:p>
      </dsp:txBody>
      <dsp:txXfrm>
        <a:off x="2714947" y="624025"/>
        <a:ext cx="2579070" cy="554902"/>
      </dsp:txXfrm>
    </dsp:sp>
    <dsp:sp modelId="{2D0BEDD2-93E1-444F-B15D-F8AE6E00B684}">
      <dsp:nvSpPr>
        <dsp:cNvPr id="0" name=""/>
        <dsp:cNvSpPr/>
      </dsp:nvSpPr>
      <dsp:spPr>
        <a:xfrm>
          <a:off x="2714947" y="1246771"/>
          <a:ext cx="2579070" cy="554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DECODIFICADOR</a:t>
          </a:r>
        </a:p>
      </dsp:txBody>
      <dsp:txXfrm>
        <a:off x="2714947" y="1246771"/>
        <a:ext cx="2579070" cy="554902"/>
      </dsp:txXfrm>
    </dsp:sp>
    <dsp:sp modelId="{85EB828F-C976-4C4B-BA1A-17244ACF076A}">
      <dsp:nvSpPr>
        <dsp:cNvPr id="0" name=""/>
        <dsp:cNvSpPr/>
      </dsp:nvSpPr>
      <dsp:spPr>
        <a:xfrm>
          <a:off x="2714947" y="1869517"/>
          <a:ext cx="1276136" cy="554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NEGADOR</a:t>
          </a:r>
        </a:p>
      </dsp:txBody>
      <dsp:txXfrm>
        <a:off x="2714947" y="1869517"/>
        <a:ext cx="1276136" cy="554902"/>
      </dsp:txXfrm>
    </dsp:sp>
    <dsp:sp modelId="{9DF2C459-4115-4E2B-AE4B-636AE7505F85}">
      <dsp:nvSpPr>
        <dsp:cNvPr id="0" name=""/>
        <dsp:cNvSpPr/>
      </dsp:nvSpPr>
      <dsp:spPr>
        <a:xfrm>
          <a:off x="4017882" y="1869517"/>
          <a:ext cx="1276136" cy="554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COMPUERTAS NAND</a:t>
          </a:r>
        </a:p>
      </dsp:txBody>
      <dsp:txXfrm>
        <a:off x="4017882" y="1869517"/>
        <a:ext cx="1276136" cy="554902"/>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8B9FAA-4CE6-4355-9603-C8FDE2F90B33}">
      <dsp:nvSpPr>
        <dsp:cNvPr id="0" name=""/>
        <dsp:cNvSpPr/>
      </dsp:nvSpPr>
      <dsp:spPr>
        <a:xfrm>
          <a:off x="0" y="429370"/>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11100...0</a:t>
          </a:r>
        </a:p>
      </dsp:txBody>
      <dsp:txXfrm>
        <a:off x="0" y="429370"/>
        <a:ext cx="1048319" cy="154354"/>
      </dsp:txXfrm>
    </dsp:sp>
    <dsp:sp modelId="{EAB26FB1-5F27-4C36-9258-FCA560EBF4A9}">
      <dsp:nvSpPr>
        <dsp:cNvPr id="0" name=""/>
        <dsp:cNvSpPr/>
      </dsp:nvSpPr>
      <dsp:spPr>
        <a:xfrm>
          <a:off x="0" y="2814761"/>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1...11100</a:t>
          </a:r>
        </a:p>
      </dsp:txBody>
      <dsp:txXfrm>
        <a:off x="0" y="2814761"/>
        <a:ext cx="1048319" cy="154354"/>
      </dsp:txXfrm>
    </dsp:sp>
    <dsp:sp modelId="{04DF0BD9-BD58-447F-9CE0-3F686A50ACFD}">
      <dsp:nvSpPr>
        <dsp:cNvPr id="0" name=""/>
        <dsp:cNvSpPr/>
      </dsp:nvSpPr>
      <dsp:spPr>
        <a:xfrm>
          <a:off x="0" y="3107112"/>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1...11111</a:t>
          </a:r>
        </a:p>
      </dsp:txBody>
      <dsp:txXfrm>
        <a:off x="0" y="3107112"/>
        <a:ext cx="1048319" cy="154354"/>
      </dsp:txXfrm>
    </dsp:sp>
    <dsp:sp modelId="{4DF77F13-AB85-4DFB-AFDD-D14538B13CAB}">
      <dsp:nvSpPr>
        <dsp:cNvPr id="0" name=""/>
        <dsp:cNvSpPr/>
      </dsp:nvSpPr>
      <dsp:spPr>
        <a:xfrm>
          <a:off x="0" y="2671640"/>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1...11000</a:t>
          </a:r>
        </a:p>
      </dsp:txBody>
      <dsp:txXfrm>
        <a:off x="0" y="2671640"/>
        <a:ext cx="1048319" cy="154354"/>
      </dsp:txXfrm>
    </dsp:sp>
    <dsp:sp modelId="{6F18A4C6-0AAE-472B-8B5D-CC1604C8A141}">
      <dsp:nvSpPr>
        <dsp:cNvPr id="0" name=""/>
        <dsp:cNvSpPr/>
      </dsp:nvSpPr>
      <dsp:spPr>
        <a:xfrm>
          <a:off x="0" y="2965836"/>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1...11110</a:t>
          </a:r>
        </a:p>
      </dsp:txBody>
      <dsp:txXfrm>
        <a:off x="0" y="2965836"/>
        <a:ext cx="1048319" cy="154354"/>
      </dsp:txXfrm>
    </dsp:sp>
    <dsp:sp modelId="{D01025D4-1B4B-4D45-9DAB-0020293F30BA}">
      <dsp:nvSpPr>
        <dsp:cNvPr id="0" name=""/>
        <dsp:cNvSpPr/>
      </dsp:nvSpPr>
      <dsp:spPr>
        <a:xfrm>
          <a:off x="0" y="140369"/>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10000...0</a:t>
          </a:r>
        </a:p>
      </dsp:txBody>
      <dsp:txXfrm>
        <a:off x="0" y="140369"/>
        <a:ext cx="1048319" cy="154354"/>
      </dsp:txXfrm>
    </dsp:sp>
    <dsp:sp modelId="{71F78A99-0D15-46FC-883B-5016CA07D37A}">
      <dsp:nvSpPr>
        <dsp:cNvPr id="0" name=""/>
        <dsp:cNvSpPr/>
      </dsp:nvSpPr>
      <dsp:spPr>
        <a:xfrm>
          <a:off x="0" y="285167"/>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11000...0</a:t>
          </a:r>
        </a:p>
      </dsp:txBody>
      <dsp:txXfrm>
        <a:off x="0" y="285167"/>
        <a:ext cx="1048319" cy="154354"/>
      </dsp:txXfrm>
    </dsp:sp>
    <dsp:sp modelId="{0DA82BC4-B6C6-48A8-8AEC-1FDDF365AAD6}">
      <dsp:nvSpPr>
        <dsp:cNvPr id="0" name=""/>
        <dsp:cNvSpPr/>
      </dsp:nvSpPr>
      <dsp:spPr>
        <a:xfrm>
          <a:off x="0" y="465"/>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00000...0</a:t>
          </a:r>
        </a:p>
      </dsp:txBody>
      <dsp:txXfrm>
        <a:off x="0" y="465"/>
        <a:ext cx="1048319" cy="154354"/>
      </dsp:txXfrm>
    </dsp:sp>
    <dsp:sp modelId="{4AC3ED48-F5EA-4C72-821E-00634B3E3CB4}">
      <dsp:nvSpPr>
        <dsp:cNvPr id="0" name=""/>
        <dsp:cNvSpPr/>
      </dsp:nvSpPr>
      <dsp:spPr>
        <a:xfrm>
          <a:off x="0" y="1490516"/>
          <a:ext cx="1048319" cy="154354"/>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6350" rIns="0" bIns="6350" numCol="1" spcCol="1270" anchor="ctr" anchorCtr="0">
          <a:noAutofit/>
        </a:bodyPr>
        <a:lstStyle/>
        <a:p>
          <a:pPr lvl="0" algn="ctr" defTabSz="444500">
            <a:lnSpc>
              <a:spcPct val="90000"/>
            </a:lnSpc>
            <a:spcBef>
              <a:spcPct val="0"/>
            </a:spcBef>
            <a:spcAft>
              <a:spcPct val="35000"/>
            </a:spcAft>
          </a:pPr>
          <a:r>
            <a:rPr lang="es-AR" sz="1000" kern="1200"/>
            <a:t>000...111</a:t>
          </a:r>
        </a:p>
      </dsp:txBody>
      <dsp:txXfrm>
        <a:off x="0" y="1490516"/>
        <a:ext cx="1048319" cy="154354"/>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D23916-1F2C-41B9-8127-6E53CD136E68}">
      <dsp:nvSpPr>
        <dsp:cNvPr id="0" name=""/>
        <dsp:cNvSpPr/>
      </dsp:nvSpPr>
      <dsp:spPr>
        <a:xfrm>
          <a:off x="644" y="0"/>
          <a:ext cx="659451" cy="3262907"/>
        </a:xfrm>
        <a:prstGeom prst="roundRect">
          <a:avLst>
            <a:gd name="adj" fmla="val 5000"/>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7719" rIns="48895" bIns="0" numCol="1" spcCol="1270" anchor="t" anchorCtr="0">
          <a:noAutofit/>
        </a:bodyPr>
        <a:lstStyle/>
        <a:p>
          <a:pPr lvl="0" algn="l" defTabSz="466725">
            <a:lnSpc>
              <a:spcPct val="90000"/>
            </a:lnSpc>
            <a:spcBef>
              <a:spcPct val="0"/>
            </a:spcBef>
            <a:spcAft>
              <a:spcPct val="35000"/>
            </a:spcAft>
          </a:pPr>
          <a:r>
            <a:rPr lang="es-AR" sz="1050" b="1" kern="1200"/>
            <a:t>DECODIFICADOR</a:t>
          </a:r>
          <a:endParaRPr lang="es-AR" sz="700" b="1" kern="1200"/>
        </a:p>
      </dsp:txBody>
      <dsp:txXfrm rot="16200000">
        <a:off x="-1271202" y="1271846"/>
        <a:ext cx="2675584" cy="131890"/>
      </dsp:txXfrm>
    </dsp:sp>
    <dsp:sp modelId="{B852DAA4-4532-47A8-A0E2-6DB45AD26584}">
      <dsp:nvSpPr>
        <dsp:cNvPr id="0" name=""/>
        <dsp:cNvSpPr/>
      </dsp:nvSpPr>
      <dsp:spPr>
        <a:xfrm>
          <a:off x="132534" y="0"/>
          <a:ext cx="491291" cy="326290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r" defTabSz="444500">
            <a:lnSpc>
              <a:spcPct val="90000"/>
            </a:lnSpc>
            <a:spcBef>
              <a:spcPct val="0"/>
            </a:spcBef>
            <a:spcAft>
              <a:spcPct val="35000"/>
            </a:spcAft>
          </a:pPr>
          <a:r>
            <a:rPr lang="es-AR" sz="1000" i="1" kern="1200"/>
            <a:t>Código Binario</a:t>
          </a:r>
        </a:p>
      </dsp:txBody>
      <dsp:txXfrm>
        <a:off x="132534" y="0"/>
        <a:ext cx="491291" cy="326290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8B9FAA-4CE6-4355-9603-C8FDE2F90B33}">
      <dsp:nvSpPr>
        <dsp:cNvPr id="0" name=""/>
        <dsp:cNvSpPr/>
      </dsp:nvSpPr>
      <dsp:spPr>
        <a:xfrm>
          <a:off x="0" y="270344"/>
          <a:ext cx="1048319" cy="419327"/>
        </a:xfrm>
        <a:prstGeom prst="chevron">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es-AR" sz="1600" kern="1200"/>
            <a:t>MSB</a:t>
          </a:r>
        </a:p>
      </dsp:txBody>
      <dsp:txXfrm>
        <a:off x="0" y="270344"/>
        <a:ext cx="1048319" cy="419327"/>
      </dsp:txXfrm>
    </dsp:sp>
    <dsp:sp modelId="{EAB26FB1-5F27-4C36-9258-FCA560EBF4A9}">
      <dsp:nvSpPr>
        <dsp:cNvPr id="0" name=""/>
        <dsp:cNvSpPr/>
      </dsp:nvSpPr>
      <dsp:spPr>
        <a:xfrm>
          <a:off x="0" y="739471"/>
          <a:ext cx="1048319" cy="419327"/>
        </a:xfrm>
        <a:prstGeom prst="chevron">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es-AR" sz="1600" kern="1200"/>
            <a:t>5SB</a:t>
          </a:r>
        </a:p>
      </dsp:txBody>
      <dsp:txXfrm>
        <a:off x="0" y="739471"/>
        <a:ext cx="1048319" cy="419327"/>
      </dsp:txXfrm>
    </dsp:sp>
    <dsp:sp modelId="{04DF0BD9-BD58-447F-9CE0-3F686A50ACFD}">
      <dsp:nvSpPr>
        <dsp:cNvPr id="0" name=""/>
        <dsp:cNvSpPr/>
      </dsp:nvSpPr>
      <dsp:spPr>
        <a:xfrm>
          <a:off x="0" y="2603529"/>
          <a:ext cx="1048319" cy="419327"/>
        </a:xfrm>
        <a:prstGeom prst="chevron">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es-AR" sz="1600" kern="1200"/>
            <a:t>LSB</a:t>
          </a:r>
        </a:p>
      </dsp:txBody>
      <dsp:txXfrm>
        <a:off x="0" y="2603529"/>
        <a:ext cx="1048319" cy="419327"/>
      </dsp:txXfrm>
    </dsp:sp>
    <dsp:sp modelId="{FAABD09F-03BB-4905-8EDB-129BE4BC1DD8}">
      <dsp:nvSpPr>
        <dsp:cNvPr id="0" name=""/>
        <dsp:cNvSpPr/>
      </dsp:nvSpPr>
      <dsp:spPr>
        <a:xfrm>
          <a:off x="0" y="1212925"/>
          <a:ext cx="1048319" cy="419327"/>
        </a:xfrm>
        <a:prstGeom prst="chevron">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es-AR" sz="1600" kern="1200"/>
            <a:t>4SB</a:t>
          </a:r>
        </a:p>
      </dsp:txBody>
      <dsp:txXfrm>
        <a:off x="0" y="1212925"/>
        <a:ext cx="1048319" cy="419327"/>
      </dsp:txXfrm>
    </dsp:sp>
    <dsp:sp modelId="{D1244001-5F5B-4529-B00C-280E5149C8F3}">
      <dsp:nvSpPr>
        <dsp:cNvPr id="0" name=""/>
        <dsp:cNvSpPr/>
      </dsp:nvSpPr>
      <dsp:spPr>
        <a:xfrm>
          <a:off x="0" y="1690963"/>
          <a:ext cx="1048319" cy="419327"/>
        </a:xfrm>
        <a:prstGeom prst="chevron">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es-AR" sz="1600" kern="1200"/>
            <a:t>3SB</a:t>
          </a:r>
        </a:p>
      </dsp:txBody>
      <dsp:txXfrm>
        <a:off x="0" y="1690963"/>
        <a:ext cx="1048319" cy="419327"/>
      </dsp:txXfrm>
    </dsp:sp>
    <dsp:sp modelId="{D37E9E4F-69AA-45A1-883D-D7E3D0AC39D5}">
      <dsp:nvSpPr>
        <dsp:cNvPr id="0" name=""/>
        <dsp:cNvSpPr/>
      </dsp:nvSpPr>
      <dsp:spPr>
        <a:xfrm>
          <a:off x="0" y="2137186"/>
          <a:ext cx="1048319" cy="419327"/>
        </a:xfrm>
        <a:prstGeom prst="chevron">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0160" rIns="0" bIns="10160" numCol="1" spcCol="1270" anchor="ctr" anchorCtr="0">
          <a:noAutofit/>
        </a:bodyPr>
        <a:lstStyle/>
        <a:p>
          <a:pPr lvl="0" algn="ctr" defTabSz="711200">
            <a:lnSpc>
              <a:spcPct val="90000"/>
            </a:lnSpc>
            <a:spcBef>
              <a:spcPct val="0"/>
            </a:spcBef>
            <a:spcAft>
              <a:spcPct val="35000"/>
            </a:spcAft>
          </a:pPr>
          <a:r>
            <a:rPr lang="es-AR" sz="1600" kern="1200"/>
            <a:t>2SB</a:t>
          </a:r>
        </a:p>
      </dsp:txBody>
      <dsp:txXfrm>
        <a:off x="0" y="2137186"/>
        <a:ext cx="1048319" cy="41932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presOf axis="self"/>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presOf axis="self"/>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Tab</b:Tag>
    <b:SourceType>Report</b:SourceType>
    <b:Guid>{4491122B-B79E-4726-8899-546297261201}</b:Guid>
    <b:LCID>0</b:LCID>
    <b:Author>
      <b:Author>
        <b:NameList>
          <b:Person>
            <b:Last>Taber</b:Last>
            <b:First>Allen</b:First>
            <b:Middle>H.</b:Middle>
          </b:Person>
          <b:Person>
            <b:Last>Normand</b:Last>
            <b:First>Eugene</b:First>
          </b:Person>
        </b:NameList>
      </b:Author>
    </b:Author>
    <b:Title>Investigation and Characterization of SEU Effects and Hardening Strategies in Avionics</b:Title>
    <b:Year>1995</b:Year>
    <b:Publisher>Defense Technical Information Center</b:Publisher>
    <b:City>Virginia</b:City>
    <b:StandardNumber>7540-280-5500</b:StandardNumber>
    <b:Department>Department of Defense USA</b:Department>
    <b:Institution>Defense Nuclear Agency</b:Institution>
    <b:Pages>100</b:Pages>
    <b:ThesisType>Informe tecnico</b:ThesisType>
    <b:RefOrder>1</b:RefOrder>
  </b:Source>
  <b:Source>
    <b:Tag>Nor96</b:Tag>
    <b:SourceType>JournalArticle</b:SourceType>
    <b:Guid>{9183AB6E-A550-4E62-8F95-9E2A0442F467}</b:Guid>
    <b:LCID>0</b:LCID>
    <b:Author>
      <b:Author>
        <b:NameList>
          <b:Person>
            <b:Last>Normand</b:Last>
            <b:First>Eugene</b:First>
          </b:Person>
        </b:NameList>
      </b:Author>
    </b:Author>
    <b:Title>Single event upset at ground level</b:Title>
    <b:Year>1996</b:Year>
    <b:Publisher>IEEE</b:Publisher>
    <b:City>Seattle</b:City>
    <b:StandardNumber>0018-9499</b:StandardNumber>
    <b:Volume>43</b:Volume>
    <b:Issue>6</b:Issue>
    <b:JournalName>IEEE Transactions on Nuclear Science</b:JournalName>
    <b:Month>December</b:Month>
    <b:Pages>2742-2750</b:Pages>
    <b:Comments>Boeing Defense &amp; Space Group</b:Comments>
    <b:RefOrder>2</b:RefOrder>
  </b:Source>
  <b:Source>
    <b:Tag>JED06</b:Tag>
    <b:SourceType>ConferenceProceedings</b:SourceType>
    <b:Guid>{52F4D351-AFCE-4BCC-936B-B2B9D3CF460C}</b:Guid>
    <b:LCID>0</b:LCID>
    <b:Author>
      <b:Author>
        <b:Corporate>JEDEC Solid state technology association</b:Corporate>
      </b:Author>
    </b:Author>
    <b:Title>Measurement and Reporting of Alpha Particle and Terrestrial Cosmic Ray-Induced Soft Errors in Semiconductor Devices</b:Title>
    <b:City>Arlington, Virginia</b:City>
    <b:Year>2006</b:Year>
    <b:Publisher>JEDEC Board of Directors and EIA General Counsel</b:Publisher>
    <b:Issue>89</b:Issue>
    <b:StandardNumber>89A</b:StandardNumber>
    <b:Month>Octubre</b:Month>
    <b:Pages>84</b:Pages>
    <b:ConferenceName>JESD</b:ConferenceName>
    <b:RefOrder>3</b:RefOrder>
  </b:Source>
  <b:Source>
    <b:Tag>HKo07</b:Tag>
    <b:SourceType>JournalArticle</b:SourceType>
    <b:Guid>{FF27521A-C8B6-4E7D-9E79-CAA805E6AF83}</b:Guid>
    <b:LCID>0</b:LCID>
    <b:Author>
      <b:Author>
        <b:NameList>
          <b:Person>
            <b:Last>H. Koshiishi</b:Last>
            <b:First>H.</b:First>
            <b:Middle>Matsumoto, T. Goka</b:Middle>
          </b:Person>
        </b:NameList>
      </b:Author>
    </b:Author>
    <b:Title>Single-event upset in geostationary transfer orbit during solar-activity maximum period measured by the Tsubasa satellite</b:Title>
    <b:Year>2007</b:Year>
    <b:City>Sengen</b:City>
    <b:Publisher>Japan Aerospace Exploration Agency</b:Publisher>
    <b:StandardNumber>1</b:StandardNumber>
    <b:Volume>2</b:Volume>
    <b:Issue>1</b:Issue>
    <b:JournalName>ELSEVIER</b:JournalName>
    <b:Month>Noviembre</b:Month>
    <b:Pages>205-505</b:Pages>
    <b:RefOrder>6</b:RefOrder>
  </b:Source>
  <b:Source>
    <b:Tag>Bau07</b:Tag>
    <b:SourceType>BookSection</b:SourceType>
    <b:Guid>{1C30B3A3-F880-49D4-A385-05A8A20FF639}</b:Guid>
    <b:LCID>0</b:LCID>
    <b:Author>
      <b:Author>
        <b:NameList>
          <b:Person>
            <b:Last>Baumann</b:Last>
            <b:First>Robert</b:First>
          </b:Person>
        </b:NameList>
      </b:Author>
      <b:BookAuthor>
        <b:NameList>
          <b:Person>
            <b:Last>Baumann</b:Last>
            <b:First>Robert</b:First>
          </b:Person>
        </b:NameList>
      </b:BookAuthor>
    </b:Author>
    <b:Title>Handbook of semiconductor manufacturing tecnology</b:Title>
    <b:Year>2007</b:Year>
    <b:Publisher>Group, Taylor &amp; Francis</b:Publisher>
    <b:BookTitle>Handbook of semiconductor manufacturing tecnology</b:BookTitle>
    <b:Pages>1-23</b:Pages>
    <b:NumberVolumes>1</b:NumberVolumes>
    <b:ChapterNumber>Cap. 31</b:ChapterNumber>
    <b:Edition>Segunda Edicion</b:Edition>
    <b:RefOrder>7</b:RefOrder>
  </b:Source>
  <b:Source>
    <b:Tag>Dod03</b:Tag>
    <b:SourceType>JournalArticle</b:SourceType>
    <b:Guid>{97988E65-22AE-4B30-8007-BD30D043EE4D}</b:Guid>
    <b:LCID>0</b:LCID>
    <b:Author>
      <b:Author>
        <b:NameList>
          <b:Person>
            <b:Last>Dodd</b:Last>
            <b:First>P.E.</b:First>
          </b:Person>
          <b:Person>
            <b:Last>Massengill</b:Last>
            <b:First>L.W.</b:First>
          </b:Person>
        </b:NameList>
      </b:Author>
    </b:Author>
    <b:Title>Basic mechanisms and modeling of single-event upset in digital microelectronics</b:Title>
    <b:Year>2003</b:Year>
    <b:City>Albuquerque</b:City>
    <b:JournalName>IEEE Transactions on Nuclear Science</b:JournalName>
    <b:Month>Junio</b:Month>
    <b:Pages>583-602</b:Pages>
    <b:Publisher>Sandia National Labs.</b:Publisher>
    <b:Volume>Vol. 50</b:Volume>
    <b:Issue>3</b:Issue>
    <b:StandardNumber>0018-9499</b:StandardNumber>
    <b:RefOrder>8</b:RefOrder>
  </b:Source>
  <b:Source>
    <b:Tag>Ols93</b:Tag>
    <b:SourceType>JournalArticle</b:SourceType>
    <b:Guid>{E142CDF6-896F-4648-B3A7-74E7A778A047}</b:Guid>
    <b:LCID>0</b:LCID>
    <b:Author>
      <b:Author>
        <b:NameList>
          <b:Person>
            <b:Last>Olsen</b:Last>
            <b:First>J.</b:First>
          </b:Person>
          <b:Person>
            <b:Last>Becher</b:Last>
            <b:First>P.E.</b:First>
          </b:Person>
          <b:Person>
            <b:Last>Fynbo</b:Last>
            <b:First>P.B.</b:First>
          </b:Person>
          <b:Person>
            <b:Last>Raaby</b:Last>
            <b:First>P.</b:First>
          </b:Person>
          <b:Person>
            <b:Last>Schultz</b:Last>
            <b:First>J.</b:First>
          </b:Person>
        </b:NameList>
      </b:Author>
    </b:Author>
    <b:Title>Neutron-Induced Single Event Upsets In Static Rams Observed At 10 Km Flight Altitude</b:Title>
    <b:City>Roskilde</b:City>
    <b:Year>1993</b:Year>
    <b:Publisher>Riso National Lab.</b:Publisher>
    <b:Volume>Vol. 40</b:Volume>
    <b:JournalName>IEEE Transactions on Nuclear Science</b:JournalName>
    <b:Month>Abril</b:Month>
    <b:Pages>74-77</b:Pages>
    <b:Issue>2</b:Issue>
    <b:StandardNumber>0018-9499</b:StandardNumber>
    <b:RefOrder>5</b:RefOrder>
  </b:Source>
  <b:Source>
    <b:Tag>Bed96</b:Tag>
    <b:SourceType>JournalArticle</b:SourceType>
    <b:Guid>{13C73D45-5114-4BC8-A862-9F89ED0E13DB}</b:Guid>
    <b:LCID>0</b:LCID>
    <b:Author>
      <b:Author>
        <b:NameList>
          <b:Person>
            <b:Last>Bedingfield</b:Last>
            <b:First>Keith</b:First>
            <b:Middle>L.</b:Middle>
          </b:Person>
          <b:Person>
            <b:Last>Leach</b:Last>
            <b:First>Richard</b:First>
            <b:Middle>D.</b:Middle>
          </b:Person>
        </b:NameList>
      </b:Author>
      <b:Editor>
        <b:NameList>
          <b:Person>
            <b:Last>Alexander</b:Last>
            <b:First>Margaret</b:First>
            <b:Middle>B.</b:Middle>
          </b:Person>
        </b:NameList>
      </b:Editor>
    </b:Author>
    <b:Title>Spacecraft System Failures and Anomalies Attributed to the Natural Space Environment</b:Title>
    <b:City>Alabama</b:City>
    <b:Year>1996</b:Year>
    <b:Publisher>NASA Marshall Space Flight Center</b:Publisher>
    <b:Volume>Vol. 1</b:Volume>
    <b:Issue>1390</b:Issue>
    <b:JournalName>National Aeronautics and Space Administration</b:JournalName>
    <b:Month>Agosto</b:Month>
    <b:Pages>54</b:Pages>
    <b:RefOrder>4</b:RefOrder>
  </b:Source>
  <b:Source>
    <b:Tag>Mou94</b:Tag>
    <b:SourceType>JournalArticle</b:SourceType>
    <b:Guid>{A10AF72D-EDC7-4554-98E0-125FB0558C4A}</b:Guid>
    <b:LCID>0</b:LCID>
    <b:Author>
      <b:Author>
        <b:NameList>
          <b:Person>
            <b:Last>Mouret</b:Last>
            <b:First>I.</b:First>
          </b:Person>
          <b:Person>
            <b:Last>Allenspach</b:Last>
            <b:First>M.</b:First>
          </b:Person>
          <b:Person>
            <b:Last>Schrimpf</b:Last>
            <b:First>R.D.</b:First>
          </b:Person>
          <b:Person>
            <b:Last>Brews</b:Last>
            <b:First>J.R.</b:First>
          </b:Person>
          <b:Person>
            <b:Last>Galloway</b:Last>
            <b:First>K.F.</b:First>
          </b:Person>
          <b:Person>
            <b:Last>Calvel</b:Last>
            <b:First>P.</b:First>
          </b:Person>
        </b:NameList>
      </b:Author>
    </b:Author>
    <b:Title>Temperature and angular dependence of substrate response in SEGR [power MOSFET]</b:Title>
    <b:City>Arizona</b:City>
    <b:Year>1994</b:Year>
    <b:Publisher>Department of Electronic and Computing Engineer, Arizona University</b:Publisher>
    <b:Volume>Vol. 41</b:Volume>
    <b:Issue>6</b:Issue>
    <b:StandardNumber>0018-9499</b:StandardNumber>
    <b:JournalName>IEEE Transactions on Nuclear Science</b:JournalName>
    <b:Month>Diciembre</b:Month>
    <b:Pages>2216-2221</b:Pages>
    <b:RefOrder>10</b:RefOrder>
  </b:Source>
  <b:Source>
    <b:Tag>Joh92</b:Tag>
    <b:SourceType>JournalArticle</b:SourceType>
    <b:Guid>{B2C25AB9-3845-48C1-BCF6-E83C2A98C748}</b:Guid>
    <b:LCID>0</b:LCID>
    <b:Author>
      <b:Author>
        <b:NameList>
          <b:Person>
            <b:Last>Johnson</b:Last>
            <b:First>G.H.</b:First>
          </b:Person>
          <b:Person>
            <b:Last>Schrimpf</b:Last>
            <b:First>R.D.</b:First>
          </b:Person>
          <b:Person>
            <b:Last>Galloway</b:Last>
            <b:First>K.F.</b:First>
          </b:Person>
          <b:Person>
            <b:Last>Koga</b:Last>
            <b:First>R.</b:First>
          </b:Person>
        </b:NameList>
      </b:Author>
    </b:Author>
    <b:Title>Temperature dependence of single-event burnout in n-channel power MOSFETs [for space application]</b:Title>
    <b:City>Arizona</b:City>
    <b:Year>1992</b:Year>
    <b:Publisher>Department of Electronic and Computing Engineer, Arizona University</b:Publisher>
    <b:Volume>Vol. 39</b:Volume>
    <b:Issue>6</b:Issue>
    <b:StandardNumber>0018-9499</b:StandardNumber>
    <b:JournalName>IEEE Transactions on Nuclear Science</b:JournalName>
    <b:Month>Diciembre</b:Month>
    <b:Pages>1605-1612</b:Pages>
    <b:RefOrder>11</b:RefOrder>
  </b:Source>
  <b:Source>
    <b:Tag>Mes92</b:Tag>
    <b:SourceType>Book</b:SourceType>
    <b:Guid>{2EA9BDE7-330F-4C5B-B307-7DB48560E478}</b:Guid>
    <b:LCID>0</b:LCID>
    <b:Author>
      <b:Author>
        <b:NameList>
          <b:Person>
            <b:Last>Messenger</b:Last>
            <b:First>George</b:First>
            <b:Middle>C.</b:Middle>
          </b:Person>
          <b:Person>
            <b:Last>Ash.</b:Last>
            <b:First>Milton</b:First>
            <b:Middle>S.</b:Middle>
          </b:Person>
        </b:NameList>
      </b:Author>
    </b:Author>
    <b:Title>The effects of radiation on electronic systems</b:Title>
    <b:Year>1992</b:Year>
    <b:StandardNumber>ISBN10: 0442239521 (ISBN13: 9780442239527)</b:StandardNumber>
    <b:Publisher>Chapman and Hall</b:Publisher>
    <b:CountryRegion>Estados Unidos</b:CountryRegion>
    <b:Pages>951</b:Pages>
    <b:Edition>Segunda Edicion</b:Edition>
    <b:RefOrder>17</b:RefOrder>
  </b:Source>
  <b:Source>
    <b:Tag>LaB96</b:Tag>
    <b:SourceType>InternetSite</b:SourceType>
    <b:Guid>{458C2688-E412-4526-9315-145D53621271}</b:Guid>
    <b:LCID>0</b:LCID>
    <b:Author>
      <b:Author>
        <b:NameList>
          <b:Person>
            <b:Last>LaBel</b:Last>
            <b:First>Kenneth</b:First>
            <b:Middle>A.</b:Middle>
          </b:Person>
        </b:NameList>
      </b:Author>
    </b:Author>
    <b:Title>SEECA Single Event Effect Criticality Analysis</b:Title>
    <b:Year>1996</b:Year>
    <b:InternetSiteTitle>SEECA Single Event Effect Criticality Analysis</b:InternetSiteTitle>
    <b:ProductionCompany>Sponsored by NASA Headquarters</b:ProductionCompany>
    <b:Month>Febrero</b:Month>
    <b:Day>15</b:Day>
    <b:YearAccessed>2010</b:YearAccessed>
    <b:MonthAccessed>Junio</b:MonthAccessed>
    <b:DayAccessed>16</b:DayAccessed>
    <b:URL>http://radhome.gsfc.nasa.gov/radhome/papers/seespec.htm</b:URL>
    <b:RefOrder>9</b:RefOrder>
  </b:Source>
  <b:Source>
    <b:Tag>Mes82</b:Tag>
    <b:SourceType>JournalArticle</b:SourceType>
    <b:Guid>{73E1C178-F4CA-4252-9AE3-1CCB9939A335}</b:Guid>
    <b:LCID>0</b:LCID>
    <b:Author>
      <b:Author>
        <b:NameList>
          <b:Person>
            <b:Last>Messenger</b:Last>
            <b:First>G.</b:First>
            <b:Middle>C.</b:Middle>
          </b:Person>
        </b:NameList>
      </b:Author>
    </b:Author>
    <b:Title>Collection of Charge on Junction Nodes from Ion Tracks</b:Title>
    <b:Year>1982</b:Year>
    <b:Month>Diciembre</b:Month>
    <b:StandardNumber>0018-9499</b:StandardNumber>
    <b:City>California</b:City>
    <b:Publisher>Rockwell International Autonetics Strategic Systems Division Defense Electronics Operations</b:Publisher>
    <b:Volume>Vol. 29</b:Volume>
    <b:Issue>6</b:Issue>
    <b:JournalName>IEEE Transactions on Nuclear Science</b:JournalName>
    <b:Pages>2024-2031</b:Pages>
    <b:RefOrder>13</b:RefOrder>
  </b:Source>
  <b:Source>
    <b:Tag>Sri94</b:Tag>
    <b:SourceType>JournalArticle</b:SourceType>
    <b:Guid>{F8659D71-7877-4A49-ABD1-678CA4E26413}</b:Guid>
    <b:LCID>0</b:LCID>
    <b:Author>
      <b:Author>
        <b:NameList>
          <b:Person>
            <b:Last>Srinivasan</b:Last>
            <b:First>G.R.</b:First>
          </b:Person>
          <b:Person>
            <b:Last>Tang</b:Last>
            <b:First>H.K.</b:First>
          </b:Person>
          <b:Person>
            <b:Last>Murley</b:Last>
            <b:First>P.C.</b:First>
          </b:Person>
        </b:NameList>
      </b:Author>
    </b:Author>
    <b:Title>Parameter-free, predictive modeling of single event upsets due to protons, neutrons, and pions in terrestrial cosmic rays</b:Title>
    <b:City>Tucson</b:City>
    <b:Year>1994</b:Year>
    <b:Publisher>Semiconductor Research and Development Center, IBM Corporation</b:Publisher>
    <b:Volume>41</b:Volume>
    <b:Issue>6</b:Issue>
    <b:StandardNumber>0018-9499</b:StandardNumber>
    <b:JournalName>IEEE Transactions on Nuclear Science</b:JournalName>
    <b:Month>Diciembre</b:Month>
    <b:Pages>2063-2070</b:Pages>
    <b:RefOrder>14</b:RefOrder>
  </b:Source>
  <b:Source>
    <b:Tag>Nau98</b:Tag>
    <b:SourceType>Report</b:SourceType>
    <b:Guid>{F7240982-E340-4CFB-9E26-FEF913012314}</b:Guid>
    <b:LCID>0</b:LCID>
    <b:Author>
      <b:Author>
        <b:NameList>
          <b:Person>
            <b:Last>Butt</b:Last>
            <b:First>Nauman</b:First>
            <b:Middle>Z.</b:Middle>
          </b:Person>
          <b:Person>
            <b:Last>Alam</b:Last>
            <b:First>Muhammad</b:First>
          </b:Person>
        </b:NameList>
      </b:Author>
    </b:Author>
    <b:Title>Modeling Single Event Upsets in Floating Gate Memory Cells</b:Title>
    <b:City>West Lafayette</b:City>
    <b:Year>1998</b:Year>
    <b:Publisher>Purdue University</b:Publisher>
    <b:Pages>9</b:Pages>
    <b:Department>School of Electrical and Computer Engineering</b:Department>
    <b:Institution>Purdue University</b:Institution>
    <b:ThesisType>Paper</b:ThesisType>
    <b:RefOrder>15</b:RefOrder>
  </b:Source>
  <b:Source>
    <b:Tag>Tan04</b:Tag>
    <b:SourceType>JournalArticle</b:SourceType>
    <b:Guid>{1CB15966-02E7-4FC0-ADCE-FA749459BEB9}</b:Guid>
    <b:LCID>0</b:LCID>
    <b:Author>
      <b:Author>
        <b:NameList>
          <b:Person>
            <b:Last>Tang</b:Last>
            <b:First>Henry</b:First>
            <b:Middle>H. K.</b:Middle>
          </b:Person>
          <b:Person>
            <b:Last>Cannon</b:Last>
            <b:First>Ethan</b:First>
            <b:Middle>H.</b:Middle>
          </b:Person>
        </b:NameList>
      </b:Author>
    </b:Author>
    <b:Title>SEMM-2: a modeling system for single event upset analysis</b:Title>
    <b:Year>2004</b:Year>
    <b:Publisher>IBM T. J. Watson Res. Center</b:Publisher>
    <b:City>Yorktown Heights</b:City>
    <b:StandardNumber>0018-9499 </b:StandardNumber>
    <b:Volume>51</b:Volume>
    <b:Issue>6</b:Issue>
    <b:JournalName>IEEE Transactions on Nuclear Science</b:JournalName>
    <b:Month>Diciembre</b:Month>
    <b:Day>20</b:Day>
    <b:Pages>3342-3348</b:Pages>
    <b:Comments>IEEE Nuclear and Plasma Sciences Society</b:Comments>
    <b:RefOrder>16</b:RefOrder>
  </b:Source>
  <b:Source>
    <b:Tag>Hol06</b:Tag>
    <b:SourceType>DocumentFromInternetSite</b:SourceType>
    <b:Guid>{605FECD3-F1E7-4325-9B50-93EFCF798BD8}</b:Guid>
    <b:LCID>0</b:LCID>
    <b:Author>
      <b:Author>
        <b:NameList>
          <b:Person>
            <b:Last>Holbert</b:Last>
            <b:First>Keith</b:First>
            <b:Middle>E.</b:Middle>
          </b:Person>
        </b:NameList>
      </b:Author>
    </b:Author>
    <b:Title>Personal site of Keith E. Holbert</b:Title>
    <b:Year>2006</b:Year>
    <b:InternetSiteTitle>Keith E. Holbert</b:InternetSiteTitle>
    <b:ProductionCompany>Arizona State University</b:ProductionCompany>
    <b:Month>Enero</b:Month>
    <b:Day>16</b:Day>
    <b:YearAccessed>2010</b:YearAccessed>
    <b:URL>http://holbert.faculty.asu.edu/eee560/see.html</b:URL>
    <b:MonthAccessed>Junio</b:MonthAccessed>
    <b:DayAccessed>16</b:DayAccessed>
    <b:Comments>School of Electrical, Computer and Energy Engineering</b:Comments>
    <b:RefOrder>12</b:RefOrder>
  </b:Source>
  <b:Source>
    <b:Tag>All02</b:Tag>
    <b:SourceType>Book</b:SourceType>
    <b:Guid>{D855AB21-C347-45F7-A1C2-E77AAEAAAD49}</b:Guid>
    <b:LCID>0</b:LCID>
    <b:Author>
      <b:Author>
        <b:NameList>
          <b:Person>
            <b:Last>Allen</b:Last>
            <b:First>Philip</b:First>
            <b:Middle>E.</b:Middle>
          </b:Person>
          <b:Person>
            <b:Last>Holberg</b:Last>
            <b:First>Douglas</b:First>
            <b:Middle>R.</b:Middle>
          </b:Person>
        </b:NameList>
      </b:Author>
      <b:Editor>
        <b:NameList>
          <b:Person>
            <b:Last>Sedra</b:Last>
            <b:First>Adel</b:First>
            <b:Middle>S.</b:Middle>
          </b:Person>
        </b:NameList>
      </b:Editor>
    </b:Author>
    <b:Title>CMOS Analog Circuit Design</b:Title>
    <b:Year>2002</b:Year>
    <b:City>New York</b:City>
    <b:Publisher>Oxford University Press</b:Publisher>
    <b:StandardNumber>ISBN:0195116445</b:StandardNumber>
    <b:StateProvince>New York</b:StateProvince>
    <b:CountryRegion>Estados Unidos</b:CountryRegion>
    <b:Pages>783</b:Pages>
    <b:RefOrder>18</b:RefOrder>
  </b:Source>
  <b:Source>
    <b:Tag>Sch93</b:Tag>
    <b:SourceType>Book</b:SourceType>
    <b:Guid>{B0FEBCB6-99BE-468E-B828-8A677C161A2E}</b:Guid>
    <b:LCID>0</b:LCID>
    <b:Author>
      <b:Author>
        <b:NameList>
          <b:Person>
            <b:Last>Schilling</b:Last>
            <b:First>Donald</b:First>
            <b:Middle>L.</b:Middle>
          </b:Person>
          <b:Person>
            <b:Last>Belove</b:Last>
            <b:First>Carlos</b:First>
          </b:Person>
          <b:Person>
            <b:Last>Apelewicz</b:Last>
            <b:First>Tuvia</b:First>
          </b:Person>
          <b:Person>
            <b:Last>Saccardi</b:Last>
            <b:First>Raymond</b:First>
            <b:Middle>J.</b:Middle>
          </b:Person>
        </b:NameList>
      </b:Author>
      <b:Editor>
        <b:NameList>
          <b:Person>
            <b:Last>Stumpf</b:Last>
            <b:First>Juan</b:First>
          </b:Person>
          <b:Person>
            <b:Last>Sandoval</b:Last>
            <b:First>Francisco</b:First>
          </b:Person>
        </b:NameList>
      </b:Editor>
      <b:Translator>
        <b:NameList>
          <b:Person>
            <b:Last>Garcia Perez</b:Last>
            <b:First>Miguel</b:First>
            <b:Middle>Angel</b:Middle>
          </b:Person>
          <b:Person>
            <b:Last>Nuño Garcia</b:Last>
            <b:First>Fernando</b:First>
          </b:Person>
          <b:Person>
            <b:Last>Diaz Gonzalez</b:Last>
            <b:First>Juan</b:First>
          </b:Person>
        </b:NameList>
      </b:Translator>
    </b:Author>
    <b:Title>CIRCUITOS ELECTRONICOS: Discretos e integrados</b:Title>
    <b:Year>1993</b:Year>
    <b:City>Madrid</b:City>
    <b:Publisher>McGrawHill</b:Publisher>
    <b:StandardNumber>ISBN: 0070553483</b:StandardNumber>
    <b:StateProvince>Madrid</b:StateProvince>
    <b:CountryRegion>España</b:CountryRegion>
    <b:Pages>962</b:Pages>
    <b:Edition>Tercera edición</b:Edition>
    <b:RefOrder>19</b:RefOrder>
  </b:Source>
  <b:Source>
    <b:Tag>The09</b:Tag>
    <b:SourceType>InternetSite</b:SourceType>
    <b:Guid>{39C850D0-C524-49A3-94CC-FAF3C0CB05E0}</b:Guid>
    <b:LCID>0</b:LCID>
    <b:Author>
      <b:Author>
        <b:Corporate>The MOSIS Service</b:Corporate>
      </b:Author>
    </b:Author>
    <b:Title>MOSIS Integrated Circuit Fabrication Service</b:Title>
    <b:InternetSiteTitle>MOSIS Integrated Circuit Fabrication Service</b:InternetSiteTitle>
    <b:YearAccessed>2009</b:YearAccessed>
    <b:MonthAccessed>Septiembre</b:MonthAccessed>
    <b:DayAccessed>2</b:DayAccessed>
    <b:URL>http://www.mosis.com/</b:URL>
    <b:RefOrder>20</b:RefOrder>
  </b:Source>
</b:Sources>
</file>

<file path=customXml/itemProps1.xml><?xml version="1.0" encoding="utf-8"?>
<ds:datastoreItem xmlns:ds="http://schemas.openxmlformats.org/officeDocument/2006/customXml" ds:itemID="{127FA554-BB6A-4D92-BC19-D06B639BE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5479</Words>
  <Characters>30138</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3</cp:revision>
  <dcterms:created xsi:type="dcterms:W3CDTF">2010-08-25T01:37:00Z</dcterms:created>
  <dcterms:modified xsi:type="dcterms:W3CDTF">2010-08-25T01:40:00Z</dcterms:modified>
</cp:coreProperties>
</file>