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886229E">
      <w:pPr>
        <w:pStyle w:val="2"/>
        <w:rPr>
          <w:rFonts w:hint="eastAsia"/>
        </w:rPr>
      </w:pPr>
      <w:bookmarkStart w:id="0" w:name="粒子相互作用截面的能量依赖性基于场组合波函数弥散的理论分析"/>
      <w:r>
        <w:rPr>
          <w:rFonts w:hint="eastAsia"/>
        </w:rPr>
        <w:t>粒子相互作用截面的能量依赖性——基于场组合波函数弥散的理论分析</w:t>
      </w:r>
    </w:p>
    <w:p w14:paraId="4AFC39AF">
      <w:pPr>
        <w:pStyle w:val="3"/>
        <w:rPr>
          <w:rFonts w:hint="eastAsia"/>
          <w:lang w:val="en-US" w:eastAsia="zh-CN"/>
        </w:rPr>
      </w:pPr>
      <w:r>
        <w:rPr>
          <w:rFonts w:hint="eastAsia"/>
          <w:b/>
          <w:bCs/>
          <w:lang w:val="en-US" w:eastAsia="zh-CN"/>
        </w:rPr>
        <w:t>作者：</w:t>
      </w:r>
      <w:r>
        <w:rPr>
          <w:rFonts w:hint="eastAsia"/>
          <w:lang w:val="en-US" w:eastAsia="zh-CN"/>
        </w:rPr>
        <w:t>李志军，赵光耀</w:t>
      </w:r>
    </w:p>
    <w:p w14:paraId="61C61A72">
      <w:pPr>
        <w:pStyle w:val="3"/>
        <w:rPr>
          <w:rFonts w:hint="default"/>
          <w:lang w:val="en-US" w:eastAsia="zh-CN"/>
        </w:rPr>
      </w:pPr>
      <w:r>
        <w:rPr>
          <w:rFonts w:hint="eastAsia"/>
          <w:lang w:val="en-US" w:eastAsia="zh-CN"/>
        </w:rPr>
        <w:t>单位：山西省农业厅（牧校）    重庆大学</w:t>
      </w:r>
    </w:p>
    <w:p w14:paraId="1C3445D2">
      <w:pPr>
        <w:pStyle w:val="5"/>
      </w:pPr>
      <w:bookmarkStart w:id="1" w:name="摘要"/>
      <w:r>
        <w:rPr>
          <w:rFonts w:hint="eastAsia"/>
        </w:rPr>
        <w:t>摘要：</w:t>
      </w:r>
    </w:p>
    <w:p w14:paraId="2700122A">
      <w:pPr>
        <w:pStyle w:val="4"/>
      </w:pPr>
      <w:r>
        <w:rPr>
          <w:rFonts w:hint="eastAsia"/>
        </w:rPr>
        <w:t>本章节旨在基于李-赵场组合波函数理论，阐述一个关键理论预言：在量子层面，一个孤立粒子的有效空间延展（即其波函数包络的特征尺度）与其能量呈反比关系。</w:t>
      </w:r>
      <w:r>
        <w:t xml:space="preserve"> </w:t>
      </w:r>
      <w:r>
        <w:rPr>
          <w:rFonts w:hint="eastAsia"/>
        </w:rPr>
        <w:t>这一性质直接导致其参与短程相互作用（如强相互作用、弱相互作用）的有效撞击截面随能量降低而减小。此预言与高能物理中“撞击截面随能量增加而增大”的经验规律并不矛盾，后者源于新反应通道的开放和点状成分的探测。我们的理论揭示了在低能、非相对论极限下，粒子作为整体性的场组合激发态所表现出的独特非定域性质。</w:t>
      </w:r>
    </w:p>
    <w:bookmarkEnd w:id="1"/>
    <w:p w14:paraId="5F35EBD0">
      <w:pPr>
        <w:pStyle w:val="5"/>
      </w:pPr>
      <w:bookmarkStart w:id="2" w:name="场组合波函数的能量-尺度关系"/>
      <w:r>
        <w:t xml:space="preserve">1. </w:t>
      </w:r>
      <w:r>
        <w:rPr>
          <w:rFonts w:hint="eastAsia"/>
        </w:rPr>
        <w:t>场组合波函数的能量-尺度关系</w:t>
      </w:r>
    </w:p>
    <w:p w14:paraId="1D7A6296">
      <w:pPr>
        <w:pStyle w:val="4"/>
      </w:pPr>
      <w:r>
        <w:rPr>
          <w:rFonts w:hint="eastAsia"/>
        </w:rPr>
        <w:t>在量子力学中，一个粒子的状态由波函数</w:t>
      </w:r>
      <w:r>
        <w:t xml:space="preserve"> </w:t>
      </w:r>
      <m:oMath>
        <m:r>
          <m:rPr/>
          <m:t>ψ</m:t>
        </m:r>
        <m:r>
          <m:rPr>
            <m:sty m:val="p"/>
          </m:rPr>
          <m:t>(</m:t>
        </m:r>
        <m:acc>
          <m:accPr>
            <m:chr m:val="⃗"/>
          </m:accPr>
          <m:e>
            <m:r>
              <m:rPr/>
              <m:t>x</m:t>
            </m:r>
          </m:e>
        </m:acc>
        <m:r>
          <m:rPr>
            <m:sty m:val="p"/>
          </m:rPr>
          <m:t>,</m:t>
        </m:r>
        <m:r>
          <m:rPr/>
          <m:t>t</m:t>
        </m:r>
        <m:r>
          <m:rPr>
            <m:sty m:val="p"/>
          </m:rPr>
          <m:t>)</m:t>
        </m:r>
      </m:oMath>
      <w:r>
        <w:t xml:space="preserve"> </w:t>
      </w:r>
      <w:r>
        <w:rPr>
          <w:rFonts w:hint="eastAsia"/>
        </w:rPr>
        <w:t>描述，</w:t>
      </w:r>
      <m:oMath>
        <m:r>
          <m:rPr/>
          <m:t>ψ</m:t>
        </m:r>
        <m:r>
          <m:rPr>
            <m:sty m:val="p"/>
          </m:rPr>
          <m:t>(</m:t>
        </m:r>
        <m:acc>
          <m:accPr>
            <m:chr m:val="⃗"/>
          </m:accPr>
          <m:e>
            <m:r>
              <m:rPr/>
              <m:t>x</m:t>
            </m:r>
          </m:e>
        </m:acc>
        <m:r>
          <m:rPr>
            <m:sty m:val="p"/>
          </m:rPr>
          <m:t>,</m:t>
        </m:r>
        <m:r>
          <m:rPr/>
          <m:t>t</m:t>
        </m:r>
        <m:sSup>
          <m:sSupPr/>
          <m:e>
            <m:r>
              <m:rPr>
                <m:sty m:val="p"/>
              </m:rPr>
              <m:t>)</m:t>
            </m:r>
          </m:e>
          <m:sup>
            <m:r>
              <m:rPr/>
              <m:t>2</m:t>
            </m:r>
          </m:sup>
        </m:sSup>
      </m:oMath>
      <w:r>
        <w:t xml:space="preserve"> </w:t>
      </w:r>
      <w:r>
        <w:rPr>
          <w:rFonts w:hint="eastAsia"/>
        </w:rPr>
        <w:t>表示在位置</w:t>
      </w:r>
      <w:r>
        <w:t xml:space="preserve"> </w:t>
      </w:r>
      <m:oMath>
        <m:acc>
          <m:accPr>
            <m:chr m:val="⃗"/>
          </m:accPr>
          <m:e>
            <m:r>
              <m:rPr/>
              <m:t>x</m:t>
            </m:r>
          </m:e>
        </m:acc>
      </m:oMath>
      <w:r>
        <w:t xml:space="preserve"> </w:t>
      </w:r>
      <w:r>
        <w:rPr>
          <w:rFonts w:hint="eastAsia"/>
        </w:rPr>
        <w:t>发现该粒子的概率密度。波函数在空间中的延展程度（即“体积”）由其特征尺度</w:t>
      </w:r>
      <w:r>
        <w:t xml:space="preserve"> </w:t>
      </w:r>
      <m:oMath>
        <m:r>
          <m:rPr>
            <m:sty m:val="p"/>
          </m:rPr>
          <m:t>Δ</m:t>
        </m:r>
        <m:r>
          <m:rPr/>
          <m:t>x</m:t>
        </m:r>
      </m:oMath>
      <w:r>
        <w:t xml:space="preserve"> </w:t>
      </w:r>
      <w:r>
        <w:rPr>
          <w:rFonts w:hint="eastAsia"/>
        </w:rPr>
        <w:t>描述。</w:t>
      </w:r>
    </w:p>
    <w:p w14:paraId="7FB9A7DA">
      <w:pPr>
        <w:pStyle w:val="3"/>
      </w:pPr>
      <w:r>
        <w:rPr>
          <w:rFonts w:hint="eastAsia"/>
        </w:rPr>
        <w:t>根据场组合理论，一个稳定的粒子（如质子</w:t>
      </w:r>
      <w:r>
        <w:t xml:space="preserve"> </w:t>
      </w:r>
      <w:r>
        <w:rPr>
          <w:rFonts w:hint="eastAsia"/>
        </w:rPr>
        <w:t>p）是背景场海</w:t>
      </w:r>
      <w:r>
        <w:t xml:space="preserve"> </w:t>
      </w:r>
      <m:oMath>
        <m:sSub>
          <m:sSubPr/>
          <m:e>
            <m:r>
              <m:rPr>
                <m:sty m:val="p"/>
                <m:scr m:val="script"/>
              </m:rPr>
              <m:t>ℋ</m:t>
            </m:r>
          </m:e>
          <m:sub>
            <m:r>
              <m:rPr>
                <m:sty m:val="p"/>
              </m:rPr>
              <m:t>total</m:t>
            </m:r>
          </m:sub>
        </m:sSub>
      </m:oMath>
      <w:r>
        <w:t xml:space="preserve"> </w:t>
      </w:r>
      <w:r>
        <w:rPr>
          <w:rFonts w:hint="eastAsia"/>
        </w:rPr>
        <w:t>的一个特定束缚态或孤子解，其波函数包络由系统的能量极小条件决定。</w:t>
      </w:r>
    </w:p>
    <w:p w14:paraId="5F321446">
      <w:pPr>
        <w:numPr>
          <w:ilvl w:val="0"/>
          <w:numId w:val="1"/>
        </w:numPr>
      </w:pPr>
      <w:r>
        <w:rPr>
          <w:rFonts w:hint="eastAsia"/>
          <w:b/>
          <w:bCs/>
        </w:rPr>
        <w:t>能量-动量关系与德布罗意波长：</w:t>
      </w:r>
      <w:r>
        <w:t xml:space="preserve"> </w:t>
      </w:r>
      <w:r>
        <w:rPr>
          <w:rFonts w:hint="eastAsia"/>
        </w:rPr>
        <w:t>对于一个自由粒子，其波函数是平面波解</w:t>
      </w:r>
      <w:r>
        <w:t xml:space="preserve"> </w:t>
      </w:r>
      <m:oMath>
        <m:sSup>
          <m:sSupPr/>
          <m:e>
            <m:r>
              <m:rPr/>
              <m:t>e</m:t>
            </m:r>
          </m:e>
          <m:sup>
            <m:r>
              <m:rPr/>
              <m:t>i</m:t>
            </m:r>
            <m:r>
              <m:rPr>
                <m:sty m:val="p"/>
              </m:rPr>
              <m:t>(</m:t>
            </m:r>
            <m:acc>
              <m:accPr>
                <m:chr m:val="⃗"/>
              </m:accPr>
              <m:e>
                <m:r>
                  <m:rPr/>
                  <m:t>p</m:t>
                </m:r>
              </m:e>
            </m:acc>
            <m:r>
              <m:rPr>
                <m:sty m:val="p"/>
              </m:rPr>
              <m:t>⋅</m:t>
            </m:r>
            <m:acc>
              <m:accPr>
                <m:chr m:val="⃗"/>
              </m:accPr>
              <m:e>
                <m:r>
                  <m:rPr/>
                  <m:t>x</m:t>
                </m:r>
              </m:e>
            </m:acc>
            <m:r>
              <m:rPr>
                <m:sty m:val="p"/>
              </m:rPr>
              <m:t>−</m:t>
            </m:r>
            <m:r>
              <m:rPr/>
              <m:t>Et</m:t>
            </m:r>
            <m:r>
              <m:rPr>
                <m:sty m:val="p"/>
              </m:rPr>
              <m:t>)/ℏ</m:t>
            </m:r>
          </m:sup>
        </m:sSup>
      </m:oMath>
      <w:r>
        <w:rPr>
          <w:rFonts w:hint="eastAsia"/>
        </w:rPr>
        <w:t>。该波函数在空间上是无限延展的，但其振荡的相位信息具有一个特征波长——德布罗意波长：</w:t>
      </w:r>
    </w:p>
    <w:p w14:paraId="7A766C39">
      <w:pPr>
        <w:pStyle w:val="3"/>
      </w:pPr>
      <m:oMathPara>
        <m:oMathParaPr>
          <m:jc m:val="center"/>
        </m:oMathParaPr>
        <m:oMath>
          <m:sSub>
            <m:sSubPr/>
            <m:e>
              <m:r>
                <m:rPr/>
                <m:t>λ</m:t>
              </m:r>
            </m:e>
            <m:sub>
              <m:r>
                <m:rPr>
                  <m:sty m:val="p"/>
                </m:rPr>
                <m:t>dB</m:t>
              </m:r>
            </m:sub>
          </m:sSub>
          <m:r>
            <m:rPr>
              <m:sty m:val="p"/>
            </m:rPr>
            <m:t>=</m:t>
          </m:r>
          <m:f>
            <m:fPr/>
            <m:num>
              <m:r>
                <m:rPr/>
                <m:t>h</m:t>
              </m:r>
            </m:num>
            <m:den>
              <m:r>
                <m:rPr/>
                <m:t>p</m:t>
              </m:r>
            </m:den>
          </m:f>
        </m:oMath>
      </m:oMathPara>
    </w:p>
    <w:p w14:paraId="3100F647">
      <w:pPr>
        <w:numPr>
          <w:ilvl w:val="0"/>
          <w:numId w:val="2"/>
        </w:numPr>
      </w:pPr>
      <w:r>
        <w:br w:type="textWrapping"/>
      </w:r>
      <w:r>
        <w:rPr>
          <w:rFonts w:hint="eastAsia"/>
        </w:rPr>
        <w:t>其中</w:t>
      </w:r>
      <w:r>
        <w:t xml:space="preserve"> </w:t>
      </w:r>
      <m:oMath>
        <m:r>
          <m:rPr/>
          <m:t>p</m:t>
        </m:r>
      </m:oMath>
      <w:r>
        <w:t xml:space="preserve"> </w:t>
      </w:r>
      <w:r>
        <w:rPr>
          <w:rFonts w:hint="eastAsia"/>
        </w:rPr>
        <w:t>是粒子动量。在低能非相对论极限下</w:t>
      </w:r>
      <w:r>
        <w:t xml:space="preserve"> (</w:t>
      </w:r>
      <m:oMath>
        <m:r>
          <m:rPr/>
          <m:t>E</m:t>
        </m:r>
        <m:r>
          <m:rPr>
            <m:sty m:val="p"/>
          </m:rPr>
          <m:t>≈</m:t>
        </m:r>
        <m:r>
          <m:rPr/>
          <m:t>m</m:t>
        </m:r>
        <m:sSup>
          <m:sSupPr/>
          <m:e>
            <m:r>
              <m:rPr/>
              <m:t>c</m:t>
            </m:r>
          </m:e>
          <m:sup>
            <m:r>
              <m:rPr/>
              <m:t>2</m:t>
            </m:r>
          </m:sup>
        </m:sSup>
        <m:r>
          <m:rPr>
            <m:sty m:val="p"/>
          </m:rPr>
          <m:t>+</m:t>
        </m:r>
        <m:f>
          <m:fPr/>
          <m:num>
            <m:sSup>
              <m:sSupPr/>
              <m:e>
                <m:r>
                  <m:rPr/>
                  <m:t>p</m:t>
                </m:r>
              </m:e>
              <m:sup>
                <m:r>
                  <m:rPr/>
                  <m:t>2</m:t>
                </m:r>
              </m:sup>
            </m:sSup>
          </m:num>
          <m:den>
            <m:r>
              <m:rPr/>
              <m:t>2m</m:t>
            </m:r>
          </m:den>
        </m:f>
      </m:oMath>
      <w:r>
        <w:rPr>
          <w:rFonts w:hint="eastAsia"/>
        </w:rPr>
        <w:t>)，动量</w:t>
      </w:r>
      <w:r>
        <w:t xml:space="preserve"> </w:t>
      </w:r>
      <m:oMath>
        <m:r>
          <m:rPr/>
          <m:t>p</m:t>
        </m:r>
      </m:oMath>
      <w:r>
        <w:t xml:space="preserve"> </w:t>
      </w:r>
      <w:r>
        <w:rPr>
          <w:rFonts w:hint="eastAsia"/>
        </w:rPr>
        <w:t>很小，因此</w:t>
      </w:r>
      <w:r>
        <w:t xml:space="preserve"> </w:t>
      </w:r>
      <m:oMath>
        <m:sSub>
          <m:sSubPr/>
          <m:e>
            <m:r>
              <m:rPr/>
              <m:t>λ</m:t>
            </m:r>
          </m:e>
          <m:sub>
            <m:r>
              <m:rPr>
                <m:sty m:val="p"/>
              </m:rPr>
              <m:t>dB</m:t>
            </m:r>
          </m:sub>
        </m:sSub>
      </m:oMath>
      <w:r>
        <w:t xml:space="preserve"> </w:t>
      </w:r>
      <w:r>
        <w:rPr>
          <w:rFonts w:hint="eastAsia"/>
        </w:rPr>
        <w:t>很大。这定性地表明，低能粒子的量子波函数相位相干尺度更大。</w:t>
      </w:r>
    </w:p>
    <w:p w14:paraId="58D815EF">
      <w:pPr>
        <w:numPr>
          <w:ilvl w:val="0"/>
          <w:numId w:val="1"/>
        </w:numPr>
      </w:pPr>
      <w:r>
        <w:rPr>
          <w:rFonts w:hint="eastAsia"/>
          <w:b/>
          <w:bCs/>
        </w:rPr>
        <w:t>更一般的波函数包络：</w:t>
      </w:r>
      <w:r>
        <w:t xml:space="preserve"> </w:t>
      </w:r>
      <w:r>
        <w:rPr>
          <w:rFonts w:hint="eastAsia"/>
        </w:rPr>
        <w:t>对于一个局域化的粒子（如原子中的电子、核子），其波函数不是一个平面波，而是一个波包。波包的空间宽度</w:t>
      </w:r>
      <w:r>
        <w:t xml:space="preserve"> </w:t>
      </w:r>
      <m:oMath>
        <m:r>
          <m:rPr>
            <m:sty m:val="p"/>
          </m:rPr>
          <m:t>Δ</m:t>
        </m:r>
        <m:r>
          <m:rPr/>
          <m:t>x</m:t>
        </m:r>
      </m:oMath>
      <w:r>
        <w:t xml:space="preserve"> </w:t>
      </w:r>
      <w:r>
        <w:rPr>
          <w:rFonts w:hint="eastAsia"/>
        </w:rPr>
        <w:t>与其动量的不确定性</w:t>
      </w:r>
      <w:r>
        <w:t xml:space="preserve"> </w:t>
      </w:r>
      <m:oMath>
        <m:r>
          <m:rPr>
            <m:sty m:val="p"/>
          </m:rPr>
          <m:t>Δ</m:t>
        </m:r>
        <m:r>
          <m:rPr/>
          <m:t>p</m:t>
        </m:r>
      </m:oMath>
      <w:r>
        <w:t xml:space="preserve"> </w:t>
      </w:r>
      <w:r>
        <w:rPr>
          <w:rFonts w:hint="eastAsia"/>
        </w:rPr>
        <w:t>满足海森堡不确定性原理：</w:t>
      </w:r>
      <m:oMath>
        <m:r>
          <m:rPr>
            <m:sty m:val="p"/>
          </m:rPr>
          <m:t>Δ</m:t>
        </m:r>
        <m:r>
          <m:rPr/>
          <m:t>x </m:t>
        </m:r>
        <m:r>
          <m:rPr>
            <m:sty m:val="p"/>
          </m:rPr>
          <m:t>Δ</m:t>
        </m:r>
        <m:r>
          <m:rPr/>
          <m:t>p</m:t>
        </m:r>
        <m:r>
          <m:rPr>
            <m:sty m:val="p"/>
          </m:rPr>
          <m:t>≳ℏ/</m:t>
        </m:r>
        <m:r>
          <m:rPr/>
          <m:t>2</m:t>
        </m:r>
      </m:oMath>
      <w:r>
        <w:rPr>
          <w:rFonts w:hint="eastAsia"/>
        </w:rPr>
        <w:t>。当一个粒子被冷却或被束缚在低能态时，其平均动能降低，动量不确定性</w:t>
      </w:r>
      <w:r>
        <w:t xml:space="preserve"> </w:t>
      </w:r>
      <m:oMath>
        <m:r>
          <m:rPr>
            <m:sty m:val="p"/>
          </m:rPr>
          <m:t>Δ</m:t>
        </m:r>
        <m:r>
          <m:rPr/>
          <m:t>p</m:t>
        </m:r>
      </m:oMath>
      <w:r>
        <w:t xml:space="preserve"> </w:t>
      </w:r>
      <w:r>
        <w:rPr>
          <w:rFonts w:hint="eastAsia"/>
        </w:rPr>
        <w:t>相应减小。为了满足不确定性原理，其位置不确定性</w:t>
      </w:r>
      <w:r>
        <w:t xml:space="preserve"> </w:t>
      </w:r>
      <m:oMath>
        <m:r>
          <m:rPr>
            <m:sty m:val="p"/>
          </m:rPr>
          <m:t>Δ</m:t>
        </m:r>
        <m:r>
          <m:rPr/>
          <m:t>x</m:t>
        </m:r>
      </m:oMath>
      <w:r>
        <w:rPr>
          <w:rFonts w:hint="eastAsia"/>
        </w:rPr>
        <w:t>（即波包的空间延展）必须增大。</w:t>
      </w:r>
    </w:p>
    <w:p w14:paraId="55920E29">
      <w:pPr>
        <w:pStyle w:val="4"/>
      </w:pPr>
      <w:r>
        <w:rPr>
          <w:rFonts w:hint="eastAsia"/>
          <w:b/>
          <w:bCs/>
        </w:rPr>
        <w:t>结论1：</w:t>
      </w:r>
      <w:r>
        <w:t xml:space="preserve"> </w:t>
      </w:r>
      <w:r>
        <w:rPr>
          <w:rFonts w:hint="eastAsia"/>
        </w:rPr>
        <w:t>在场组合理论中，一个处于低能态的粒子，其波函数包络的特征尺度</w:t>
      </w:r>
      <w:r>
        <w:t xml:space="preserve"> </w:t>
      </w:r>
      <m:oMath>
        <m:r>
          <m:rPr>
            <m:sty m:val="p"/>
          </m:rPr>
          <m:t>Δ</m:t>
        </m:r>
        <m:r>
          <m:rPr/>
          <m:t>x</m:t>
        </m:r>
      </m:oMath>
      <w:r>
        <w:t xml:space="preserve"> </w:t>
      </w:r>
      <w:r>
        <w:rPr>
          <w:rFonts w:hint="eastAsia"/>
        </w:rPr>
        <w:t>会增大。这就是“能量越小，‘体积’越大”的量子力学本质。</w:t>
      </w:r>
    </w:p>
    <w:bookmarkEnd w:id="2"/>
    <w:p w14:paraId="26B0D0C3">
      <w:pPr>
        <w:pStyle w:val="5"/>
      </w:pPr>
      <w:bookmarkStart w:id="3" w:name="有效撞击截面的能量依赖性"/>
      <w:r>
        <w:t xml:space="preserve">2. </w:t>
      </w:r>
      <w:r>
        <w:rPr>
          <w:rFonts w:hint="eastAsia"/>
        </w:rPr>
        <w:t>有效撞击截面的能量依赖性</w:t>
      </w:r>
    </w:p>
    <w:p w14:paraId="3136A68E">
      <w:pPr>
        <w:pStyle w:val="4"/>
      </w:pPr>
      <w:r>
        <w:rPr>
          <w:rFonts w:hint="eastAsia"/>
        </w:rPr>
        <w:t>粒子的撞击截面</w:t>
      </w:r>
      <w:r>
        <w:t xml:space="preserve"> </w:t>
      </w:r>
      <m:oMath>
        <m:r>
          <m:rPr/>
          <m:t>σ</m:t>
        </m:r>
      </m:oMath>
      <w:r>
        <w:t xml:space="preserve"> </w:t>
      </w:r>
      <w:r>
        <w:rPr>
          <w:rFonts w:hint="eastAsia"/>
        </w:rPr>
        <w:t>衡量其发生相互作用的概率，它并非一个固定不变的几何面积，而是一个与相互作用类型和能量密切相关的动力学量。</w:t>
      </w:r>
    </w:p>
    <w:p w14:paraId="59E3092E">
      <w:pPr>
        <w:numPr>
          <w:ilvl w:val="0"/>
          <w:numId w:val="1"/>
        </w:numPr>
      </w:pPr>
      <w:r>
        <w:rPr>
          <w:rFonts w:hint="eastAsia"/>
          <w:b/>
          <w:bCs/>
        </w:rPr>
        <w:t>短程相互作用：</w:t>
      </w:r>
      <w:r>
        <w:t xml:space="preserve"> </w:t>
      </w:r>
      <w:r>
        <w:rPr>
          <w:rFonts w:hint="eastAsia"/>
        </w:rPr>
        <w:t>强相互作用和弱相互作用都是短程力，其力程极短（</w:t>
      </w:r>
      <m:oMath>
        <m:r>
          <m:rPr>
            <m:sty m:val="p"/>
          </m:rPr>
          <m:t>∼</m:t>
        </m:r>
        <m:sSup>
          <m:sSupPr/>
          <m:e>
            <m:r>
              <m:rPr/>
              <m:t>10</m:t>
            </m:r>
          </m:e>
          <m:sup>
            <m:r>
              <m:rPr>
                <m:sty m:val="p"/>
              </m:rPr>
              <m:t>−</m:t>
            </m:r>
            <m:r>
              <m:rPr/>
              <m:t>15</m:t>
            </m:r>
          </m:sup>
        </m:sSup>
      </m:oMath>
      <w:r>
        <w:t xml:space="preserve"> </w:t>
      </w:r>
      <w:r>
        <w:rPr>
          <w:rFonts w:hint="eastAsia"/>
        </w:rPr>
        <w:t>m量级）。相互作用的概率取决于粒子的波函数与靶标粒子的波函数在力程范围内的重叠积分。</w:t>
      </w:r>
    </w:p>
    <w:p w14:paraId="3F3D0F27">
      <w:pPr>
        <w:numPr>
          <w:ilvl w:val="0"/>
          <w:numId w:val="1"/>
        </w:numPr>
      </w:pPr>
      <w:r>
        <w:rPr>
          <w:rFonts w:hint="eastAsia"/>
          <w:b/>
          <w:bCs/>
        </w:rPr>
        <w:t>低能情况：</w:t>
      </w:r>
      <w:r>
        <w:t xml:space="preserve"> </w:t>
      </w:r>
      <w:r>
        <w:rPr>
          <w:rFonts w:hint="eastAsia"/>
        </w:rPr>
        <w:t>当粒子能量很低时，如上所述，其波函数在空间上非常弥散，</w:t>
      </w:r>
      <m:oMath>
        <m:r>
          <m:rPr>
            <m:sty m:val="p"/>
          </m:rPr>
          <m:t>Δ</m:t>
        </m:r>
        <m:r>
          <m:rPr/>
          <m:t>x</m:t>
        </m:r>
      </m:oMath>
      <w:r>
        <w:t xml:space="preserve"> </w:t>
      </w:r>
      <w:r>
        <w:rPr>
          <w:rFonts w:hint="eastAsia"/>
        </w:rPr>
        <w:t>很大。这意味着，将其概率密度“浓缩”在短程力起作用的微小空间区域内的概率幅非常小。因此，尽管粒子的“体积”变大了，但其有效相互作用强度在单位体积内被稀释了。计算表明，对于短程相互作用，撞击截面与波函数在相互作用中心的概率密度成正比。对于一个空间尺度为</w:t>
      </w:r>
      <w:r>
        <w:t xml:space="preserve"> </w:t>
      </w:r>
      <m:oMath>
        <m:r>
          <m:rPr>
            <m:sty m:val="p"/>
          </m:rPr>
          <m:t>Δ</m:t>
        </m:r>
        <m:r>
          <m:rPr/>
          <m:t>x</m:t>
        </m:r>
      </m:oMath>
      <w:r>
        <w:t xml:space="preserve"> </w:t>
      </w:r>
      <w:r>
        <w:rPr>
          <w:rFonts w:hint="eastAsia"/>
        </w:rPr>
        <w:t>的波包，其中心区域的概率密度约</w:t>
      </w:r>
      <w:r>
        <w:t xml:space="preserve"> </w:t>
      </w:r>
      <m:oMath>
        <m:r>
          <m:rPr>
            <m:sty m:val="p"/>
          </m:rPr>
          <m:t>∝</m:t>
        </m:r>
        <m:r>
          <m:rPr/>
          <m:t>1</m:t>
        </m:r>
        <m:r>
          <m:rPr>
            <m:sty m:val="p"/>
          </m:rPr>
          <m:t>/(Δ</m:t>
        </m:r>
        <m:r>
          <m:rPr/>
          <m:t>x</m:t>
        </m:r>
        <m:sSup>
          <m:sSupPr/>
          <m:e>
            <m:r>
              <m:rPr>
                <m:sty m:val="p"/>
              </m:rPr>
              <m:t>)</m:t>
            </m:r>
          </m:e>
          <m:sup>
            <m:r>
              <m:rPr/>
              <m:t>3</m:t>
            </m:r>
          </m:sup>
        </m:sSup>
      </m:oMath>
      <w:r>
        <w:rPr>
          <w:rFonts w:hint="eastAsia"/>
        </w:rPr>
        <w:t>。因此，有效撞击截面满足：</w:t>
      </w:r>
    </w:p>
    <w:p w14:paraId="77425682">
      <w:pPr>
        <w:pStyle w:val="3"/>
      </w:pPr>
      <m:oMathPara>
        <m:oMathParaPr>
          <m:jc m:val="center"/>
        </m:oMathParaPr>
        <m:oMath>
          <m:sSub>
            <m:sSubPr/>
            <m:e>
              <m:r>
                <m:rPr/>
                <m:t>σ</m:t>
              </m:r>
            </m:e>
            <m:sub>
              <m:r>
                <m:rPr>
                  <m:sty m:val="p"/>
                </m:rPr>
                <m:t>short−range</m:t>
              </m:r>
            </m:sub>
          </m:sSub>
          <m:r>
            <m:rPr>
              <m:sty m:val="p"/>
            </m:rPr>
            <m:t>∝</m:t>
          </m:r>
          <m:f>
            <m:fPr/>
            <m:num>
              <m:r>
                <m:rPr/>
                <m:t>1</m:t>
              </m:r>
            </m:num>
            <m:den>
              <m:r>
                <m:rPr>
                  <m:sty m:val="p"/>
                </m:rPr>
                <m:t>(Δ</m:t>
              </m:r>
              <m:r>
                <m:rPr/>
                <m:t>x</m:t>
              </m:r>
              <m:sSup>
                <m:sSupPr/>
                <m:e>
                  <m:r>
                    <m:rPr>
                      <m:sty m:val="p"/>
                    </m:rPr>
                    <m:t>)</m:t>
                  </m:r>
                </m:e>
                <m:sup>
                  <m:r>
                    <m:rPr/>
                    <m:t>3</m:t>
                  </m:r>
                </m:sup>
              </m:sSup>
            </m:den>
          </m:f>
          <m:r>
            <m:rPr>
              <m:sty m:val="p"/>
            </m:rPr>
            <m:t>∝(Δ</m:t>
          </m:r>
          <m:r>
            <m:rPr/>
            <m:t>p</m:t>
          </m:r>
          <m:sSup>
            <m:sSupPr/>
            <m:e>
              <m:r>
                <m:rPr>
                  <m:sty m:val="p"/>
                </m:rPr>
                <m:t>)</m:t>
              </m:r>
            </m:e>
            <m:sup>
              <m:r>
                <m:rPr/>
                <m:t>3</m:t>
              </m:r>
            </m:sup>
          </m:sSup>
          <m:r>
            <m:rPr>
              <m:sty m:val="p"/>
            </m:rPr>
            <m:t>∝</m:t>
          </m:r>
          <m:sSup>
            <m:sSupPr/>
            <m:e>
              <m:r>
                <m:rPr/>
                <m:t>E</m:t>
              </m:r>
            </m:e>
            <m:sup>
              <m:r>
                <m:rPr/>
                <m:t>3</m:t>
              </m:r>
              <m:r>
                <m:rPr>
                  <m:sty m:val="p"/>
                </m:rPr>
                <m:t>/</m:t>
              </m:r>
              <m:r>
                <m:rPr/>
                <m:t>2</m:t>
              </m:r>
            </m:sup>
          </m:sSup>
        </m:oMath>
      </m:oMathPara>
    </w:p>
    <w:p w14:paraId="5E361E75">
      <w:pPr>
        <w:numPr>
          <w:ilvl w:val="0"/>
          <w:numId w:val="2"/>
        </w:numPr>
      </w:pPr>
      <w:r>
        <w:br w:type="textWrapping"/>
      </w:r>
      <w:r>
        <w:rPr>
          <w:rFonts w:hint="eastAsia"/>
        </w:rPr>
        <w:t>（最后一步在非相对论极限下成立，</w:t>
      </w:r>
      <m:oMath>
        <m:sSub>
          <m:sSubPr/>
          <m:e>
            <m:r>
              <m:rPr/>
              <m:t>E</m:t>
            </m:r>
          </m:e>
          <m:sub>
            <m:r>
              <m:rPr/>
              <m:t>k</m:t>
            </m:r>
          </m:sub>
        </m:sSub>
        <m:r>
          <m:rPr>
            <m:sty m:val="p"/>
          </m:rPr>
          <m:t>∝</m:t>
        </m:r>
        <m:sSup>
          <m:sSupPr/>
          <m:e>
            <m:r>
              <m:rPr/>
              <m:t>p</m:t>
            </m:r>
          </m:e>
          <m:sup>
            <m:r>
              <m:rPr/>
              <m:t>2</m:t>
            </m:r>
          </m:sup>
        </m:sSup>
      </m:oMath>
      <w:r>
        <w:rPr>
          <w:rFonts w:hint="eastAsia"/>
        </w:rPr>
        <w:t>）。</w:t>
      </w:r>
    </w:p>
    <w:p w14:paraId="25678D77">
      <w:pPr>
        <w:pStyle w:val="4"/>
      </w:pPr>
      <w:r>
        <w:rPr>
          <w:rFonts w:hint="eastAsia"/>
          <w:b/>
          <w:bCs/>
        </w:rPr>
        <w:t>结论2：</w:t>
      </w:r>
      <w:r>
        <w:t xml:space="preserve"> </w:t>
      </w:r>
      <w:r>
        <w:rPr>
          <w:rFonts w:hint="eastAsia"/>
        </w:rPr>
        <w:t>对于短程相互作用，粒子的有效撞击截面</w:t>
      </w:r>
      <w:r>
        <w:t xml:space="preserve"> </w:t>
      </w:r>
      <m:oMath>
        <m:r>
          <m:rPr/>
          <m:t>σ</m:t>
        </m:r>
      </m:oMath>
      <w:r>
        <w:t xml:space="preserve"> </w:t>
      </w:r>
      <w:r>
        <w:rPr>
          <w:rFonts w:hint="eastAsia"/>
        </w:rPr>
        <w:t>随其能量</w:t>
      </w:r>
      <w:r>
        <w:t xml:space="preserve"> </w:t>
      </w:r>
      <m:oMath>
        <m:r>
          <m:rPr/>
          <m:t>E</m:t>
        </m:r>
      </m:oMath>
      <w:r>
        <w:t xml:space="preserve"> </w:t>
      </w:r>
      <w:r>
        <w:rPr>
          <w:rFonts w:hint="eastAsia"/>
        </w:rPr>
        <w:t>的降低而减小。这就是“体积越大，撞击截面越小”的内在机制。</w:t>
      </w:r>
      <w:r>
        <w:t xml:space="preserve"> </w:t>
      </w:r>
      <w:r>
        <w:rPr>
          <w:rFonts w:hint="eastAsia"/>
        </w:rPr>
        <w:t>一个弥散的、低能的粒子更像一个“幽灵”，更容易穿透其他物质而不发生相互作用。</w:t>
      </w:r>
    </w:p>
    <w:bookmarkEnd w:id="3"/>
    <w:p w14:paraId="57E89A6E">
      <w:pPr>
        <w:pStyle w:val="5"/>
      </w:pPr>
      <w:bookmarkStart w:id="4" w:name="与高能物理现象的辩证统一"/>
      <w:r>
        <w:t xml:space="preserve">3. </w:t>
      </w:r>
      <w:r>
        <w:rPr>
          <w:rFonts w:hint="eastAsia"/>
        </w:rPr>
        <w:t>与高能物理现象的辩证统一</w:t>
      </w:r>
    </w:p>
    <w:p w14:paraId="33A8BF42">
      <w:pPr>
        <w:pStyle w:val="4"/>
      </w:pPr>
      <w:r>
        <w:rPr>
          <w:rFonts w:hint="eastAsia"/>
        </w:rPr>
        <w:t>这一结论似乎与高能物理实验（如LHC）的观测——撞击截面随质心系能量增加而增大——相悖。但实际上，两者描述的是不同物理层面：</w:t>
      </w:r>
    </w:p>
    <w:p w14:paraId="7997749B">
      <w:pPr>
        <w:numPr>
          <w:ilvl w:val="0"/>
          <w:numId w:val="1"/>
        </w:numPr>
      </w:pPr>
      <w:r>
        <w:rPr>
          <w:rFonts w:hint="eastAsia"/>
          <w:b/>
          <w:bCs/>
        </w:rPr>
        <w:t>高能对撞：</w:t>
      </w:r>
      <w:r>
        <w:t xml:space="preserve"> </w:t>
      </w:r>
      <w:r>
        <w:rPr>
          <w:rFonts w:hint="eastAsia"/>
        </w:rPr>
        <w:t>在极高能量下，我们探测的不再是作为整体粒子的“体积”，而是其内部的点状组分（夸克、胶子）。能量越高，探测的尺度越小，分辨率越高，越能揭示粒子内部更细微的结构和更多的反应道。总截面的增加主要来源于新反应过程（如新粒子产生）的开放，而非整体粒子几何截面的增加。</w:t>
      </w:r>
    </w:p>
    <w:p w14:paraId="57956245">
      <w:pPr>
        <w:numPr>
          <w:ilvl w:val="0"/>
          <w:numId w:val="1"/>
        </w:numPr>
      </w:pPr>
      <w:r>
        <w:rPr>
          <w:rFonts w:hint="eastAsia"/>
          <w:b/>
          <w:bCs/>
        </w:rPr>
        <w:t>低能散射：</w:t>
      </w:r>
      <w:r>
        <w:t xml:space="preserve"> </w:t>
      </w:r>
      <w:r>
        <w:rPr>
          <w:rFonts w:hint="eastAsia"/>
        </w:rPr>
        <w:t>我们此处讨论的，是粒子作为一个不可分割的、整体的场组合激发态所具有的性质。在这种情况下，量子力学的波函数弥散效应占主导地位。</w:t>
      </w:r>
    </w:p>
    <w:bookmarkEnd w:id="4"/>
    <w:p w14:paraId="5275D792">
      <w:pPr>
        <w:pStyle w:val="5"/>
      </w:pPr>
      <w:bookmarkStart w:id="5" w:name="结论与实验验证"/>
      <w:r>
        <w:t xml:space="preserve">4. </w:t>
      </w:r>
      <w:r>
        <w:rPr>
          <w:rFonts w:hint="eastAsia"/>
        </w:rPr>
        <w:t>结论与实验验证</w:t>
      </w:r>
    </w:p>
    <w:p w14:paraId="20D17BF3">
      <w:pPr>
        <w:pStyle w:val="4"/>
      </w:pPr>
      <w:r>
        <w:rPr>
          <w:rFonts w:hint="eastAsia"/>
        </w:rPr>
        <w:t>本章节基于场组合波函数理论，阐明了粒子能量、空间延展与相互作用截面之间的深刻联系：</w:t>
      </w:r>
    </w:p>
    <w:p w14:paraId="1A866288">
      <w:pPr>
        <w:pStyle w:val="27"/>
        <w:numPr>
          <w:ilvl w:val="0"/>
          <w:numId w:val="3"/>
        </w:numPr>
      </w:pPr>
      <w:r>
        <w:rPr>
          <w:rFonts w:hint="eastAsia"/>
        </w:rPr>
        <w:t>低能粒子表现出更强的非定域性，其波函数空间延展更大（“体积”越大）。</w:t>
      </w:r>
    </w:p>
    <w:p w14:paraId="6E14DF59">
      <w:pPr>
        <w:pStyle w:val="27"/>
        <w:numPr>
          <w:ilvl w:val="0"/>
          <w:numId w:val="3"/>
        </w:numPr>
      </w:pPr>
      <w:r>
        <w:rPr>
          <w:rFonts w:hint="eastAsia"/>
        </w:rPr>
        <w:t>这种弥散导致其在参与短程相互作用时，有效撞击截面反而减小。</w:t>
      </w:r>
    </w:p>
    <w:p w14:paraId="29F5259E">
      <w:pPr>
        <w:pStyle w:val="4"/>
      </w:pPr>
      <w:r>
        <w:rPr>
          <w:rFonts w:hint="eastAsia"/>
          <w:b/>
          <w:bCs/>
        </w:rPr>
        <w:t>实验验证方向：</w:t>
      </w:r>
    </w:p>
    <w:p w14:paraId="1D6A831D">
      <w:pPr>
        <w:numPr>
          <w:ilvl w:val="0"/>
          <w:numId w:val="1"/>
        </w:numPr>
      </w:pPr>
      <w:r>
        <w:rPr>
          <w:rFonts w:hint="eastAsia"/>
        </w:rPr>
        <w:t>极低能中子散射：</w:t>
      </w:r>
      <w:r>
        <w:t xml:space="preserve"> </w:t>
      </w:r>
      <w:r>
        <w:rPr>
          <w:rFonts w:hint="eastAsia"/>
        </w:rPr>
        <w:t>测量超冷中子与原子核的相互作用截面，验证其随能量降低而减小的规律。</w:t>
      </w:r>
    </w:p>
    <w:p w14:paraId="74B3BA0F">
      <w:pPr>
        <w:numPr>
          <w:ilvl w:val="0"/>
          <w:numId w:val="1"/>
        </w:numPr>
      </w:pPr>
      <w:r>
        <w:rPr>
          <w:rFonts w:hint="eastAsia"/>
        </w:rPr>
        <w:t>中微子振荡：</w:t>
      </w:r>
      <w:r>
        <w:t xml:space="preserve"> </w:t>
      </w:r>
      <w:r>
        <w:rPr>
          <w:rFonts w:hint="eastAsia"/>
        </w:rPr>
        <w:t>低能中微子具有极长的德布罗意波长，其与物质的相互作用截面极小，这与我们的理论图像一致。</w:t>
      </w:r>
    </w:p>
    <w:p w14:paraId="7FFFFD27">
      <w:pPr>
        <w:numPr>
          <w:ilvl w:val="0"/>
          <w:numId w:val="1"/>
        </w:numPr>
      </w:pPr>
      <w:r>
        <w:rPr>
          <w:rFonts w:hint="eastAsia"/>
        </w:rPr>
        <w:t>暗物质探测：</w:t>
      </w:r>
      <w:r>
        <w:t xml:space="preserve"> </w:t>
      </w:r>
      <w:r>
        <w:rPr>
          <w:rFonts w:hint="eastAsia"/>
        </w:rPr>
        <w:t>如果暗物质粒子是重且冷的（能量很低），其波函数非常弥散，这将导致其与普通物质的相互作用截面极低，为直接探测带来巨大挑战，但也提供了理论依据。</w:t>
      </w:r>
    </w:p>
    <w:p w14:paraId="702B1A7C">
      <w:pPr>
        <w:pStyle w:val="4"/>
        <w:rPr>
          <w:rFonts w:hint="eastAsia"/>
        </w:rPr>
      </w:pPr>
      <w:r>
        <w:rPr>
          <w:rFonts w:hint="eastAsia"/>
        </w:rPr>
        <w:t>这一认识深化了我们对粒子本质的理解，即粒子既是定域的激发，又是非定域的波，其“大小”和“相互作用能力”强烈依赖于其所处的能量状态。</w:t>
      </w:r>
    </w:p>
    <w:p w14:paraId="6B78CCEE">
      <w:pPr>
        <w:keepNext w:val="0"/>
        <w:keepLines w:val="0"/>
        <w:widowControl/>
        <w:suppressLineNumbers w:val="0"/>
        <w:ind w:firstLine="482" w:firstLineChars="200"/>
        <w:jc w:val="left"/>
        <w:rPr>
          <w:rFonts w:hint="eastAsia"/>
          <w:b/>
          <w:bCs/>
        </w:rPr>
      </w:pPr>
      <w:bookmarkStart w:id="6" w:name="_GoBack"/>
      <w:r>
        <w:rPr>
          <w:rFonts w:ascii="宋体" w:hAnsi="宋体" w:eastAsia="宋体" w:cs="宋体"/>
          <w:b/>
          <w:bCs/>
          <w:kern w:val="0"/>
          <w:sz w:val="24"/>
          <w:szCs w:val="24"/>
          <w:lang w:val="en-US" w:eastAsia="zh-CN" w:bidi="ar"/>
        </w:rPr>
        <w:t>参考文献</w:t>
      </w:r>
    </w:p>
    <w:bookmarkEnd w:id="6"/>
    <w:p w14:paraId="5E874BA9">
      <w:pPr>
        <w:pStyle w:val="21"/>
        <w:keepNext w:val="0"/>
        <w:keepLines w:val="0"/>
        <w:widowControl/>
        <w:suppressLineNumbers w:val="0"/>
      </w:pPr>
      <w:r>
        <w:t>[1] Li, Z. J., Zhao, G. Y. Field Combination Theory: A Complete Framework. Preprint (2023).</w:t>
      </w:r>
    </w:p>
    <w:p w14:paraId="49455B06">
      <w:pPr>
        <w:pStyle w:val="21"/>
        <w:keepNext w:val="0"/>
        <w:keepLines w:val="0"/>
        <w:widowControl/>
        <w:suppressLineNumbers w:val="0"/>
      </w:pPr>
      <w:r>
        <w:t>[2] Farnes, J. S. A unifying theory of dark energy and dark matter: Negative masses and matter creation within a modified ΛCDM framework. A&amp;A (2018).</w:t>
      </w:r>
    </w:p>
    <w:p w14:paraId="1B8E22C0">
      <w:pPr>
        <w:pStyle w:val="21"/>
        <w:keepNext w:val="0"/>
        <w:keepLines w:val="0"/>
        <w:widowControl/>
        <w:suppressLineNumbers w:val="0"/>
      </w:pPr>
      <w:r>
        <w:t>[3] Einstein, A. The Foundation of the General Theory of Relativity. Annalen der Physik (1916).</w:t>
      </w:r>
    </w:p>
    <w:p w14:paraId="7A3A1D79">
      <w:pPr>
        <w:pStyle w:val="21"/>
        <w:keepNext w:val="0"/>
        <w:keepLines w:val="0"/>
        <w:widowControl/>
        <w:suppressLineNumbers w:val="0"/>
      </w:pPr>
      <w:r>
        <w:t>[4] 't Hooft, G. Dimensional Reduction in Quantum Gravity. arXiv:gr-qc/9310026 (1993).</w:t>
      </w:r>
    </w:p>
    <w:p w14:paraId="649DD170">
      <w:pPr>
        <w:pStyle w:val="21"/>
        <w:keepNext w:val="0"/>
        <w:keepLines w:val="0"/>
        <w:widowControl/>
        <w:suppressLineNumbers w:val="0"/>
      </w:pPr>
      <w:r>
        <w:t>[5] Planck Collaboration. Planck 2018 results. VI. Cosmological parameters. A&amp;A (2020).</w:t>
      </w:r>
    </w:p>
    <w:p w14:paraId="18FC17C2">
      <w:pPr>
        <w:pStyle w:val="3"/>
      </w:pPr>
    </w:p>
    <w:bookmarkEnd w:id="0"/>
    <w:bookmarkEnd w:id="5"/>
    <w:sectPr>
      <w:footerReference r:id="rId5" w:type="default"/>
      <w:pgSz w:w="11906" w:h="16838"/>
      <w:pgMar w:top="1440" w:right="1800" w:bottom="1440" w:left="1800" w:header="720" w:footer="720" w:gutter="0"/>
      <w:cols w:space="720" w:num="1"/>
      <w:docGrid w:linePitch="326"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Cambria">
    <w:panose1 w:val="02040503050406030204"/>
    <w:charset w:val="00"/>
    <w:family w:val="roman"/>
    <w:pitch w:val="default"/>
    <w:sig w:usb0="E00006FF" w:usb1="420024FF" w:usb2="02000000" w:usb3="00000000" w:csb0="2000019F" w:csb1="00000000"/>
  </w:font>
  <w:font w:name="Times New Roman (正文 CS 字体)">
    <w:altName w:val="宋体"/>
    <w:panose1 w:val="00000000000000000000"/>
    <w:charset w:val="86"/>
    <w:family w:val="roman"/>
    <w:pitch w:val="default"/>
    <w:sig w:usb0="00000000" w:usb1="00000000" w:usb2="00000000" w:usb3="00000000" w:csb0="00000000" w:csb1="00000000"/>
  </w:font>
  <w:font w:name="Cambria Math">
    <w:panose1 w:val="02040503050406030204"/>
    <w:charset w:val="00"/>
    <w:family w:val="auto"/>
    <w:pitch w:val="default"/>
    <w:sig w:usb0="E00006FF" w:usb1="420024FF" w:usb2="02000000" w:usb3="00000000" w:csb0="2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363818139"/>
      <w:docPartObj>
        <w:docPartGallery w:val="autotext"/>
      </w:docPartObj>
    </w:sdtPr>
    <w:sdtContent>
      <w:p w14:paraId="542A371B">
        <w:pPr>
          <w:pStyle w:val="16"/>
          <w:jc w:val="center"/>
        </w:pPr>
        <w:r>
          <w:fldChar w:fldCharType="begin"/>
        </w:r>
        <w:r>
          <w:instrText xml:space="preserve">PAGE   \* MERGEFORMAT</w:instrText>
        </w:r>
        <w:r>
          <w:fldChar w:fldCharType="separate"/>
        </w:r>
        <w:r>
          <w:rPr>
            <w:lang w:val="zh-CN" w:eastAsia="zh-CN"/>
          </w:rPr>
          <w:t>2</w:t>
        </w:r>
        <w:r>
          <w:fldChar w:fldCharType="end"/>
        </w:r>
      </w:p>
    </w:sdtContent>
  </w:sdt>
  <w:p w14:paraId="7290EB49">
    <w:pPr>
      <w:pStyle w:val="16"/>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60" w:lineRule="auto"/>
      </w:pPr>
      <w:r>
        <w:separator/>
      </w:r>
    </w:p>
  </w:footnote>
  <w:footnote w:type="continuationSeparator" w:id="1">
    <w:p>
      <w:pPr>
        <w:spacing w:before="0" w:after="0" w:line="36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00A990"/>
    <w:multiLevelType w:val="multilevel"/>
    <w:tmpl w:val="0000A990"/>
    <w:lvl w:ilvl="0" w:tentative="0">
      <w:start w:val="0"/>
      <w:numFmt w:val="bullet"/>
      <w:lvlText w:val=" "/>
      <w:lvlJc w:val="left"/>
      <w:pPr>
        <w:ind w:left="720" w:hanging="360"/>
      </w:pPr>
    </w:lvl>
    <w:lvl w:ilvl="1" w:tentative="0">
      <w:start w:val="0"/>
      <w:numFmt w:val="bullet"/>
      <w:lvlText w:val=" "/>
      <w:lvlJc w:val="left"/>
      <w:pPr>
        <w:ind w:left="1440" w:hanging="360"/>
      </w:pPr>
    </w:lvl>
    <w:lvl w:ilvl="2" w:tentative="0">
      <w:start w:val="0"/>
      <w:numFmt w:val="bullet"/>
      <w:lvlText w:val=" "/>
      <w:lvlJc w:val="left"/>
      <w:pPr>
        <w:ind w:left="2160" w:hanging="360"/>
      </w:pPr>
    </w:lvl>
    <w:lvl w:ilvl="3" w:tentative="0">
      <w:start w:val="0"/>
      <w:numFmt w:val="bullet"/>
      <w:lvlText w:val=" "/>
      <w:lvlJc w:val="left"/>
      <w:pPr>
        <w:ind w:left="2880" w:hanging="360"/>
      </w:pPr>
    </w:lvl>
    <w:lvl w:ilvl="4" w:tentative="0">
      <w:start w:val="0"/>
      <w:numFmt w:val="bullet"/>
      <w:lvlText w:val=" "/>
      <w:lvlJc w:val="left"/>
      <w:pPr>
        <w:ind w:left="3600" w:hanging="360"/>
      </w:pPr>
    </w:lvl>
    <w:lvl w:ilvl="5" w:tentative="0">
      <w:start w:val="0"/>
      <w:numFmt w:val="bullet"/>
      <w:lvlText w:val=" "/>
      <w:lvlJc w:val="left"/>
      <w:pPr>
        <w:ind w:left="4320" w:hanging="360"/>
      </w:pPr>
    </w:lvl>
    <w:lvl w:ilvl="6" w:tentative="0">
      <w:start w:val="0"/>
      <w:numFmt w:val="bullet"/>
      <w:lvlText w:val=" "/>
      <w:lvlJc w:val="left"/>
      <w:pPr>
        <w:ind w:left="5040" w:hanging="360"/>
      </w:pPr>
    </w:lvl>
    <w:lvl w:ilvl="7" w:tentative="0">
      <w:start w:val="0"/>
      <w:numFmt w:val="bullet"/>
      <w:lvlText w:val=" "/>
      <w:lvlJc w:val="left"/>
      <w:pPr>
        <w:ind w:left="5760" w:hanging="360"/>
      </w:pPr>
    </w:lvl>
    <w:lvl w:ilvl="8" w:tentative="0">
      <w:start w:val="0"/>
      <w:numFmt w:val="bullet"/>
      <w:lvlText w:val=" "/>
      <w:lvlJc w:val="left"/>
      <w:pPr>
        <w:ind w:left="6480" w:hanging="360"/>
      </w:pPr>
    </w:lvl>
  </w:abstractNum>
  <w:abstractNum w:abstractNumId="1">
    <w:nsid w:val="0000A991"/>
    <w:multiLevelType w:val="multilevel"/>
    <w:tmpl w:val="0000A991"/>
    <w:lvl w:ilvl="0" w:tentative="0">
      <w:start w:val="0"/>
      <w:numFmt w:val="bullet"/>
      <w:lvlText w:val=""/>
      <w:lvlJc w:val="left"/>
      <w:pPr>
        <w:ind w:left="720" w:hanging="360"/>
      </w:pPr>
      <w:rPr>
        <w:rFonts w:hint="default" w:ascii="Symbol" w:hAnsi="Symbol" w:cs="Symbol"/>
      </w:rPr>
    </w:lvl>
    <w:lvl w:ilvl="1" w:tentative="0">
      <w:start w:val="0"/>
      <w:numFmt w:val="bullet"/>
      <w:lvlText w:val="o"/>
      <w:lvlJc w:val="left"/>
      <w:pPr>
        <w:ind w:left="1440" w:hanging="360"/>
      </w:pPr>
      <w:rPr>
        <w:rFonts w:hint="default" w:ascii="Courier New" w:hAnsi="Courier New" w:cs="Courier New"/>
      </w:rPr>
    </w:lvl>
    <w:lvl w:ilvl="2" w:tentative="0">
      <w:start w:val="0"/>
      <w:numFmt w:val="bullet"/>
      <w:lvlText w:val=""/>
      <w:lvlJc w:val="left"/>
      <w:pPr>
        <w:ind w:left="2160" w:hanging="360"/>
      </w:pPr>
      <w:rPr>
        <w:rFonts w:hint="default" w:ascii="Wingdings" w:hAnsi="Wingdings" w:cs="Wingdings"/>
      </w:rPr>
    </w:lvl>
    <w:lvl w:ilvl="3" w:tentative="0">
      <w:start w:val="0"/>
      <w:numFmt w:val="bullet"/>
      <w:lvlText w:val=""/>
      <w:lvlJc w:val="left"/>
      <w:pPr>
        <w:ind w:left="2880" w:hanging="360"/>
      </w:pPr>
      <w:rPr>
        <w:rFonts w:hint="default" w:ascii="Symbol" w:hAnsi="Symbol" w:cs="Symbol"/>
      </w:rPr>
    </w:lvl>
    <w:lvl w:ilvl="4" w:tentative="0">
      <w:start w:val="0"/>
      <w:numFmt w:val="bullet"/>
      <w:lvlText w:val="o"/>
      <w:lvlJc w:val="left"/>
      <w:pPr>
        <w:ind w:left="3600" w:hanging="360"/>
      </w:pPr>
      <w:rPr>
        <w:rFonts w:hint="default" w:ascii="Courier New" w:hAnsi="Courier New" w:cs="Courier New"/>
      </w:rPr>
    </w:lvl>
    <w:lvl w:ilvl="5" w:tentative="0">
      <w:start w:val="0"/>
      <w:numFmt w:val="bullet"/>
      <w:lvlText w:val=""/>
      <w:lvlJc w:val="left"/>
      <w:pPr>
        <w:ind w:left="4320" w:hanging="360"/>
      </w:pPr>
      <w:rPr>
        <w:rFonts w:hint="default" w:ascii="Wingdings" w:hAnsi="Wingdings" w:cs="Wingdings"/>
      </w:rPr>
    </w:lvl>
    <w:lvl w:ilvl="6" w:tentative="0">
      <w:start w:val="0"/>
      <w:numFmt w:val="bullet"/>
      <w:lvlText w:val=""/>
      <w:lvlJc w:val="left"/>
      <w:pPr>
        <w:ind w:left="5040" w:hanging="360"/>
      </w:pPr>
      <w:rPr>
        <w:rFonts w:hint="default" w:ascii="Symbol" w:hAnsi="Symbol" w:cs="Symbol"/>
      </w:rPr>
    </w:lvl>
    <w:lvl w:ilvl="7" w:tentative="0">
      <w:start w:val="0"/>
      <w:numFmt w:val="bullet"/>
      <w:lvlText w:val="o"/>
      <w:lvlJc w:val="left"/>
      <w:pPr>
        <w:ind w:left="5760" w:hanging="360"/>
      </w:pPr>
      <w:rPr>
        <w:rFonts w:hint="default" w:ascii="Courier New" w:hAnsi="Courier New" w:cs="Courier New"/>
      </w:rPr>
    </w:lvl>
    <w:lvl w:ilvl="8" w:tentative="0">
      <w:start w:val="0"/>
      <w:numFmt w:val="bullet"/>
      <w:lvlText w:val=""/>
      <w:lvlJc w:val="left"/>
      <w:pPr>
        <w:ind w:left="6480" w:hanging="360"/>
      </w:pPr>
      <w:rPr>
        <w:rFonts w:hint="default" w:ascii="Wingdings" w:hAnsi="Wingdings" w:cs="Wingdings"/>
      </w:rPr>
    </w:lvl>
  </w:abstractNum>
  <w:abstractNum w:abstractNumId="2">
    <w:nsid w:val="00A99411"/>
    <w:multiLevelType w:val="multilevel"/>
    <w:tmpl w:val="00A99411"/>
    <w:lvl w:ilvl="0" w:tentative="0">
      <w:start w:val="1"/>
      <w:numFmt w:val="decimal"/>
      <w:lvlText w:val="%1."/>
      <w:lvlJc w:val="left"/>
      <w:pPr>
        <w:ind w:left="720" w:hanging="360"/>
      </w:pPr>
    </w:lvl>
    <w:lvl w:ilvl="1" w:tentative="0">
      <w:start w:val="1"/>
      <w:numFmt w:val="decimal"/>
      <w:lvlText w:val="%2."/>
      <w:lvlJc w:val="left"/>
      <w:pPr>
        <w:ind w:left="1440" w:hanging="360"/>
      </w:pPr>
    </w:lvl>
    <w:lvl w:ilvl="2" w:tentative="0">
      <w:start w:val="1"/>
      <w:numFmt w:val="decimal"/>
      <w:lvlText w:val="%3."/>
      <w:lvlJc w:val="left"/>
      <w:pPr>
        <w:ind w:left="2160" w:hanging="360"/>
      </w:pPr>
    </w:lvl>
    <w:lvl w:ilvl="3" w:tentative="0">
      <w:start w:val="1"/>
      <w:numFmt w:val="decimal"/>
      <w:lvlText w:val="%4."/>
      <w:lvlJc w:val="left"/>
      <w:pPr>
        <w:ind w:left="2880" w:hanging="360"/>
      </w:pPr>
    </w:lvl>
    <w:lvl w:ilvl="4" w:tentative="0">
      <w:start w:val="1"/>
      <w:numFmt w:val="decimal"/>
      <w:lvlText w:val="%5."/>
      <w:lvlJc w:val="left"/>
      <w:pPr>
        <w:ind w:left="3600" w:hanging="360"/>
      </w:pPr>
    </w:lvl>
    <w:lvl w:ilvl="5" w:tentative="0">
      <w:start w:val="1"/>
      <w:numFmt w:val="decimal"/>
      <w:lvlText w:val="%6."/>
      <w:lvlJc w:val="left"/>
      <w:pPr>
        <w:ind w:left="4320" w:hanging="360"/>
      </w:pPr>
    </w:lvl>
    <w:lvl w:ilvl="6" w:tentative="0">
      <w:start w:val="1"/>
      <w:numFmt w:val="decimal"/>
      <w:lvlText w:val="%7."/>
      <w:lvlJc w:val="left"/>
      <w:pPr>
        <w:ind w:left="5040" w:hanging="360"/>
      </w:pPr>
    </w:lvl>
    <w:lvl w:ilvl="7" w:tentative="0">
      <w:start w:val="1"/>
      <w:numFmt w:val="decimal"/>
      <w:lvlText w:val="%8."/>
      <w:lvlJc w:val="left"/>
      <w:pPr>
        <w:ind w:left="5760" w:hanging="360"/>
      </w:pPr>
    </w:lvl>
    <w:lvl w:ilvl="8" w:tentative="0">
      <w:start w:val="1"/>
      <w:numFmt w:val="decimal"/>
      <w:lvlText w:val="%9."/>
      <w:lvlJc w:val="left"/>
      <w:pPr>
        <w:ind w:left="6480" w:hanging="360"/>
      </w:pPr>
    </w:lvl>
  </w:abstractNum>
  <w:num w:numId="1">
    <w:abstractNumId w:val="1"/>
  </w:num>
  <w:num w:numId="2">
    <w:abstractNumId w:val="0"/>
  </w:num>
  <w:num w:numId="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ocumentProtection w:enforcement="0"/>
  <w:defaultTabStop w:val="720"/>
  <w:drawingGridHorizontalSpacing w:val="360"/>
  <w:drawingGridVerticalSpacing w:val="36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1645B"/>
    <w:rsid w:val="00025AF3"/>
    <w:rsid w:val="00047E47"/>
    <w:rsid w:val="00087D78"/>
    <w:rsid w:val="00091BE4"/>
    <w:rsid w:val="00113CC5"/>
    <w:rsid w:val="0017089F"/>
    <w:rsid w:val="001B6BBA"/>
    <w:rsid w:val="001D786D"/>
    <w:rsid w:val="00221DDC"/>
    <w:rsid w:val="002C5429"/>
    <w:rsid w:val="002F133B"/>
    <w:rsid w:val="0033595C"/>
    <w:rsid w:val="00382843"/>
    <w:rsid w:val="00482A2A"/>
    <w:rsid w:val="006747B6"/>
    <w:rsid w:val="00683C59"/>
    <w:rsid w:val="006B564A"/>
    <w:rsid w:val="007B7F35"/>
    <w:rsid w:val="007F1979"/>
    <w:rsid w:val="007F29BC"/>
    <w:rsid w:val="008F4924"/>
    <w:rsid w:val="009013F6"/>
    <w:rsid w:val="009149B5"/>
    <w:rsid w:val="00970C9D"/>
    <w:rsid w:val="00977B74"/>
    <w:rsid w:val="00A14FF3"/>
    <w:rsid w:val="00AA1B8B"/>
    <w:rsid w:val="00AF14BC"/>
    <w:rsid w:val="00B25A83"/>
    <w:rsid w:val="00BB0144"/>
    <w:rsid w:val="00BD4F7D"/>
    <w:rsid w:val="00BF6B73"/>
    <w:rsid w:val="00C00C92"/>
    <w:rsid w:val="00C06AC9"/>
    <w:rsid w:val="00C214C8"/>
    <w:rsid w:val="00C47116"/>
    <w:rsid w:val="00C63491"/>
    <w:rsid w:val="00D14922"/>
    <w:rsid w:val="00D83FFB"/>
    <w:rsid w:val="00DC0840"/>
    <w:rsid w:val="00E1645B"/>
    <w:rsid w:val="00E44B39"/>
    <w:rsid w:val="00E56281"/>
    <w:rsid w:val="00FC335F"/>
    <w:rsid w:val="00FE1EFD"/>
    <w:rsid w:val="345868C2"/>
    <w:rsid w:val="51BB0241"/>
    <w:rsid w:val="54103C1D"/>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9" w:semiHidden="0" w:name="heading 5"/>
    <w:lsdException w:qFormat="1" w:uiPriority="9" w:semiHidden="0" w:name="heading 6"/>
    <w:lsdException w:qFormat="1" w:uiPriority="9" w:semiHidden="0" w:name="heading 7"/>
    <w:lsdException w:qFormat="1" w:uiPriority="9" w:semiHidden="0" w:name="heading 8"/>
    <w:lsdException w:qFormat="1" w:uiPriority="9" w:semiHidden="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 w:semiHidden="0" w:name="footnote text"/>
    <w:lsdException w:unhideWhenUsed="0" w:uiPriority="0" w:semiHidden="0" w:name="annotation text"/>
    <w:lsdException w:qFormat="1" w:unhideWhenUsed="0" w:uiPriority="0" w:semiHidden="0" w:name="header"/>
    <w:lsdException w:qFormat="1" w:unhideWhenUsed="0" w:uiPriority="99" w:semiHidden="0" w:name="footer"/>
    <w:lsdException w:unhideWhenUsed="0" w:uiPriority="0" w:semiHidden="0" w:name="index heading"/>
    <w:lsdException w:qFormat="1" w:unhideWhenUsed="0"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qFormat="1"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iPriority="1"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qFormat="1"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qFormat="1" w:uiPriority="9" w:semiHidden="0" w:name="Block Text"/>
    <w:lsdException w:qFormat="1" w:unhideWhenUsed="0" w:uiPriority="0" w:semiHidden="0" w:name="Hyperlink"/>
    <w:lsdException w:unhideWhenUsed="0" w:uiPriority="0" w:semiHidden="0" w:name="FollowedHyperlink"/>
    <w:lsdException w:unhideWhenUsed="0" w:uiPriority="0" w:semiHidden="0" w:name="Strong"/>
    <w:lsdException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0" w:line="360" w:lineRule="auto"/>
    </w:pPr>
    <w:rPr>
      <w:rFonts w:ascii="Times New Roman" w:hAnsi="Times New Roman" w:eastAsia="宋体" w:cstheme="minorBidi"/>
      <w:sz w:val="24"/>
      <w:szCs w:val="24"/>
      <w:lang w:val="en-US" w:eastAsia="en-US" w:bidi="ar-SA"/>
    </w:rPr>
  </w:style>
  <w:style w:type="paragraph" w:styleId="2">
    <w:name w:val="heading 1"/>
    <w:basedOn w:val="1"/>
    <w:next w:val="3"/>
    <w:autoRedefine/>
    <w:qFormat/>
    <w:uiPriority w:val="9"/>
    <w:pPr>
      <w:keepNext/>
      <w:keepLines/>
      <w:pageBreakBefore/>
      <w:spacing w:before="480"/>
      <w:jc w:val="center"/>
      <w:outlineLvl w:val="0"/>
    </w:pPr>
    <w:rPr>
      <w:rFonts w:eastAsia="黑体" w:cstheme="majorBidi"/>
      <w:b/>
      <w:bCs/>
      <w:sz w:val="36"/>
      <w:szCs w:val="32"/>
    </w:rPr>
  </w:style>
  <w:style w:type="paragraph" w:styleId="5">
    <w:name w:val="heading 2"/>
    <w:basedOn w:val="1"/>
    <w:next w:val="3"/>
    <w:unhideWhenUsed/>
    <w:qFormat/>
    <w:uiPriority w:val="9"/>
    <w:pPr>
      <w:keepNext/>
      <w:keepLines/>
      <w:spacing w:before="300"/>
      <w:outlineLvl w:val="1"/>
    </w:pPr>
    <w:rPr>
      <w:rFonts w:eastAsia="黑体" w:cstheme="majorBidi"/>
      <w:b/>
      <w:bCs/>
      <w:sz w:val="32"/>
      <w:szCs w:val="32"/>
    </w:rPr>
  </w:style>
  <w:style w:type="paragraph" w:styleId="6">
    <w:name w:val="heading 3"/>
    <w:basedOn w:val="1"/>
    <w:next w:val="3"/>
    <w:unhideWhenUsed/>
    <w:qFormat/>
    <w:uiPriority w:val="9"/>
    <w:pPr>
      <w:keepNext/>
      <w:keepLines/>
      <w:spacing w:before="200"/>
      <w:outlineLvl w:val="2"/>
    </w:pPr>
    <w:rPr>
      <w:rFonts w:eastAsia="黑体" w:asciiTheme="majorHAnsi" w:hAnsiTheme="majorHAnsi" w:cstheme="majorBidi"/>
      <w:b/>
      <w:bCs/>
      <w:sz w:val="26"/>
      <w:szCs w:val="28"/>
    </w:rPr>
  </w:style>
  <w:style w:type="paragraph" w:styleId="7">
    <w:name w:val="heading 4"/>
    <w:basedOn w:val="1"/>
    <w:next w:val="3"/>
    <w:unhideWhenUsed/>
    <w:qFormat/>
    <w:uiPriority w:val="9"/>
    <w:pPr>
      <w:keepNext/>
      <w:keepLines/>
      <w:spacing w:before="200"/>
      <w:outlineLvl w:val="3"/>
    </w:pPr>
    <w:rPr>
      <w:rFonts w:eastAsia="黑体" w:asciiTheme="majorHAnsi" w:hAnsiTheme="majorHAnsi" w:cstheme="majorBidi"/>
      <w:bCs/>
    </w:rPr>
  </w:style>
  <w:style w:type="paragraph" w:styleId="8">
    <w:name w:val="heading 5"/>
    <w:basedOn w:val="1"/>
    <w:next w:val="3"/>
    <w:unhideWhenUsed/>
    <w:qFormat/>
    <w:uiPriority w:val="9"/>
    <w:pPr>
      <w:keepNext/>
      <w:keepLines/>
      <w:spacing w:before="200"/>
      <w:outlineLvl w:val="4"/>
    </w:pPr>
    <w:rPr>
      <w:rFonts w:eastAsia="黑体" w:asciiTheme="majorHAnsi" w:hAnsiTheme="majorHAnsi" w:cstheme="majorBidi"/>
      <w:iCs/>
    </w:rPr>
  </w:style>
  <w:style w:type="paragraph" w:styleId="9">
    <w:name w:val="heading 6"/>
    <w:basedOn w:val="1"/>
    <w:next w:val="3"/>
    <w:unhideWhenUsed/>
    <w:qFormat/>
    <w:uiPriority w:val="9"/>
    <w:pPr>
      <w:keepNext/>
      <w:keepLines/>
      <w:spacing w:before="200"/>
      <w:outlineLvl w:val="5"/>
    </w:pPr>
    <w:rPr>
      <w:rFonts w:eastAsia="黑体" w:asciiTheme="majorHAnsi" w:hAnsiTheme="majorHAnsi" w:cstheme="majorBidi"/>
    </w:rPr>
  </w:style>
  <w:style w:type="paragraph" w:styleId="10">
    <w:name w:val="heading 7"/>
    <w:basedOn w:val="1"/>
    <w:next w:val="3"/>
    <w:unhideWhenUsed/>
    <w:qFormat/>
    <w:uiPriority w:val="9"/>
    <w:pPr>
      <w:keepNext/>
      <w:keepLines/>
      <w:spacing w:before="200"/>
      <w:outlineLvl w:val="6"/>
    </w:pPr>
    <w:rPr>
      <w:rFonts w:asciiTheme="majorHAnsi" w:hAnsiTheme="majorHAnsi" w:eastAsiaTheme="majorEastAsia" w:cstheme="majorBidi"/>
      <w:color w:val="4F81BD" w:themeColor="accent1"/>
      <w14:textFill>
        <w14:solidFill>
          <w14:schemeClr w14:val="accent1"/>
        </w14:solidFill>
      </w14:textFill>
    </w:rPr>
  </w:style>
  <w:style w:type="paragraph" w:styleId="11">
    <w:name w:val="heading 8"/>
    <w:basedOn w:val="1"/>
    <w:next w:val="3"/>
    <w:unhideWhenUsed/>
    <w:qFormat/>
    <w:uiPriority w:val="9"/>
    <w:pPr>
      <w:keepNext/>
      <w:keepLines/>
      <w:spacing w:before="200"/>
      <w:outlineLvl w:val="7"/>
    </w:pPr>
    <w:rPr>
      <w:rFonts w:asciiTheme="majorHAnsi" w:hAnsiTheme="majorHAnsi" w:eastAsiaTheme="majorEastAsia" w:cstheme="majorBidi"/>
      <w:color w:val="4F81BD" w:themeColor="accent1"/>
      <w14:textFill>
        <w14:solidFill>
          <w14:schemeClr w14:val="accent1"/>
        </w14:solidFill>
      </w14:textFill>
    </w:rPr>
  </w:style>
  <w:style w:type="paragraph" w:styleId="12">
    <w:name w:val="heading 9"/>
    <w:basedOn w:val="1"/>
    <w:next w:val="3"/>
    <w:unhideWhenUsed/>
    <w:qFormat/>
    <w:uiPriority w:val="9"/>
    <w:pPr>
      <w:keepNext/>
      <w:keepLines/>
      <w:spacing w:before="200"/>
      <w:outlineLvl w:val="8"/>
    </w:pPr>
    <w:rPr>
      <w:rFonts w:asciiTheme="majorHAnsi" w:hAnsiTheme="majorHAnsi" w:eastAsiaTheme="majorEastAsia" w:cstheme="majorBidi"/>
      <w:color w:val="4F81BD" w:themeColor="accent1"/>
      <w14:textFill>
        <w14:solidFill>
          <w14:schemeClr w14:val="accent1"/>
        </w14:solidFill>
      </w14:textFill>
    </w:rPr>
  </w:style>
  <w:style w:type="character" w:default="1" w:styleId="23">
    <w:name w:val="Default Paragraph Font"/>
    <w:semiHidden/>
    <w:unhideWhenUsed/>
    <w:uiPriority w:val="1"/>
  </w:style>
  <w:style w:type="table" w:default="1" w:styleId="22">
    <w:name w:val="Normal Table"/>
    <w:semiHidden/>
    <w:unhideWhenUsed/>
    <w:qFormat/>
    <w:uiPriority w:val="99"/>
    <w:tblPr>
      <w:tblCellMar>
        <w:top w:w="0" w:type="dxa"/>
        <w:left w:w="108" w:type="dxa"/>
        <w:bottom w:w="0" w:type="dxa"/>
        <w:right w:w="108" w:type="dxa"/>
      </w:tblCellMar>
    </w:tblPr>
  </w:style>
  <w:style w:type="paragraph" w:styleId="3">
    <w:name w:val="Body Text"/>
    <w:basedOn w:val="4"/>
    <w:link w:val="41"/>
    <w:qFormat/>
    <w:uiPriority w:val="0"/>
  </w:style>
  <w:style w:type="paragraph" w:customStyle="1" w:styleId="4">
    <w:name w:val="First Paragraph"/>
    <w:basedOn w:val="1"/>
    <w:next w:val="3"/>
    <w:qFormat/>
    <w:uiPriority w:val="0"/>
    <w:pPr>
      <w:spacing w:before="180"/>
      <w:ind w:firstLine="480" w:firstLineChars="200"/>
    </w:pPr>
    <w:rPr>
      <w:lang w:eastAsia="zh-CN"/>
    </w:rPr>
  </w:style>
  <w:style w:type="paragraph" w:styleId="13">
    <w:name w:val="caption"/>
    <w:basedOn w:val="1"/>
    <w:link w:val="25"/>
    <w:qFormat/>
    <w:uiPriority w:val="0"/>
    <w:pPr>
      <w:spacing w:after="120"/>
      <w:jc w:val="center"/>
    </w:pPr>
  </w:style>
  <w:style w:type="paragraph" w:styleId="14">
    <w:name w:val="Block Text"/>
    <w:basedOn w:val="1"/>
    <w:unhideWhenUsed/>
    <w:qFormat/>
    <w:uiPriority w:val="9"/>
    <w:pPr>
      <w:pBdr>
        <w:left w:val="single" w:color="BEBEBE" w:themeColor="background1" w:themeShade="BF" w:sz="48" w:space="4"/>
      </w:pBdr>
      <w:spacing w:before="100"/>
      <w:ind w:left="200" w:leftChars="200" w:right="100" w:rightChars="100"/>
    </w:pPr>
    <w:rPr>
      <w:rFonts w:eastAsiaTheme="minorEastAsia"/>
      <w:lang w:eastAsia="zh-CN"/>
    </w:rPr>
  </w:style>
  <w:style w:type="paragraph" w:styleId="15">
    <w:name w:val="Date"/>
    <w:next w:val="3"/>
    <w:qFormat/>
    <w:uiPriority w:val="0"/>
    <w:pPr>
      <w:keepNext/>
      <w:keepLines/>
      <w:spacing w:after="200"/>
      <w:jc w:val="center"/>
    </w:pPr>
    <w:rPr>
      <w:rFonts w:asciiTheme="minorHAnsi" w:hAnsiTheme="minorHAnsi" w:eastAsiaTheme="minorEastAsia" w:cstheme="minorBidi"/>
      <w:sz w:val="24"/>
      <w:szCs w:val="24"/>
      <w:lang w:val="en-US" w:eastAsia="en-US" w:bidi="ar-SA"/>
    </w:rPr>
  </w:style>
  <w:style w:type="paragraph" w:styleId="16">
    <w:name w:val="footer"/>
    <w:basedOn w:val="1"/>
    <w:link w:val="43"/>
    <w:qFormat/>
    <w:uiPriority w:val="99"/>
    <w:pPr>
      <w:tabs>
        <w:tab w:val="center" w:pos="4153"/>
        <w:tab w:val="right" w:pos="8306"/>
      </w:tabs>
      <w:snapToGrid w:val="0"/>
    </w:pPr>
    <w:rPr>
      <w:sz w:val="18"/>
      <w:szCs w:val="18"/>
    </w:rPr>
  </w:style>
  <w:style w:type="paragraph" w:styleId="17">
    <w:name w:val="header"/>
    <w:basedOn w:val="1"/>
    <w:link w:val="42"/>
    <w:qFormat/>
    <w:uiPriority w:val="0"/>
    <w:pPr>
      <w:tabs>
        <w:tab w:val="center" w:pos="4153"/>
        <w:tab w:val="right" w:pos="8306"/>
      </w:tabs>
      <w:snapToGrid w:val="0"/>
      <w:jc w:val="center"/>
    </w:pPr>
    <w:rPr>
      <w:sz w:val="18"/>
      <w:szCs w:val="18"/>
    </w:rPr>
  </w:style>
  <w:style w:type="paragraph" w:styleId="18">
    <w:name w:val="Subtitle"/>
    <w:basedOn w:val="19"/>
    <w:next w:val="3"/>
    <w:qFormat/>
    <w:uiPriority w:val="0"/>
    <w:pPr>
      <w:spacing w:before="240"/>
    </w:pPr>
    <w:rPr>
      <w:sz w:val="30"/>
      <w:szCs w:val="30"/>
    </w:rPr>
  </w:style>
  <w:style w:type="paragraph" w:styleId="19">
    <w:name w:val="Title"/>
    <w:basedOn w:val="1"/>
    <w:next w:val="3"/>
    <w:qFormat/>
    <w:uiPriority w:val="0"/>
    <w:pPr>
      <w:keepNext/>
      <w:keepLines/>
      <w:spacing w:before="480" w:after="240"/>
      <w:jc w:val="center"/>
    </w:pPr>
    <w:rPr>
      <w:rFonts w:asciiTheme="majorHAnsi" w:hAnsiTheme="majorHAnsi" w:eastAsiaTheme="majorEastAsia" w:cstheme="majorBidi"/>
      <w:b/>
      <w:bCs/>
      <w:color w:val="345B8A" w:themeColor="accent1" w:themeShade="B5"/>
      <w:sz w:val="36"/>
      <w:szCs w:val="36"/>
    </w:rPr>
  </w:style>
  <w:style w:type="paragraph" w:styleId="20">
    <w:name w:val="footnote text"/>
    <w:basedOn w:val="1"/>
    <w:unhideWhenUsed/>
    <w:qFormat/>
    <w:uiPriority w:val="9"/>
  </w:style>
  <w:style w:type="paragraph" w:styleId="21">
    <w:name w:val="Normal (Web)"/>
    <w:basedOn w:val="1"/>
    <w:uiPriority w:val="0"/>
    <w:pPr>
      <w:spacing w:before="0" w:beforeAutospacing="1" w:after="0" w:afterAutospacing="1"/>
      <w:ind w:left="0" w:right="0"/>
      <w:jc w:val="left"/>
    </w:pPr>
    <w:rPr>
      <w:kern w:val="0"/>
      <w:sz w:val="24"/>
      <w:lang w:val="en-US" w:eastAsia="zh-CN" w:bidi="ar"/>
    </w:rPr>
  </w:style>
  <w:style w:type="character" w:styleId="24">
    <w:name w:val="Hyperlink"/>
    <w:basedOn w:val="25"/>
    <w:qFormat/>
    <w:uiPriority w:val="0"/>
    <w:rPr>
      <w:rFonts w:ascii="Times New Roman" w:hAnsi="Times New Roman" w:eastAsia="宋体"/>
      <w:color w:val="0070C0"/>
    </w:rPr>
  </w:style>
  <w:style w:type="character" w:customStyle="1" w:styleId="25">
    <w:name w:val="题注 字符"/>
    <w:basedOn w:val="23"/>
    <w:link w:val="13"/>
    <w:qFormat/>
    <w:uiPriority w:val="0"/>
    <w:rPr>
      <w:rFonts w:ascii="Times New Roman" w:hAnsi="Times New Roman" w:eastAsia="宋体"/>
    </w:rPr>
  </w:style>
  <w:style w:type="character" w:styleId="26">
    <w:name w:val="footnote reference"/>
    <w:basedOn w:val="25"/>
    <w:qFormat/>
    <w:uiPriority w:val="0"/>
    <w:rPr>
      <w:rFonts w:ascii="Times New Roman" w:hAnsi="Times New Roman" w:eastAsia="宋体"/>
      <w:vertAlign w:val="superscript"/>
    </w:rPr>
  </w:style>
  <w:style w:type="paragraph" w:customStyle="1" w:styleId="27">
    <w:name w:val="Compact"/>
    <w:basedOn w:val="3"/>
    <w:qFormat/>
    <w:uiPriority w:val="0"/>
    <w:pPr>
      <w:spacing w:before="60" w:after="60"/>
      <w:ind w:firstLine="0" w:firstLineChars="0"/>
    </w:pPr>
  </w:style>
  <w:style w:type="paragraph" w:customStyle="1" w:styleId="28">
    <w:name w:val="Author"/>
    <w:next w:val="3"/>
    <w:qFormat/>
    <w:uiPriority w:val="0"/>
    <w:pPr>
      <w:keepNext/>
      <w:keepLines/>
      <w:spacing w:after="200"/>
      <w:jc w:val="center"/>
    </w:pPr>
    <w:rPr>
      <w:rFonts w:asciiTheme="minorHAnsi" w:hAnsiTheme="minorHAnsi" w:eastAsiaTheme="minorEastAsia" w:cstheme="minorBidi"/>
      <w:sz w:val="24"/>
      <w:szCs w:val="24"/>
      <w:lang w:val="en-US" w:eastAsia="en-US" w:bidi="ar-SA"/>
    </w:rPr>
  </w:style>
  <w:style w:type="paragraph" w:customStyle="1" w:styleId="29">
    <w:name w:val="Abstract"/>
    <w:basedOn w:val="1"/>
    <w:next w:val="3"/>
    <w:qFormat/>
    <w:uiPriority w:val="0"/>
    <w:pPr>
      <w:keepNext/>
      <w:keepLines/>
      <w:spacing w:before="300" w:after="300"/>
    </w:pPr>
    <w:rPr>
      <w:sz w:val="20"/>
      <w:szCs w:val="20"/>
    </w:rPr>
  </w:style>
  <w:style w:type="paragraph" w:customStyle="1" w:styleId="30">
    <w:name w:val="Bibliography"/>
    <w:basedOn w:val="1"/>
    <w:qFormat/>
    <w:uiPriority w:val="0"/>
    <w:pPr>
      <w:tabs>
        <w:tab w:val="left" w:pos="384"/>
      </w:tabs>
      <w:spacing w:line="240" w:lineRule="auto"/>
      <w:ind w:left="200" w:hanging="200" w:hangingChars="200"/>
    </w:pPr>
  </w:style>
  <w:style w:type="table" w:customStyle="1" w:styleId="31">
    <w:name w:val="Table"/>
    <w:semiHidden/>
    <w:unhideWhenUsed/>
    <w:qFormat/>
    <w:uiPriority w:val="0"/>
    <w:pPr>
      <w:jc w:val="center"/>
    </w:pPr>
    <w:rPr>
      <w:rFonts w:ascii="Times New Roman" w:hAnsi="Times New Roman" w:eastAsia="宋体"/>
      <w:sz w:val="20"/>
      <w:szCs w:val="20"/>
      <w:lang w:eastAsia="zh-CN"/>
    </w:rPr>
    <w:tblPr>
      <w:jc w:val="center"/>
      <w:tblBorders>
        <w:top w:val="single" w:color="auto" w:sz="12" w:space="0"/>
        <w:bottom w:val="single" w:color="auto" w:sz="12" w:space="0"/>
      </w:tblBorders>
      <w:tblCellMar>
        <w:top w:w="0" w:type="dxa"/>
        <w:left w:w="108" w:type="dxa"/>
        <w:bottom w:w="0" w:type="dxa"/>
        <w:right w:w="108" w:type="dxa"/>
      </w:tblCellMar>
    </w:tblPr>
    <w:trPr>
      <w:jc w:val="center"/>
    </w:trPr>
    <w:tcPr>
      <w:vAlign w:val="center"/>
    </w:tcPr>
    <w:tblStylePr w:type="firstRow">
      <w:rPr>
        <w:rFonts w:eastAsia="宋体"/>
        <w:b/>
        <w:i w:val="0"/>
      </w:rPr>
      <w:tcPr>
        <w:tcBorders>
          <w:bottom w:val="single" w:color="auto" w:sz="4" w:space="0"/>
        </w:tcBorders>
      </w:tcPr>
    </w:tblStylePr>
  </w:style>
  <w:style w:type="paragraph" w:customStyle="1" w:styleId="32">
    <w:name w:val="Definition Term"/>
    <w:basedOn w:val="1"/>
    <w:next w:val="33"/>
    <w:qFormat/>
    <w:uiPriority w:val="0"/>
    <w:pPr>
      <w:keepNext/>
      <w:keepLines/>
    </w:pPr>
    <w:rPr>
      <w:b/>
    </w:rPr>
  </w:style>
  <w:style w:type="paragraph" w:customStyle="1" w:styleId="33">
    <w:name w:val="Definition"/>
    <w:basedOn w:val="1"/>
    <w:qFormat/>
    <w:uiPriority w:val="0"/>
  </w:style>
  <w:style w:type="paragraph" w:customStyle="1" w:styleId="34">
    <w:name w:val="Table Caption"/>
    <w:basedOn w:val="13"/>
    <w:qFormat/>
    <w:uiPriority w:val="0"/>
    <w:pPr>
      <w:keepNext/>
    </w:pPr>
  </w:style>
  <w:style w:type="paragraph" w:customStyle="1" w:styleId="35">
    <w:name w:val="Image Caption"/>
    <w:basedOn w:val="13"/>
    <w:qFormat/>
    <w:uiPriority w:val="0"/>
  </w:style>
  <w:style w:type="paragraph" w:customStyle="1" w:styleId="36">
    <w:name w:val="Figure"/>
    <w:basedOn w:val="1"/>
    <w:qFormat/>
    <w:uiPriority w:val="0"/>
  </w:style>
  <w:style w:type="paragraph" w:customStyle="1" w:styleId="37">
    <w:name w:val="Captioned Figure"/>
    <w:basedOn w:val="36"/>
    <w:qFormat/>
    <w:uiPriority w:val="0"/>
    <w:pPr>
      <w:keepNext/>
    </w:pPr>
  </w:style>
  <w:style w:type="character" w:customStyle="1" w:styleId="38">
    <w:name w:val="Verbatim Char"/>
    <w:basedOn w:val="25"/>
    <w:link w:val="39"/>
    <w:qFormat/>
    <w:uiPriority w:val="0"/>
    <w:rPr>
      <w:rFonts w:ascii="宋体" w:hAnsi="宋体" w:eastAsia="宋体" w:cs="Times New Roman (正文 CS 字体)"/>
      <w:color w:val="404040" w:themeColor="text1" w:themeTint="BF"/>
      <w:sz w:val="21"/>
      <w:shd w:val="solid" w:color="F3F4F4" w:fill="F1F1F1" w:themeFill="background1" w:themeFillShade="F2"/>
      <w:lang w:eastAsia="zh-CN"/>
      <w14:textFill>
        <w14:solidFill>
          <w14:schemeClr w14:val="tx1">
            <w14:lumMod w14:val="75000"/>
            <w14:lumOff w14:val="25000"/>
          </w14:schemeClr>
        </w14:solidFill>
      </w14:textFill>
    </w:rPr>
  </w:style>
  <w:style w:type="paragraph" w:customStyle="1" w:styleId="39">
    <w:name w:val="Source Code"/>
    <w:basedOn w:val="1"/>
    <w:link w:val="38"/>
    <w:qFormat/>
    <w:uiPriority w:val="0"/>
    <w:pPr>
      <w:pBdr>
        <w:top w:val="single" w:color="BEBEBE" w:themeColor="background1" w:themeShade="BF" w:sz="8" w:space="10"/>
        <w:left w:val="single" w:color="BEBEBE" w:themeColor="background1" w:themeShade="BF" w:sz="8" w:space="10"/>
        <w:bottom w:val="single" w:color="BEBEBE" w:themeColor="background1" w:themeShade="BF" w:sz="8" w:space="10"/>
        <w:right w:val="single" w:color="BEBEBE" w:themeColor="background1" w:themeShade="BF" w:sz="8" w:space="10"/>
      </w:pBdr>
      <w:shd w:val="solid" w:color="F3F4F4" w:fill="F1F1F1" w:themeFill="background1" w:themeFillShade="F2"/>
      <w:wordWrap w:val="0"/>
      <w:ind w:left="300" w:leftChars="300"/>
    </w:pPr>
    <w:rPr>
      <w:rFonts w:ascii="宋体" w:hAnsi="宋体" w:cs="Times New Roman (正文 CS 字体)"/>
      <w:color w:val="404040" w:themeColor="text1" w:themeTint="BF"/>
      <w:sz w:val="21"/>
      <w:shd w:val="pct5" w:color="auto" w:fill="auto"/>
      <w:lang w:eastAsia="zh-CN"/>
      <w14:textFill>
        <w14:solidFill>
          <w14:schemeClr w14:val="tx1">
            <w14:lumMod w14:val="75000"/>
            <w14:lumOff w14:val="25000"/>
          </w14:schemeClr>
        </w14:solidFill>
      </w14:textFill>
    </w:rPr>
  </w:style>
  <w:style w:type="paragraph" w:customStyle="1" w:styleId="40">
    <w:name w:val="TOC Heading"/>
    <w:basedOn w:val="2"/>
    <w:next w:val="3"/>
    <w:unhideWhenUsed/>
    <w:qFormat/>
    <w:uiPriority w:val="39"/>
    <w:pPr>
      <w:spacing w:before="240" w:line="259" w:lineRule="auto"/>
      <w:outlineLvl w:val="9"/>
    </w:pPr>
    <w:rPr>
      <w:b w:val="0"/>
      <w:bCs w:val="0"/>
      <w:color w:val="376092" w:themeColor="accent1" w:themeShade="BF"/>
    </w:rPr>
  </w:style>
  <w:style w:type="character" w:customStyle="1" w:styleId="41">
    <w:name w:val="正文文本 字符"/>
    <w:basedOn w:val="23"/>
    <w:link w:val="3"/>
    <w:qFormat/>
    <w:uiPriority w:val="0"/>
    <w:rPr>
      <w:rFonts w:ascii="Times New Roman" w:hAnsi="Times New Roman" w:eastAsia="宋体"/>
      <w:lang w:eastAsia="zh-CN"/>
    </w:rPr>
  </w:style>
  <w:style w:type="character" w:customStyle="1" w:styleId="42">
    <w:name w:val="页眉 字符"/>
    <w:basedOn w:val="23"/>
    <w:link w:val="17"/>
    <w:qFormat/>
    <w:uiPriority w:val="0"/>
    <w:rPr>
      <w:sz w:val="18"/>
      <w:szCs w:val="18"/>
    </w:rPr>
  </w:style>
  <w:style w:type="character" w:customStyle="1" w:styleId="43">
    <w:name w:val="页脚 字符"/>
    <w:basedOn w:val="23"/>
    <w:link w:val="16"/>
    <w:qFormat/>
    <w:uiPriority w:val="99"/>
    <w:rPr>
      <w:sz w:val="18"/>
      <w:szCs w:val="18"/>
    </w:rPr>
  </w:style>
  <w:style w:type="paragraph" w:customStyle="1" w:styleId="44">
    <w:name w:val="图片"/>
    <w:basedOn w:val="4"/>
    <w:qFormat/>
    <w:uiPriority w:val="0"/>
    <w:pPr>
      <w:keepNext/>
      <w:jc w:val="center"/>
    </w:pPr>
  </w:style>
  <w:style w:type="paragraph" w:customStyle="1" w:styleId="45">
    <w:name w:val="样式 Compact + 10 磅 首行缩进:  0.71 厘米"/>
    <w:basedOn w:val="27"/>
    <w:qFormat/>
    <w:uiPriority w:val="0"/>
    <w:rPr>
      <w:rFonts w:cs="宋体"/>
      <w:sz w:val="20"/>
      <w:szCs w:val="20"/>
    </w:rPr>
  </w:style>
  <w:style w:type="paragraph" w:customStyle="1" w:styleId="46">
    <w:name w:val="样式 Compact + 10 磅 加粗 首行缩进:  0.71 厘米"/>
    <w:basedOn w:val="27"/>
    <w:qFormat/>
    <w:uiPriority w:val="0"/>
    <w:rPr>
      <w:rFonts w:cs="宋体"/>
      <w:bCs/>
      <w:sz w:val="20"/>
      <w:szCs w:val="20"/>
    </w:rPr>
  </w:style>
  <w:style w:type="paragraph" w:customStyle="1" w:styleId="47">
    <w:name w:val="img"/>
    <w:basedOn w:val="1"/>
    <w:qFormat/>
    <w:uiPriority w:val="0"/>
    <w:pPr>
      <w:jc w:val="center"/>
    </w:pPr>
    <w:rPr>
      <w:lang w:eastAsia="zh-CN"/>
    </w:rPr>
  </w:style>
  <w:style w:type="character" w:customStyle="1" w:styleId="48">
    <w:name w:val="KeywordTok"/>
    <w:qFormat/>
    <w:uiPriority w:val="0"/>
    <w:rPr>
      <w:b/>
      <w:color w:val="007020"/>
    </w:rPr>
  </w:style>
  <w:style w:type="character" w:customStyle="1" w:styleId="49">
    <w:name w:val="DataTypeTok"/>
    <w:qFormat/>
    <w:uiPriority w:val="0"/>
    <w:rPr>
      <w:color w:val="902000"/>
    </w:rPr>
  </w:style>
  <w:style w:type="character" w:customStyle="1" w:styleId="50">
    <w:name w:val="DecValTok"/>
    <w:qFormat/>
    <w:uiPriority w:val="0"/>
    <w:rPr>
      <w:color w:val="40A070"/>
    </w:rPr>
  </w:style>
  <w:style w:type="character" w:customStyle="1" w:styleId="51">
    <w:name w:val="BaseNTok"/>
    <w:qFormat/>
    <w:uiPriority w:val="0"/>
    <w:rPr>
      <w:color w:val="40A070"/>
    </w:rPr>
  </w:style>
  <w:style w:type="character" w:customStyle="1" w:styleId="52">
    <w:name w:val="FloatTok"/>
    <w:qFormat/>
    <w:uiPriority w:val="0"/>
    <w:rPr>
      <w:color w:val="40A070"/>
    </w:rPr>
  </w:style>
  <w:style w:type="character" w:customStyle="1" w:styleId="53">
    <w:name w:val="ConstantTok"/>
    <w:qFormat/>
    <w:uiPriority w:val="0"/>
    <w:rPr>
      <w:color w:val="880000"/>
    </w:rPr>
  </w:style>
  <w:style w:type="character" w:customStyle="1" w:styleId="54">
    <w:name w:val="CharTok"/>
    <w:qFormat/>
    <w:uiPriority w:val="0"/>
    <w:rPr>
      <w:color w:val="4070A0"/>
    </w:rPr>
  </w:style>
  <w:style w:type="character" w:customStyle="1" w:styleId="55">
    <w:name w:val="SpecialCharTok"/>
    <w:qFormat/>
    <w:uiPriority w:val="0"/>
    <w:rPr>
      <w:color w:val="4070A0"/>
    </w:rPr>
  </w:style>
  <w:style w:type="character" w:customStyle="1" w:styleId="56">
    <w:name w:val="StringTok"/>
    <w:qFormat/>
    <w:uiPriority w:val="0"/>
    <w:rPr>
      <w:color w:val="4070A0"/>
    </w:rPr>
  </w:style>
  <w:style w:type="character" w:customStyle="1" w:styleId="57">
    <w:name w:val="VerbatimStringTok"/>
    <w:qFormat/>
    <w:uiPriority w:val="0"/>
    <w:rPr>
      <w:color w:val="4070A0"/>
    </w:rPr>
  </w:style>
  <w:style w:type="character" w:customStyle="1" w:styleId="58">
    <w:name w:val="SpecialStringTok"/>
    <w:qFormat/>
    <w:uiPriority w:val="0"/>
    <w:rPr>
      <w:color w:val="BB6688"/>
    </w:rPr>
  </w:style>
  <w:style w:type="character" w:customStyle="1" w:styleId="59">
    <w:name w:val="ImportTok"/>
    <w:qFormat/>
    <w:uiPriority w:val="0"/>
    <w:rPr>
      <w:b/>
      <w:color w:val="008000"/>
    </w:rPr>
  </w:style>
  <w:style w:type="character" w:customStyle="1" w:styleId="60">
    <w:name w:val="CommentTok"/>
    <w:qFormat/>
    <w:uiPriority w:val="0"/>
    <w:rPr>
      <w:i/>
      <w:color w:val="60A0B0"/>
    </w:rPr>
  </w:style>
  <w:style w:type="character" w:customStyle="1" w:styleId="61">
    <w:name w:val="DocumentationTok"/>
    <w:qFormat/>
    <w:uiPriority w:val="0"/>
    <w:rPr>
      <w:i/>
      <w:color w:val="BA2121"/>
    </w:rPr>
  </w:style>
  <w:style w:type="character" w:customStyle="1" w:styleId="62">
    <w:name w:val="AnnotationTok"/>
    <w:qFormat/>
    <w:uiPriority w:val="0"/>
    <w:rPr>
      <w:b/>
      <w:i/>
      <w:color w:val="60A0B0"/>
    </w:rPr>
  </w:style>
  <w:style w:type="character" w:customStyle="1" w:styleId="63">
    <w:name w:val="CommentVarTok"/>
    <w:qFormat/>
    <w:uiPriority w:val="0"/>
    <w:rPr>
      <w:b/>
      <w:i/>
      <w:color w:val="60A0B0"/>
    </w:rPr>
  </w:style>
  <w:style w:type="character" w:customStyle="1" w:styleId="64">
    <w:name w:val="OtherTok"/>
    <w:qFormat/>
    <w:uiPriority w:val="0"/>
    <w:rPr>
      <w:color w:val="007020"/>
    </w:rPr>
  </w:style>
  <w:style w:type="character" w:customStyle="1" w:styleId="65">
    <w:name w:val="FunctionTok"/>
    <w:qFormat/>
    <w:uiPriority w:val="0"/>
    <w:rPr>
      <w:color w:val="06287E"/>
    </w:rPr>
  </w:style>
  <w:style w:type="character" w:customStyle="1" w:styleId="66">
    <w:name w:val="VariableTok"/>
    <w:qFormat/>
    <w:uiPriority w:val="0"/>
    <w:rPr>
      <w:color w:val="19177C"/>
    </w:rPr>
  </w:style>
  <w:style w:type="character" w:customStyle="1" w:styleId="67">
    <w:name w:val="ControlFlowTok"/>
    <w:qFormat/>
    <w:uiPriority w:val="0"/>
    <w:rPr>
      <w:b/>
      <w:color w:val="007020"/>
    </w:rPr>
  </w:style>
  <w:style w:type="character" w:customStyle="1" w:styleId="68">
    <w:name w:val="OperatorTok"/>
    <w:qFormat/>
    <w:uiPriority w:val="0"/>
    <w:rPr>
      <w:color w:val="666666"/>
    </w:rPr>
  </w:style>
  <w:style w:type="character" w:customStyle="1" w:styleId="69">
    <w:name w:val="BuiltInTok"/>
    <w:qFormat/>
    <w:uiPriority w:val="0"/>
    <w:rPr>
      <w:color w:val="008000"/>
    </w:rPr>
  </w:style>
  <w:style w:type="character" w:customStyle="1" w:styleId="70">
    <w:name w:val="ExtensionTok"/>
    <w:qFormat/>
    <w:uiPriority w:val="0"/>
  </w:style>
  <w:style w:type="character" w:customStyle="1" w:styleId="71">
    <w:name w:val="PreprocessorTok"/>
    <w:qFormat/>
    <w:uiPriority w:val="0"/>
    <w:rPr>
      <w:color w:val="BC7A00"/>
    </w:rPr>
  </w:style>
  <w:style w:type="character" w:customStyle="1" w:styleId="72">
    <w:name w:val="AttributeTok"/>
    <w:qFormat/>
    <w:uiPriority w:val="0"/>
    <w:rPr>
      <w:color w:val="7D9029"/>
    </w:rPr>
  </w:style>
  <w:style w:type="character" w:customStyle="1" w:styleId="73">
    <w:name w:val="RegionMarkerTok"/>
    <w:qFormat/>
    <w:uiPriority w:val="0"/>
  </w:style>
  <w:style w:type="character" w:customStyle="1" w:styleId="74">
    <w:name w:val="InformationTok"/>
    <w:qFormat/>
    <w:uiPriority w:val="0"/>
    <w:rPr>
      <w:b/>
      <w:i/>
      <w:color w:val="60A0B0"/>
    </w:rPr>
  </w:style>
  <w:style w:type="character" w:customStyle="1" w:styleId="75">
    <w:name w:val="WarningTok"/>
    <w:qFormat/>
    <w:uiPriority w:val="0"/>
    <w:rPr>
      <w:b/>
      <w:i/>
      <w:color w:val="60A0B0"/>
    </w:rPr>
  </w:style>
  <w:style w:type="character" w:customStyle="1" w:styleId="76">
    <w:name w:val="AlertTok"/>
    <w:qFormat/>
    <w:uiPriority w:val="0"/>
    <w:rPr>
      <w:b/>
      <w:color w:val="FF0000"/>
    </w:rPr>
  </w:style>
  <w:style w:type="character" w:customStyle="1" w:styleId="77">
    <w:name w:val="ErrorTok"/>
    <w:qFormat/>
    <w:uiPriority w:val="0"/>
    <w:rPr>
      <w:b/>
      <w:color w:val="FF0000"/>
    </w:rPr>
  </w:style>
  <w:style w:type="character" w:customStyle="1" w:styleId="78">
    <w:name w:val="NormalTok"/>
    <w:qFormat/>
    <w:uiPriority w:val="0"/>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Template>Normal.dotm</Template>
  <Pages>4</Pages>
  <Words>1908</Words>
  <Characters>1964</Characters>
  <Lines>30</Lines>
  <Paragraphs>8</Paragraphs>
  <TotalTime>73</TotalTime>
  <ScaleCrop>false</ScaleCrop>
  <LinksUpToDate>false</LinksUpToDate>
  <CharactersWithSpaces>2023</CharactersWithSpaces>
  <Application>WPS Office_12.1.0.23542_F1E327BC-269C-435d-A152-05C5408002CA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2025-11-09T09:50:00Z</dcterms:created>
  <dc:creator>迈斯纳效应</dc:creator>
  <cp:lastModifiedBy>迈斯纳效应</cp:lastModifiedBy>
  <dcterms:modified xsi:type="dcterms:W3CDTF">2025-11-09T10:31:50Z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eyJoZGlkIjoiOWE5MTdlOWY2MzQ5ZGJmN2ExZjEzOTY4ZDgxOTkzYjAiLCJ1c2VySWQiOiI0MzU1MzU1MTQifQ==</vt:lpwstr>
  </property>
  <property fmtid="{D5CDD505-2E9C-101B-9397-08002B2CF9AE}" pid="3" name="KSOProductBuildVer">
    <vt:lpwstr>2052-12.1.0.23542</vt:lpwstr>
  </property>
  <property fmtid="{D5CDD505-2E9C-101B-9397-08002B2CF9AE}" pid="4" name="ICV">
    <vt:lpwstr>63D7DD289F38465C920E0D8DCE1D46E8_12</vt:lpwstr>
  </property>
</Properties>
</file>