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B5E8">
      <w:pPr>
        <w:pStyle w:val="2"/>
      </w:pPr>
      <w:bookmarkStart w:id="0" w:name="X13a8aeb60349b16a97442e8975bc9ad35c32c32"/>
      <w:r>
        <w:t>Unified Theory of Quantum Vacuum Energy Extraction: A Complete Mathematical Self-Consistent Model Based on Field Combination Wavefunction and Gluon Separation-Annihilation Mechanism</w:t>
      </w:r>
    </w:p>
    <w:p w14:paraId="69D5AE86">
      <w:pPr>
        <w:pStyle w:val="4"/>
        <w:rPr>
          <w:rFonts w:hint="eastAsia" w:eastAsia="宋体"/>
          <w:lang w:val="en-US" w:eastAsia="zh-CN"/>
        </w:rPr>
      </w:pPr>
      <w:r>
        <w:rPr>
          <w:b/>
          <w:bCs/>
        </w:rPr>
        <w:t>Authors:</w:t>
      </w:r>
      <w:r>
        <w:t xml:space="preserve"> Li Zhijun </w:t>
      </w:r>
      <m:oMath>
        <m:sSup>
          <m:sSupPr/>
          <m:e>
            <m:r>
              <m:rPr/>
              <m:t>​</m:t>
            </m:r>
          </m:e>
          <m:sup>
            <m:r>
              <m:rPr/>
              <m:t>1</m:t>
            </m:r>
          </m:sup>
        </m:sSup>
      </m:oMath>
      <w:r>
        <w:t xml:space="preserve">, Zhao Guangyao </w:t>
      </w:r>
      <m:oMath>
        <m:sSup>
          <m:sSupPr/>
          <m:e>
            <m:r>
              <m:rPr/>
              <m:t>​</m:t>
            </m:r>
          </m:e>
          <m:sup>
            <m:r>
              <m:rPr>
                <m:sty m:val="p"/>
              </m:rPr>
              <w:rPr>
                <w:rFonts w:hint="default" w:ascii="Cambria Math" w:hAnsi="Cambria Math" w:eastAsia="宋体"/>
                <w:lang w:val="en-US" w:eastAsia="zh-CN"/>
              </w:rPr>
              <m:t>2</m:t>
            </m:r>
          </m:sup>
        </m:sSup>
      </m:oMath>
    </w:p>
    <w:p w14:paraId="779BA58F">
      <w:pPr>
        <w:pStyle w:val="3"/>
      </w:pPr>
      <w:r>
        <w:rPr>
          <w:b/>
          <w:bCs/>
        </w:rPr>
        <w:t>Affiliations:</w:t>
      </w:r>
      <w:r>
        <w:br w:type="textWrapping"/>
      </w:r>
      <m:oMath>
        <m:sSup>
          <m:sSupPr/>
          <m:e>
            <m:r>
              <m:rPr/>
              <m:t>​</m:t>
            </m:r>
          </m:e>
          <m:sup>
            <m:r>
              <m:rPr/>
              <m:t>1</m:t>
            </m:r>
          </m:sup>
        </m:sSup>
      </m:oMath>
      <w:r>
        <w:t xml:space="preserve"> Animal Husbandry School, Shanxi Provincial Department of Agriculture</w:t>
      </w:r>
      <w:r>
        <w:br w:type="textWrapping"/>
      </w:r>
      <m:oMath>
        <m:sSup>
          <m:sSupPr/>
          <m:e>
            <m:r>
              <m:rPr/>
              <m:t>​</m:t>
            </m:r>
          </m:e>
          <m:sup>
            <m:r>
              <m:rPr/>
              <m:t>2</m:t>
            </m:r>
          </m:sup>
        </m:sSup>
      </m:oMath>
      <w:r>
        <w:t xml:space="preserve">   Chongqing University</w:t>
      </w:r>
    </w:p>
    <w:p w14:paraId="37060BB2">
      <w:pPr>
        <w:pStyle w:val="5"/>
      </w:pPr>
      <w:bookmarkStart w:id="1" w:name="abstract"/>
      <w:r>
        <w:t>Abstract</w:t>
      </w:r>
    </w:p>
    <w:p w14:paraId="5A6AD0C8">
      <w:pPr>
        <w:pStyle w:val="4"/>
      </w:pPr>
      <w:r>
        <w:t xml:space="preserve">Based on Li Zhijun’s Field Combination Wavefunction Theory, this paper establishes a complete and mathematically self-consistent theoretical framework for extracting energy from quantum vacuum fluctuations. We systematically elaborate and construct the dynamical models for three gluon separation mechanisms—external field perturbation, high-energy particle collision, and resonant absorption—using rigorous methods of differential equations, functional analysis, and group theory. The core of the paper lies in the detailed derivation of the microscopic process of anti-gluon annihilation, describing it as the controlled collapse of a specific </w:t>
      </w:r>
      <m:oMath>
        <m:r>
          <m:rPr/>
          <m:t>SU</m:t>
        </m:r>
        <m:r>
          <m:rPr>
            <m:sty m:val="p"/>
          </m:rPr>
          <m:t>(</m:t>
        </m:r>
        <m:r>
          <m:rPr/>
          <m:t>3</m:t>
        </m:r>
        <m:r>
          <m:rPr>
            <m:sty m:val="p"/>
          </m:rPr>
          <m:t>)</m:t>
        </m:r>
      </m:oMath>
      <w:r>
        <w:t xml:space="preserve"> generator component within the color charge vortex field (</w:t>
      </w:r>
      <m:oMath>
        <m:r>
          <m:rPr/>
          <m:t>B</m:t>
        </m:r>
      </m:oMath>
      <w:r>
        <w:t>-field) of the anti-gluon’s field combination wavefunction under external intervention. We establish a unified master equation (Lindblad equation) to describe the system’s evolution and provide a precise criterion for energy gain. All models achieve mathematical closure within their respective theoretical frameworks and provide calculable predictive parameters for experimental verification.</w:t>
      </w:r>
    </w:p>
    <w:p w14:paraId="6AE824E5">
      <w:pPr>
        <w:pStyle w:val="4"/>
      </w:pPr>
      <w:r>
        <w:rPr>
          <w:b/>
          <w:bCs/>
        </w:rPr>
        <w:t>Keywords:</w:t>
      </w:r>
      <w:r>
        <w:t xml:space="preserve"> Quantum Vacuum Energy Extraction, Field Combination Wavefunction, Gluon Separation, Anti-gluon Annihilation, Mathematical Self-Consistent Model, Lie Group Representation, Lindblad Equation, Li Zhijun Field Combination Theory</w:t>
      </w:r>
      <w:bookmarkEnd w:id="0"/>
      <w:bookmarkEnd w:id="1"/>
      <w:bookmarkStart w:id="2" w:name="Xcea387d42d815986e96cc2e34e26b2d372498b6"/>
    </w:p>
    <w:p w14:paraId="79719646">
      <w:pPr>
        <w:pStyle w:val="4"/>
        <w:rPr>
          <w:b/>
          <w:bCs/>
        </w:rPr>
      </w:pPr>
      <w:r>
        <w:t>1.</w:t>
      </w:r>
      <w:r>
        <w:rPr>
          <w:b/>
          <w:bCs/>
        </w:rPr>
        <w:t xml:space="preserve"> Introduction: The Goal of Constructing Mathematical Self-Consistency</w:t>
      </w:r>
    </w:p>
    <w:p w14:paraId="1D3444BD">
      <w:pPr>
        <w:pStyle w:val="4"/>
      </w:pPr>
      <w:r>
        <w:t>Traditional quantum field theory often faces challenges of mathematical self-consistency, such as renormalization, infinities, and energy conservation, when dealing with vacuum energy extraction. Aiming within the framework of Li Zhijun’s Field Combination Wavefunction Theory, this paper constructs a complete mathematical model starting from first principles, where all dynamic processes are described by closed differential equations, and all parameters can be calibrated within the existing physical framework. Its self-consistency is reflected in: 1) the strict definition of field operator algebra and Hilbert space structure; 2) the existence and uniqueness of solutions to the dynamical equations; 3) the explicit satisfaction of energy-momentum conservation laws.</w:t>
      </w:r>
      <w:bookmarkEnd w:id="2"/>
      <w:bookmarkStart w:id="3" w:name="Xb4431e55eb473279e0e441c070d76ae322eaf13"/>
    </w:p>
    <w:p w14:paraId="7A682B97">
      <w:pPr>
        <w:pStyle w:val="4"/>
        <w:rPr>
          <w:b/>
          <w:bCs/>
        </w:rPr>
      </w:pPr>
      <w:r>
        <w:rPr>
          <w:b/>
          <w:bCs/>
        </w:rPr>
        <w:t>2. Mathematical Foundation of the Theoretical Framework</w:t>
      </w:r>
    </w:p>
    <w:p w14:paraId="6F1F1091">
      <w:pPr>
        <w:pStyle w:val="5"/>
      </w:pPr>
      <w:bookmarkStart w:id="4" w:name="X747fe9048955e8c8a9bcff74ada004759247f3c"/>
      <w:r>
        <w:rPr>
          <w:sz w:val="24"/>
          <w:szCs w:val="24"/>
        </w:rPr>
        <w:t>2.1 Strict Algebraic Definition of the Field Combination Wavefunction</w:t>
      </w:r>
    </w:p>
    <w:p w14:paraId="62B69AB4">
      <w:pPr>
        <w:pStyle w:val="4"/>
      </w:pPr>
      <w:r>
        <w:t xml:space="preserve">The field combination wavefunction </w:t>
      </w:r>
      <m:oMath>
        <m:r>
          <m:rPr>
            <m:sty m:val="p"/>
          </m:rPr>
          <m:t>Ψ</m:t>
        </m:r>
      </m:oMath>
      <w:r>
        <w:t xml:space="preserve"> is a section of a fiber bundle defined on the spacetime manifold </w:t>
      </w:r>
      <m:oMath>
        <m:r>
          <m:rPr/>
          <m:t>M</m:t>
        </m:r>
      </m:oMath>
      <w:r>
        <w:t xml:space="preserve">, with the structure group </w:t>
      </w:r>
      <m:oMath>
        <m:r>
          <m:rPr/>
          <m:t>G</m:t>
        </m:r>
        <m:r>
          <m:rPr>
            <m:sty m:val="p"/>
          </m:rPr>
          <m:t>=</m:t>
        </m:r>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r>
          <m:rPr>
            <m:sty m:val="p"/>
          </m:rPr>
          <m:t>.</m:t>
        </m:r>
      </m:oMath>
      <w:r>
        <w:t xml:space="preserve"> Its Hilbert space is:</w:t>
      </w:r>
    </w:p>
    <w:p w14:paraId="13F44BAD">
      <w:pPr>
        <w:pStyle w:val="3"/>
      </w:pPr>
      <m:oMathPara>
        <m:oMathParaPr>
          <m:jc m:val="center"/>
        </m:oMathParaPr>
        <m:oMath>
          <m:r>
            <m:rPr>
              <m:sty m:val="p"/>
              <m:scr m:val="script"/>
            </m:rPr>
            <m:t>ℋ</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A</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B</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C</m:t>
              </m:r>
            </m:sub>
          </m:sSub>
          <m:r>
            <m:rPr>
              <m:sty m:val="p"/>
            </m:rPr>
            <m:t>)</m:t>
          </m:r>
        </m:oMath>
      </m:oMathPara>
      <w:r>
        <w:br w:type="textWrapping"/>
      </w:r>
      <w:r>
        <w:t xml:space="preserve">where </w:t>
      </w:r>
      <m:oMath>
        <m:r>
          <m:rPr/>
          <m:t>S</m:t>
        </m:r>
      </m:oMath>
      <w:r>
        <w:t xml:space="preserve"> is the spinor bundle, and </w:t>
      </w:r>
      <m:oMath>
        <m:sSub>
          <m:sSubPr/>
          <m:e>
            <m:r>
              <m:rPr/>
              <m:t>V</m:t>
            </m:r>
          </m:e>
          <m:sub>
            <m:r>
              <m:rPr/>
              <m:t>A</m:t>
            </m:r>
          </m:sub>
        </m:sSub>
        <m:r>
          <m:rPr>
            <m:sty m:val="p"/>
          </m:rPr>
          <m:t>,</m:t>
        </m:r>
        <m:sSub>
          <m:sSubPr/>
          <m:e>
            <m:r>
              <m:rPr/>
              <m:t>V</m:t>
            </m:r>
          </m:e>
          <m:sub>
            <m:r>
              <m:rPr/>
              <m:t>B</m:t>
            </m:r>
          </m:sub>
        </m:sSub>
        <m:r>
          <m:rPr>
            <m:sty m:val="p"/>
          </m:rPr>
          <m:t>,</m:t>
        </m:r>
        <m:sSub>
          <m:sSubPr/>
          <m:e>
            <m:r>
              <m:rPr/>
              <m:t>V</m:t>
            </m:r>
          </m:e>
          <m:sub>
            <m:r>
              <m:rPr/>
              <m:t>C</m:t>
            </m:r>
          </m:sub>
        </m:sSub>
      </m:oMath>
      <w:r>
        <w:t xml:space="preserve"> are the representation spaces of the group </w:t>
      </w:r>
      <m:oMath>
        <m:r>
          <m:rPr/>
          <m:t>G</m:t>
        </m:r>
      </m:oMath>
      <w:r>
        <w:t xml:space="preserve">, respectively. The field operator </w:t>
      </w:r>
      <m:oMath>
        <m:acc>
          <m:accPr/>
          <m:e>
            <m:r>
              <m:rPr>
                <m:sty m:val="p"/>
              </m:rPr>
              <m:t>Ψ</m:t>
            </m:r>
          </m:e>
        </m:acc>
        <m:r>
          <m:rPr>
            <m:sty m:val="p"/>
          </m:rPr>
          <m:t>(</m:t>
        </m:r>
        <m:r>
          <m:rPr/>
          <m:t>x</m:t>
        </m:r>
        <m:r>
          <m:rPr>
            <m:sty m:val="p"/>
          </m:rPr>
          <m:t>)</m:t>
        </m:r>
      </m:oMath>
      <w:r>
        <w:t xml:space="preserve"> generates a </w:t>
      </w:r>
      <m:oMath>
        <m:sSup>
          <m:sSupPr/>
          <m:e>
            <m:r>
              <m:rPr/>
              <m:t>C</m:t>
            </m:r>
          </m:e>
          <m:sup>
            <m:r>
              <m:rPr>
                <m:sty m:val="p"/>
              </m:rPr>
              <m:t>∗</m:t>
            </m:r>
          </m:sup>
        </m:sSup>
      </m:oMath>
      <w:r>
        <w:t xml:space="preserve">-algebra </w:t>
      </w:r>
      <m:oMath>
        <m:r>
          <m:rPr>
            <m:sty m:val="p"/>
            <m:scr m:val="script"/>
          </m:rPr>
          <m:t>A</m:t>
        </m:r>
        <m:r>
          <m:rPr>
            <m:sty m:val="p"/>
          </m:rPr>
          <m:t>,</m:t>
        </m:r>
      </m:oMath>
      <w:r>
        <w:t xml:space="preserve"> satisfying canonical commutation or anti-commutation relations, forming the algebraic foundation for all our calculations.</w:t>
      </w:r>
      <w:bookmarkEnd w:id="4"/>
      <w:bookmarkStart w:id="5" w:name="Xbe89bb151d3f37de5ea2764af4f73a2edb890e1"/>
    </w:p>
    <w:p w14:paraId="6EC67A80">
      <w:pPr>
        <w:pStyle w:val="3"/>
        <w:rPr>
          <w:b/>
          <w:bCs/>
        </w:rPr>
      </w:pPr>
      <w:r>
        <w:t>2</w:t>
      </w:r>
      <w:r>
        <w:rPr>
          <w:b/>
          <w:bCs/>
        </w:rPr>
        <w:t>.2 Mathematical Description of the Vacuum State and Wightman Axioms</w:t>
      </w:r>
    </w:p>
    <w:p w14:paraId="09DCAF25">
      <w:pPr>
        <w:pStyle w:val="4"/>
      </w:pPr>
      <w:r>
        <w:t xml:space="preserve">The vacuum state </w:t>
      </w:r>
      <m:oMath>
        <m:r>
          <m:rPr>
            <m:sty m:val="p"/>
          </m:rPr>
          <m:t>|</m:t>
        </m:r>
        <m:r>
          <m:rPr/>
          <m:t>0</m:t>
        </m:r>
        <m:r>
          <m:rPr>
            <m:sty m:val="p"/>
          </m:rPr>
          <m:t>⟩</m:t>
        </m:r>
      </m:oMath>
      <w:r>
        <w:t xml:space="preserve"> is an invariant state under the Poincaré group, satisfying the Wightman axioms. Its explicit form can be approximately expressed as:</w:t>
      </w:r>
    </w:p>
    <w:p w14:paraId="75CEF8AD">
      <w:pPr>
        <w:pStyle w:val="3"/>
      </w:pPr>
      <m:oMathPara>
        <m:oMathParaPr>
          <m:jc m:val="center"/>
        </m:oMathParaPr>
        <m:oMath>
          <m:r>
            <m:rPr>
              <m:sty m:val="p"/>
            </m:rPr>
            <m:t>|</m:t>
          </m:r>
          <m:r>
            <m:rPr/>
            <m:t>0</m:t>
          </m:r>
          <m:r>
            <m:rPr>
              <m:sty m:val="p"/>
            </m:rPr>
            <m:t>⟩≈</m:t>
          </m:r>
          <m:r>
            <m:rPr>
              <m:sty m:val="p"/>
              <m:scr m:val="script"/>
            </m:rPr>
            <m:t>N</m:t>
          </m:r>
          <m:r>
            <m:rPr>
              <m:sty m:val="p"/>
            </m:rPr>
            <m:t>exp</m:t>
          </m:r>
          <m:d>
            <m:dPr>
              <m:begChr m:val="["/>
              <m:sepChr m:val=""/>
              <m:endChr m:val="]"/>
            </m:dPr>
            <m:e>
              <m:f>
                <m:fPr/>
                <m:num>
                  <m:r>
                    <m:rPr/>
                    <m:t>1</m:t>
                  </m:r>
                </m:num>
                <m:den>
                  <m:r>
                    <m:rPr/>
                    <m:t>2</m:t>
                  </m:r>
                </m:den>
              </m:f>
              <m:r>
                <m:rPr>
                  <m:sty m:val="p"/>
                </m:rPr>
                <m:t>∫</m:t>
              </m:r>
              <m:sSup>
                <m:sSupPr/>
                <m:e>
                  <m:r>
                    <m:rPr/>
                    <m:t>d</m:t>
                  </m:r>
                </m:e>
                <m:sup>
                  <m:r>
                    <m:rPr/>
                    <m:t>3</m:t>
                  </m:r>
                </m:sup>
              </m:sSup>
              <m:r>
                <m:rPr/>
                <m:t>k λ</m:t>
              </m:r>
              <m:r>
                <m:rPr>
                  <m:sty m:val="p"/>
                </m:rPr>
                <m:t>(</m:t>
              </m:r>
              <m:r>
                <m:rPr/>
                <m:t>k</m:t>
              </m:r>
              <m:r>
                <m:rPr>
                  <m:sty m:val="p"/>
                </m:rPr>
                <m:t>)</m:t>
              </m:r>
              <m:r>
                <m:rPr/>
                <m:t> </m:t>
              </m:r>
              <m:sSup>
                <m:sSupPr/>
                <m:e>
                  <m:r>
                    <m:rPr/>
                    <m:t>a</m:t>
                  </m:r>
                </m:e>
                <m:sup>
                  <m:r>
                    <m:rPr>
                      <m:sty m:val="p"/>
                    </m:rPr>
                    <m:t>†</m:t>
                  </m:r>
                </m:sup>
              </m:sSup>
              <m:r>
                <m:rPr>
                  <m:sty m:val="p"/>
                </m:rPr>
                <m:t>(</m:t>
              </m:r>
              <m:acc>
                <m:accPr>
                  <m:chr m:val="⃗"/>
                </m:accPr>
                <m:e>
                  <m:r>
                    <m:rPr/>
                    <m:t>k</m:t>
                  </m:r>
                </m:e>
              </m:acc>
              <m:r>
                <m:rPr>
                  <m:sty m:val="p"/>
                </m:rPr>
                <m:t>)</m:t>
              </m:r>
              <m:sSup>
                <m:sSupPr/>
                <m:e>
                  <m:r>
                    <m:rPr/>
                    <m:t>b</m:t>
                  </m:r>
                </m:e>
                <m:sup>
                  <m:r>
                    <m:rPr>
                      <m:sty m:val="p"/>
                    </m:rPr>
                    <m:t>†</m:t>
                  </m:r>
                </m:sup>
              </m:sSup>
              <m:r>
                <m:rPr>
                  <m:sty m:val="p"/>
                </m:rPr>
                <m:t>(−</m:t>
              </m:r>
              <m:acc>
                <m:accPr>
                  <m:chr m:val="⃗"/>
                </m:accPr>
                <m:e>
                  <m:r>
                    <m:rPr/>
                    <m:t>k</m:t>
                  </m:r>
                </m:e>
              </m:acc>
              <m:r>
                <m:rPr>
                  <m:sty m:val="p"/>
                </m:rPr>
                <m:t>)</m:t>
              </m:r>
            </m:e>
          </m:d>
          <m:r>
            <m:rPr>
              <m:sty m:val="p"/>
            </m:rPr>
            <m:t>|</m:t>
          </m:r>
          <m:sSub>
            <m:sSubPr/>
            <m:e>
              <m:r>
                <m:rPr/>
                <m:t>0</m:t>
              </m:r>
            </m:e>
            <m:sub>
              <m:r>
                <m:rPr/>
                <m:t>0</m:t>
              </m:r>
            </m:sub>
          </m:sSub>
          <m:r>
            <m:rPr>
              <m:sty m:val="p"/>
            </m:rPr>
            <m:t>⟩</m:t>
          </m:r>
        </m:oMath>
      </m:oMathPara>
      <w:r>
        <w:br w:type="textWrapping"/>
      </w:r>
      <w:r>
        <w:t xml:space="preserve">where </w:t>
      </w:r>
      <m:oMath>
        <m:r>
          <m:rPr>
            <m:sty m:val="p"/>
            <m:scr m:val="script"/>
          </m:rPr>
          <m:t>N</m:t>
        </m:r>
      </m:oMath>
      <w:r>
        <w:t xml:space="preserve"> is a normalization constant, </w:t>
      </w:r>
      <m:oMath>
        <m:r>
          <m:rPr/>
          <m:t>λ</m:t>
        </m:r>
        <m:r>
          <m:rPr>
            <m:sty m:val="p"/>
          </m:rPr>
          <m:t>(</m:t>
        </m:r>
        <m:r>
          <m:rPr/>
          <m:t>k</m:t>
        </m:r>
        <m:r>
          <m:rPr>
            <m:sty m:val="p"/>
          </m:rPr>
          <m:t>)</m:t>
        </m:r>
      </m:oMath>
      <w:r>
        <w:t xml:space="preserve"> is the correlation function, and </w:t>
      </w:r>
      <m:oMath>
        <m:r>
          <m:rPr>
            <m:sty m:val="p"/>
          </m:rPr>
          <m:t>|</m:t>
        </m:r>
        <m:sSub>
          <m:sSubPr/>
          <m:e>
            <m:r>
              <m:rPr/>
              <m:t>0</m:t>
            </m:r>
          </m:e>
          <m:sub>
            <m:r>
              <m:rPr/>
              <m:t>0</m:t>
            </m:r>
          </m:sub>
        </m:sSub>
        <m:r>
          <m:rPr>
            <m:sty m:val="p"/>
          </m:rPr>
          <m:t>⟩</m:t>
        </m:r>
      </m:oMath>
      <w:r>
        <w:t xml:space="preserve"> is the free vacuum. This formulation ensures that the vacuum expectation value </w:t>
      </w:r>
      <m:oMath>
        <m:r>
          <m:rPr>
            <m:sty m:val="p"/>
          </m:rPr>
          <m:t>⟨</m:t>
        </m:r>
        <m:r>
          <m:rPr/>
          <m:t>0</m:t>
        </m:r>
        <m:r>
          <m:rPr>
            <m:sty m:val="p"/>
          </m:rPr>
          <m:t>|</m:t>
        </m:r>
        <m:acc>
          <m:accPr/>
          <m:e>
            <m:r>
              <m:rPr/>
              <m:t>O</m:t>
            </m:r>
          </m:e>
        </m:acc>
        <m:r>
          <m:rPr>
            <m:sty m:val="p"/>
          </m:rPr>
          <m:t>|</m:t>
        </m:r>
        <m:r>
          <m:rPr/>
          <m:t>0</m:t>
        </m:r>
        <m:r>
          <m:rPr>
            <m:sty m:val="p"/>
          </m:rPr>
          <m:t>⟩</m:t>
        </m:r>
      </m:oMath>
      <w:r>
        <w:t xml:space="preserve"> is well-defined for any local operator </w:t>
      </w:r>
      <m:oMath>
        <m:acc>
          <m:accPr/>
          <m:e>
            <m:r>
              <m:rPr/>
              <m:t>O</m:t>
            </m:r>
          </m:e>
        </m:acc>
        <m:r>
          <m:rPr>
            <m:sty m:val="p"/>
          </m:rPr>
          <m:t>∈</m:t>
        </m:r>
        <m:r>
          <m:rPr>
            <m:sty m:val="p"/>
            <m:scr m:val="script"/>
          </m:rPr>
          <m:t>A</m:t>
        </m:r>
      </m:oMath>
      <w:r>
        <w:t>.</w:t>
      </w:r>
      <w:bookmarkEnd w:id="3"/>
      <w:bookmarkEnd w:id="5"/>
      <w:bookmarkStart w:id="6" w:name="X805b8f8065d5f234d3b7a3859b7729c13b55dac"/>
    </w:p>
    <w:p w14:paraId="78A73840">
      <w:pPr>
        <w:pStyle w:val="3"/>
        <w:rPr>
          <w:b/>
          <w:bCs/>
        </w:rPr>
      </w:pPr>
      <w:r>
        <w:rPr>
          <w:b/>
          <w:bCs/>
        </w:rPr>
        <w:t>3. Strict Dynamical Models of Gluon Separation Mechanisms</w:t>
      </w:r>
    </w:p>
    <w:p w14:paraId="33741AFB">
      <w:pPr>
        <w:pStyle w:val="5"/>
        <w:rPr>
          <w:sz w:val="24"/>
          <w:szCs w:val="24"/>
        </w:rPr>
      </w:pPr>
      <w:bookmarkStart w:id="7" w:name="X9fa7d4f65fa5714da566f6e831c6c6fbd63716b"/>
      <w:r>
        <w:rPr>
          <w:sz w:val="24"/>
          <w:szCs w:val="24"/>
        </w:rPr>
        <w:t>3.1 Differential Equation Model for External Ultra-Strong Magnetic Field Perturbation Separation Mechanism</w:t>
      </w:r>
    </w:p>
    <w:p w14:paraId="064EC747">
      <w:pPr>
        <w:pStyle w:val="6"/>
        <w:rPr>
          <w:sz w:val="24"/>
          <w:szCs w:val="24"/>
        </w:rPr>
      </w:pPr>
      <w:bookmarkStart w:id="8" w:name="X65bc0472420f92c1e746446ec2e7496fb1f55b0"/>
      <w:r>
        <w:rPr>
          <w:sz w:val="24"/>
          <w:szCs w:val="24"/>
        </w:rPr>
        <w:t>3.1.1 Interaction Hamiltonian and Equations of Motion</w:t>
      </w:r>
    </w:p>
    <w:p w14:paraId="66D46A8B">
      <w:pPr>
        <w:pStyle w:val="4"/>
      </w:pPr>
      <w:r>
        <w:t xml:space="preserve">Consider an external classical field </w:t>
      </w:r>
      <m:oMath>
        <m:sSub>
          <m:sSubPr/>
          <m:e>
            <m:r>
              <m:rPr/>
              <m:t>ϕ</m:t>
            </m:r>
          </m:e>
          <m:sub>
            <m:r>
              <m:rPr>
                <m:sty m:val="p"/>
              </m:rPr>
              <m:t>ext</m:t>
            </m:r>
          </m:sub>
        </m:sSub>
        <m:r>
          <m:rPr>
            <m:sty m:val="p"/>
          </m:rPr>
          <m:t>(</m:t>
        </m:r>
        <m:r>
          <m:rPr/>
          <m:t>x</m:t>
        </m:r>
        <m:r>
          <m:rPr>
            <m:sty m:val="p"/>
          </m:rPr>
          <m:t>).</m:t>
        </m:r>
      </m:oMath>
      <w:r>
        <w:t xml:space="preserve"> Its interaction Lagrangian density with the gluon field is:</w:t>
      </w:r>
    </w:p>
    <w:p w14:paraId="71B7DA5D">
      <w:pPr>
        <w:pStyle w:val="3"/>
      </w:pPr>
      <m:oMathPara>
        <m:oMathParaPr>
          <m:jc m:val="center"/>
        </m:oMathParaPr>
        <m:oMath>
          <m:sSub>
            <m:sSubPr/>
            <m:e>
              <m:r>
                <m:rPr>
                  <m:sty m:val="p"/>
                  <m:scr m:val="script"/>
                </m:rPr>
                <m:t>ℒ</m:t>
              </m:r>
            </m:e>
            <m:sub>
              <m:r>
                <m:rPr>
                  <m:sty m:val="p"/>
                </m:rPr>
                <m:t>int</m:t>
              </m:r>
            </m:sub>
          </m:sSub>
          <m:r>
            <m:rPr>
              <m:sty m:val="p"/>
            </m:rPr>
            <m:t>=</m:t>
          </m:r>
          <m:sSub>
            <m:sSubPr/>
            <m:e>
              <m:r>
                <m:rPr/>
                <m:t>g</m:t>
              </m:r>
            </m:e>
            <m:sub>
              <m:r>
                <m:rPr>
                  <m:sty m:val="p"/>
                </m:rPr>
                <m:t>eff</m:t>
              </m:r>
            </m:sub>
          </m:sSub>
          <m:r>
            <m:rPr/>
            <m:t> </m:t>
          </m:r>
          <m:sSub>
            <m:sSubPr/>
            <m:e>
              <m:r>
                <m:rPr/>
                <m:t>ϕ</m:t>
              </m:r>
            </m:e>
            <m:sub>
              <m:r>
                <m:rPr>
                  <m:sty m:val="p"/>
                </m:rPr>
                <m:t>ext</m:t>
              </m:r>
            </m:sub>
          </m:sSub>
          <m:r>
            <m:rPr>
              <m:sty m:val="p"/>
            </m:rPr>
            <m:t>(</m:t>
          </m:r>
          <m:r>
            <m:rPr/>
            <m:t>x</m:t>
          </m:r>
          <m:r>
            <m:rPr>
              <m:sty m:val="p"/>
            </m:rPr>
            <m:t>)</m:t>
          </m:r>
          <m:r>
            <m:rPr/>
            <m:t> </m:t>
          </m:r>
          <m:r>
            <m:rPr>
              <m:sty m:val="p"/>
            </m:rPr>
            <m:t>Tr</m:t>
          </m:r>
          <m:d>
            <m:dPr>
              <m:sepChr m:val=""/>
            </m:dPr>
            <m:e>
              <m:sSub>
                <m:sSubPr/>
                <m:e>
                  <m:r>
                    <m:rPr/>
                    <m:t>F</m:t>
                  </m:r>
                </m:e>
                <m:sub>
                  <m:r>
                    <m:rPr/>
                    <m:t>μν</m:t>
                  </m:r>
                </m:sub>
              </m:sSub>
              <m:sSup>
                <m:sSupPr/>
                <m:e>
                  <m:r>
                    <m:rPr/>
                    <m:t>F</m:t>
                  </m:r>
                </m:e>
                <m:sup>
                  <m:r>
                    <m:rPr/>
                    <m:t>μν</m:t>
                  </m:r>
                </m:sup>
              </m:sSup>
            </m:e>
          </m:d>
        </m:oMath>
      </m:oMathPara>
      <w:r>
        <w:br w:type="textWrapping"/>
      </w:r>
      <w:r>
        <w:t>The corresponding Hamiltonian is:</w:t>
      </w:r>
    </w:p>
    <w:p w14:paraId="22FEC5C2">
      <w:pPr>
        <w:pStyle w:val="3"/>
      </w:pPr>
      <m:oMathPara>
        <m:oMathParaPr>
          <m:jc m:val="center"/>
        </m:oMathParaPr>
        <m:oMath>
          <m:sSub>
            <m:sSubPr/>
            <m:e>
              <m:r>
                <m:rPr/>
                <m:t>H</m:t>
              </m:r>
            </m:e>
            <m:sub>
              <m:r>
                <m:rPr>
                  <m:sty m:val="p"/>
                </m:rPr>
                <m:t>int</m:t>
              </m:r>
            </m:sub>
          </m:sSub>
          <m:r>
            <m:rPr>
              <m:sty m:val="p"/>
            </m:rPr>
            <m:t>(</m:t>
          </m:r>
          <m:r>
            <m:rPr/>
            <m:t>t</m:t>
          </m:r>
          <m:r>
            <m:rPr>
              <m:sty m:val="p"/>
            </m:rPr>
            <m:t>)=</m:t>
          </m:r>
          <m:sSub>
            <m:sSubPr/>
            <m:e>
              <m:r>
                <m:rPr/>
                <m:t>g</m:t>
              </m:r>
            </m:e>
            <m:sub>
              <m:r>
                <m:rPr>
                  <m:sty m:val="p"/>
                </m:rPr>
                <m:t>eff</m:t>
              </m:r>
            </m:sub>
          </m:sSub>
          <m:r>
            <m:rPr>
              <m:sty m:val="p"/>
            </m:rPr>
            <m:t>∫</m:t>
          </m:r>
          <m:sSup>
            <m:sSupPr/>
            <m:e>
              <m:r>
                <m:rPr/>
                <m:t>d</m:t>
              </m:r>
            </m:e>
            <m:sup>
              <m:r>
                <m:rPr/>
                <m:t>3</m:t>
              </m:r>
            </m:sup>
          </m:sSup>
          <m:r>
            <m:rPr/>
            <m:t>x </m:t>
          </m:r>
          <m:sSub>
            <m:sSubPr/>
            <m:e>
              <m:r>
                <m:rPr/>
                <m:t>ϕ</m:t>
              </m:r>
            </m:e>
            <m:sub>
              <m:r>
                <m:rPr>
                  <m:sty m:val="p"/>
                </m:rPr>
                <m:t>ext</m:t>
              </m:r>
            </m:sub>
          </m:sSub>
          <m:r>
            <m:rPr>
              <m:sty m:val="p"/>
            </m:rPr>
            <m:t>(</m:t>
          </m:r>
          <m:acc>
            <m:accPr>
              <m:chr m:val="⃗"/>
            </m:accPr>
            <m:e>
              <m:r>
                <m:rPr/>
                <m:t>x</m:t>
              </m:r>
            </m:e>
          </m:acc>
          <m:r>
            <m:rPr>
              <m:sty m:val="p"/>
            </m:rPr>
            <m:t>,</m:t>
          </m:r>
          <m:r>
            <m:rPr/>
            <m:t>t</m:t>
          </m:r>
          <m:r>
            <m:rPr>
              <m:sty m:val="p"/>
            </m:rPr>
            <m:t>)</m:t>
          </m:r>
          <m:r>
            <m:rPr/>
            <m:t> </m:t>
          </m:r>
          <m:r>
            <m:rPr>
              <m:sty m:val="p"/>
            </m:rPr>
            <m:t>Tr</m:t>
          </m:r>
          <m:d>
            <m:dPr>
              <m:sepChr m:val=""/>
            </m:dPr>
            <m:e>
              <m:sSub>
                <m:sSubPr/>
                <m:e>
                  <m:r>
                    <m:rPr/>
                    <m:t>F</m:t>
                  </m:r>
                </m:e>
                <m:sub>
                  <m:r>
                    <m:rPr/>
                    <m:t>μν</m:t>
                  </m:r>
                </m:sub>
              </m:sSub>
              <m:sSup>
                <m:sSupPr/>
                <m:e>
                  <m:r>
                    <m:rPr/>
                    <m:t>F</m:t>
                  </m:r>
                </m:e>
                <m:sup>
                  <m:r>
                    <m:rPr/>
                    <m:t>μν</m:t>
                  </m:r>
                </m:sup>
              </m:sSup>
            </m:e>
          </m:d>
        </m:oMath>
      </m:oMathPara>
      <w:r>
        <w:br w:type="textWrapping"/>
      </w:r>
      <w:r>
        <w:t xml:space="preserve">In the Heisenberg picture, the evolution of the gluon field operator </w:t>
      </w:r>
      <m:oMath>
        <m:sSubSup>
          <m:sSubSupPr/>
          <m:e>
            <m:r>
              <m:rPr/>
              <m:t>A</m:t>
            </m:r>
          </m:e>
          <m:sub>
            <m:r>
              <m:rPr/>
              <m:t>μ</m:t>
            </m:r>
          </m:sub>
          <m:sup>
            <m:r>
              <m:rPr/>
              <m:t>a</m:t>
            </m:r>
          </m:sup>
        </m:sSubSup>
        <m:r>
          <m:rPr>
            <m:sty m:val="p"/>
          </m:rPr>
          <m:t>(</m:t>
        </m:r>
        <m:r>
          <m:rPr/>
          <m:t>x</m:t>
        </m:r>
        <m:r>
          <m:rPr>
            <m:sty m:val="p"/>
          </m:rPr>
          <m:t>)</m:t>
        </m:r>
      </m:oMath>
      <w:r>
        <w:t xml:space="preserve"> satisfies:</w:t>
      </w:r>
    </w:p>
    <w:p w14:paraId="08A3D542">
      <w:pPr>
        <w:pStyle w:val="3"/>
      </w:pPr>
      <m:oMathPara>
        <m:oMathParaPr>
          <m:jc m:val="center"/>
        </m:oMathParaPr>
        <m:oMath>
          <m:r>
            <m:rPr/>
            <m:t>i</m:t>
          </m:r>
          <m:r>
            <m:rPr>
              <m:sty m:val="p"/>
            </m:rPr>
            <m:t>ℏ</m:t>
          </m:r>
          <m:f>
            <m:fPr/>
            <m:num>
              <m:r>
                <m:rPr>
                  <m:sty m:val="p"/>
                </m:rPr>
                <m:t>∂</m:t>
              </m:r>
              <m:sSubSup>
                <m:sSubSupPr/>
                <m:e>
                  <m:r>
                    <m:rPr/>
                    <m:t>A</m:t>
                  </m:r>
                </m:e>
                <m:sub>
                  <m:r>
                    <m:rPr/>
                    <m:t>μ</m:t>
                  </m:r>
                </m:sub>
                <m:sup>
                  <m:r>
                    <m:rPr/>
                    <m:t>a</m:t>
                  </m:r>
                </m:sup>
              </m:sSubSup>
              <m:r>
                <m:rPr>
                  <m:sty m:val="p"/>
                </m:rPr>
                <m:t>(</m:t>
              </m:r>
              <m:r>
                <m:rPr/>
                <m:t>x</m:t>
              </m:r>
              <m:r>
                <m:rPr>
                  <m:sty m:val="p"/>
                </m:rPr>
                <m:t>)</m:t>
              </m:r>
            </m:num>
            <m:den>
              <m:r>
                <m:rPr>
                  <m:sty m:val="p"/>
                </m:rPr>
                <m:t>∂</m:t>
              </m:r>
              <m:r>
                <m:rPr/>
                <m:t>t</m:t>
              </m:r>
            </m:den>
          </m:f>
          <m:r>
            <m:rPr>
              <m:sty m:val="p"/>
            </m:rPr>
            <m:t>=</m:t>
          </m:r>
          <m:d>
            <m:dPr>
              <m:begChr m:val="["/>
              <m:sepChr m:val=""/>
              <m:endChr m:val="]"/>
            </m:dPr>
            <m:e>
              <m:sSubSup>
                <m:sSubSupPr/>
                <m:e>
                  <m:r>
                    <m:rPr/>
                    <m:t>A</m:t>
                  </m:r>
                </m:e>
                <m:sub>
                  <m:r>
                    <m:rPr/>
                    <m:t>μ</m:t>
                  </m:r>
                </m:sub>
                <m:sup>
                  <m:r>
                    <m:rPr/>
                    <m:t>a</m:t>
                  </m:r>
                </m:sup>
              </m:sSubSup>
              <m:r>
                <m:rPr>
                  <m:sty m:val="p"/>
                </m:rPr>
                <m:t>(</m:t>
              </m:r>
              <m:r>
                <m:rPr/>
                <m:t>x</m:t>
              </m:r>
              <m:r>
                <m:rPr>
                  <m:sty m:val="p"/>
                </m:rPr>
                <m:t>),</m:t>
              </m:r>
              <m:sSub>
                <m:sSubPr/>
                <m:e>
                  <m:r>
                    <m:rPr/>
                    <m:t>H</m:t>
                  </m:r>
                </m:e>
                <m:sub>
                  <m:r>
                    <m:rPr/>
                    <m:t>0</m:t>
                  </m:r>
                </m:sub>
              </m:sSub>
              <m:r>
                <m:rPr>
                  <m:sty m:val="p"/>
                </m:rPr>
                <m:t>+</m:t>
              </m:r>
              <m:sSub>
                <m:sSubPr/>
                <m:e>
                  <m:r>
                    <m:rPr/>
                    <m:t>H</m:t>
                  </m:r>
                </m:e>
                <m:sub>
                  <m:r>
                    <m:rPr>
                      <m:sty m:val="p"/>
                    </m:rPr>
                    <m:t>int</m:t>
                  </m:r>
                </m:sub>
              </m:sSub>
              <m:r>
                <m:rPr>
                  <m:sty m:val="p"/>
                </m:rPr>
                <m:t>(</m:t>
              </m:r>
              <m:r>
                <m:rPr/>
                <m:t>t</m:t>
              </m:r>
              <m:r>
                <m:rPr>
                  <m:sty m:val="p"/>
                </m:rPr>
                <m:t>)</m:t>
              </m:r>
            </m:e>
          </m:d>
        </m:oMath>
      </m:oMathPara>
      <w:r>
        <w:br w:type="textWrapping"/>
      </w:r>
      <w:r>
        <w:t>This is a nonlinear partial differential equation that determines the evolution of the field.</w:t>
      </w:r>
    </w:p>
    <w:bookmarkEnd w:id="8"/>
    <w:p w14:paraId="77A4BDF2">
      <w:pPr>
        <w:pStyle w:val="6"/>
        <w:rPr>
          <w:sz w:val="24"/>
          <w:szCs w:val="24"/>
        </w:rPr>
      </w:pPr>
      <w:bookmarkStart w:id="9" w:name="X55158022b210e97bf76f2f214eba8effffa20d3"/>
      <w:r>
        <w:rPr>
          <w:sz w:val="24"/>
          <w:szCs w:val="24"/>
        </w:rPr>
        <w:t>3.1.2 Linear Response Theory and Separation Probability</w:t>
      </w:r>
    </w:p>
    <w:p w14:paraId="0D46C575">
      <w:pPr>
        <w:pStyle w:val="4"/>
      </w:pPr>
      <w:r>
        <w:t xml:space="preserve">Under the weak-field approximation, linear response theory can be applied. The change in gluon number density </w:t>
      </w:r>
      <m:oMath>
        <m:r>
          <m:rPr/>
          <m:t>δ</m:t>
        </m:r>
        <m:sSub>
          <m:sSubPr/>
          <m:e>
            <m:r>
              <m:rPr/>
              <m:t>n</m:t>
            </m:r>
          </m:e>
          <m:sub>
            <m:r>
              <m:rPr/>
              <m:t>g</m:t>
            </m:r>
          </m:sub>
        </m:sSub>
        <m:r>
          <m:rPr>
            <m:sty m:val="p"/>
          </m:rPr>
          <m:t>(</m:t>
        </m:r>
        <m:acc>
          <m:accPr>
            <m:chr m:val="⃗"/>
          </m:accPr>
          <m:e>
            <m:r>
              <m:rPr/>
              <m:t>x</m:t>
            </m:r>
          </m:e>
        </m:acc>
        <m:r>
          <m:rPr>
            <m:sty m:val="p"/>
          </m:rPr>
          <m:t>,</m:t>
        </m:r>
        <m:r>
          <m:rPr/>
          <m:t>t</m:t>
        </m:r>
        <m:r>
          <m:rPr>
            <m:sty m:val="p"/>
          </m:rPr>
          <m:t>)</m:t>
        </m:r>
      </m:oMath>
      <w:r>
        <w:t xml:space="preserve"> due to the external field is:</w:t>
      </w:r>
    </w:p>
    <w:p w14:paraId="4B9FE00F">
      <w:pPr>
        <w:pStyle w:val="3"/>
      </w:pPr>
      <m:oMathPara>
        <m:oMathParaPr>
          <m:jc m:val="center"/>
        </m:oMathParaPr>
        <m:oMath>
          <m:r>
            <m:rPr/>
            <m:t>δ</m:t>
          </m:r>
          <m:sSub>
            <m:sSubPr/>
            <m:e>
              <m:r>
                <m:rPr/>
                <m:t>n</m:t>
              </m:r>
            </m:e>
            <m:sub>
              <m:r>
                <m:rPr/>
                <m:t>g</m:t>
              </m:r>
            </m:sub>
          </m:sSub>
          <m:r>
            <m:rPr>
              <m:sty m:val="p"/>
            </m:rPr>
            <m:t>(</m:t>
          </m:r>
          <m:acc>
            <m:accPr>
              <m:chr m:val="⃗"/>
            </m:accPr>
            <m:e>
              <m:r>
                <m:rPr/>
                <m:t>x</m:t>
              </m:r>
            </m:e>
          </m:acc>
          <m:r>
            <m:rPr>
              <m:sty m:val="p"/>
            </m:rPr>
            <m:t>,</m:t>
          </m:r>
          <m:r>
            <m:rPr/>
            <m:t>t</m:t>
          </m:r>
          <m:r>
            <m:rPr>
              <m:sty m:val="p"/>
            </m:rPr>
            <m:t>)=∫</m:t>
          </m:r>
          <m:r>
            <m:rPr/>
            <m:t>d</m:t>
          </m:r>
          <m:sSup>
            <m:sSupPr/>
            <m:e>
              <m:r>
                <m:rPr/>
                <m:t>t</m:t>
              </m:r>
            </m:e>
            <m:sup>
              <m:r>
                <m:rPr>
                  <m:sty m:val="p"/>
                </m:rPr>
                <m:t>′</m:t>
              </m:r>
            </m:sup>
          </m:sSup>
          <m:r>
            <m:rPr>
              <m:sty m:val="p"/>
            </m:rPr>
            <m:t>∫</m:t>
          </m:r>
          <m:sSup>
            <m:sSupPr/>
            <m:e>
              <m:r>
                <m:rPr/>
                <m:t>d</m:t>
              </m:r>
            </m:e>
            <m:sup>
              <m:r>
                <m:rPr/>
                <m:t>3</m:t>
              </m:r>
            </m:sup>
          </m:sSup>
          <m:sSup>
            <m:sSupPr/>
            <m:e>
              <m:r>
                <m:rPr/>
                <m:t>x</m:t>
              </m:r>
            </m:e>
            <m:sup>
              <m:r>
                <m:rPr>
                  <m:sty m:val="p"/>
                </m:rPr>
                <m:t>′</m:t>
              </m:r>
            </m:sup>
          </m:sSup>
          <m:r>
            <m:rPr/>
            <m:t> </m:t>
          </m:r>
          <m:sSub>
            <m:sSubPr/>
            <m:e>
              <m:r>
                <m:rPr/>
                <m:t>χ</m:t>
              </m:r>
            </m:e>
            <m:sub>
              <m:r>
                <m:rPr/>
                <m:t>R</m:t>
              </m:r>
            </m:sub>
          </m:sSub>
          <m:d>
            <m:dPr>
              <m:sepChr m:val=""/>
            </m:dPr>
            <m:e>
              <m:acc>
                <m:accPr>
                  <m:chr m:val="⃗"/>
                </m:accPr>
                <m:e>
                  <m:r>
                    <m:rPr/>
                    <m:t>x</m:t>
                  </m:r>
                </m:e>
              </m:acc>
              <m:r>
                <m:rPr>
                  <m:sty m:val="p"/>
                </m:rPr>
                <m:t>−</m:t>
              </m:r>
              <m:sSup>
                <m:sSupPr/>
                <m:e>
                  <m:acc>
                    <m:accPr>
                      <m:chr m:val="⃗"/>
                    </m:accPr>
                    <m:e>
                      <m:r>
                        <m:rPr/>
                        <m:t>x</m:t>
                      </m:r>
                    </m:e>
                  </m:acc>
                </m:e>
                <m:sup>
                  <m:r>
                    <m:rPr>
                      <m:sty m:val="p"/>
                    </m:rPr>
                    <m:t>′</m:t>
                  </m:r>
                </m:sup>
              </m:sSup>
              <m:r>
                <m:rPr>
                  <m:sty m:val="p"/>
                </m:rPr>
                <m:t>,</m:t>
              </m:r>
              <m:r>
                <m:rPr/>
                <m:t>t</m:t>
              </m:r>
              <m:r>
                <m:rPr>
                  <m:sty m:val="p"/>
                </m:rPr>
                <m:t>−</m:t>
              </m:r>
              <m:sSup>
                <m:sSupPr/>
                <m:e>
                  <m:r>
                    <m:rPr/>
                    <m:t>t</m:t>
                  </m:r>
                </m:e>
                <m:sup>
                  <m:r>
                    <m:rPr>
                      <m:sty m:val="p"/>
                    </m:rPr>
                    <m:t>′</m:t>
                  </m:r>
                </m:sup>
              </m:sSup>
            </m:e>
          </m:d>
          <m:sSub>
            <m:sSubPr/>
            <m:e>
              <m:r>
                <m:rPr/>
                <m:t>ϕ</m:t>
              </m:r>
            </m:e>
            <m:sub>
              <m:r>
                <m:rPr>
                  <m:sty m:val="p"/>
                </m:rPr>
                <m:t>ext</m:t>
              </m:r>
            </m:sub>
          </m:sSub>
          <m:d>
            <m:dPr>
              <m:sepChr m:val=""/>
            </m:dPr>
            <m:e>
              <m:sSup>
                <m:sSupPr/>
                <m:e>
                  <m:acc>
                    <m:accPr>
                      <m:chr m:val="⃗"/>
                    </m:accPr>
                    <m:e>
                      <m:r>
                        <m:rPr/>
                        <m:t>x</m:t>
                      </m:r>
                    </m:e>
                  </m:acc>
                </m:e>
                <m:sup>
                  <m:r>
                    <m:rPr>
                      <m:sty m:val="p"/>
                    </m:rPr>
                    <m:t>′</m:t>
                  </m:r>
                </m:sup>
              </m:sSup>
              <m:r>
                <m:rPr>
                  <m:sty m:val="p"/>
                </m:rPr>
                <m:t>,</m:t>
              </m:r>
              <m:sSup>
                <m:sSupPr/>
                <m:e>
                  <m:r>
                    <m:rPr/>
                    <m:t>t</m:t>
                  </m:r>
                </m:e>
                <m:sup>
                  <m:r>
                    <m:rPr>
                      <m:sty m:val="p"/>
                    </m:rPr>
                    <m:t>′</m:t>
                  </m:r>
                </m:sup>
              </m:sSup>
            </m:e>
          </m:d>
        </m:oMath>
      </m:oMathPara>
      <w:r>
        <w:br w:type="textWrapping"/>
      </w:r>
      <w:r>
        <w:t xml:space="preserve">where </w:t>
      </w:r>
      <m:oMath>
        <m:sSub>
          <m:sSubPr/>
          <m:e>
            <m:r>
              <m:rPr/>
              <m:t>χ</m:t>
            </m:r>
          </m:e>
          <m:sub>
            <m:r>
              <m:rPr/>
              <m:t>R</m:t>
            </m:r>
          </m:sub>
        </m:sSub>
      </m:oMath>
      <w:r>
        <w:t xml:space="preserve"> is the retarded response function. The separation probability can be obtained from its imaginary part. The probability per unit time to separate a gluon pair is:</w:t>
      </w:r>
      <w:r>
        <w:br w:type="textWrapping"/>
      </w:r>
    </w:p>
    <w:p w14:paraId="299AF448">
      <w:pPr>
        <w:pStyle w:val="3"/>
      </w:pPr>
      <m:oMathPara>
        <m:oMathParaPr>
          <m:jc m:val="center"/>
        </m:oMathParaPr>
        <m:oMath>
          <m:sSub>
            <m:sSubPr/>
            <m:e>
              <m:r>
                <m:rPr>
                  <m:sty m:val="p"/>
                </m:rPr>
                <m:t>Γ</m:t>
              </m:r>
            </m:e>
            <m:sub>
              <m:r>
                <m:rPr>
                  <m:sty m:val="p"/>
                </m:rPr>
                <m:t>sep</m:t>
              </m:r>
            </m:sub>
          </m:sSub>
          <m:r>
            <m:rPr>
              <m:sty m:val="p"/>
            </m:rPr>
            <m:t>=−</m:t>
          </m:r>
          <m:f>
            <m:fPr/>
            <m:num>
              <m:r>
                <m:rPr/>
                <m:t>1</m:t>
              </m:r>
            </m:num>
            <m:den>
              <m:r>
                <m:rPr>
                  <m:sty m:val="p"/>
                </m:rPr>
                <m:t>ℏ</m:t>
              </m:r>
            </m:den>
          </m:f>
          <m:r>
            <m:rPr>
              <m:sty m:val="p"/>
            </m:rPr>
            <m:t>Im∫</m:t>
          </m:r>
          <m:sSup>
            <m:sSupPr/>
            <m:e>
              <m:r>
                <m:rPr/>
                <m:t>d</m:t>
              </m:r>
            </m:e>
            <m:sup>
              <m:r>
                <m:rPr/>
                <m:t>4</m:t>
              </m:r>
            </m:sup>
          </m:sSup>
          <m:r>
            <m:rPr/>
            <m:t>x </m:t>
          </m:r>
          <m:sSup>
            <m:sSupPr/>
            <m:e>
              <m:r>
                <m:rPr/>
                <m:t>d</m:t>
              </m:r>
            </m:e>
            <m:sup>
              <m:r>
                <m:rPr/>
                <m:t>4</m:t>
              </m:r>
            </m:sup>
          </m:sSup>
          <m:sSup>
            <m:sSupPr/>
            <m:e>
              <m:r>
                <m:rPr/>
                <m:t>x</m:t>
              </m:r>
            </m:e>
            <m:sup>
              <m:r>
                <m:rPr>
                  <m:sty m:val="p"/>
                </m:rPr>
                <m:t>′</m:t>
              </m:r>
            </m:sup>
          </m:sSup>
          <m:r>
            <m:rPr/>
            <m:t> </m:t>
          </m:r>
          <m:sSub>
            <m:sSubPr/>
            <m:e>
              <m:r>
                <m:rPr/>
                <m:t>ϕ</m:t>
              </m:r>
            </m:e>
            <m:sub>
              <m:r>
                <m:rPr>
                  <m:sty m:val="p"/>
                </m:rPr>
                <m:t>ext</m:t>
              </m:r>
            </m:sub>
          </m:sSub>
          <m:r>
            <m:rPr>
              <m:sty m:val="p"/>
            </m:rPr>
            <m:t>(</m:t>
          </m:r>
          <m:r>
            <m:rPr/>
            <m:t>x</m:t>
          </m:r>
          <m:r>
            <m:rPr>
              <m:sty m:val="p"/>
            </m:rPr>
            <m:t>)</m:t>
          </m:r>
          <m:sSub>
            <m:sSubPr/>
            <m:e>
              <m:r>
                <m:rPr/>
                <m:t>ϕ</m:t>
              </m:r>
            </m:e>
            <m:sub>
              <m:r>
                <m:rPr>
                  <m:sty m:val="p"/>
                </m:rPr>
                <m:t>ext</m:t>
              </m:r>
            </m:sub>
          </m:sSub>
          <m:r>
            <m:rPr>
              <m:sty m:val="p"/>
            </m:rPr>
            <m:t>(</m:t>
          </m:r>
          <m:sSup>
            <m:sSupPr/>
            <m:e>
              <m:r>
                <m:rPr/>
                <m:t>x</m:t>
              </m:r>
            </m:e>
            <m:sup>
              <m:r>
                <m:rPr>
                  <m:sty m:val="p"/>
                </m:rPr>
                <m:t>′</m:t>
              </m:r>
            </m:sup>
          </m:sSup>
          <m:r>
            <m:rPr>
              <m:sty m:val="p"/>
            </m:rPr>
            <m:t>)</m:t>
          </m:r>
          <m:d>
            <m:dPr>
              <m:begChr m:val="⟨"/>
              <m:sepChr m:val=""/>
              <m:endChr m:val="⟩"/>
            </m:dPr>
            <m:e>
              <m:r>
                <m:rPr/>
                <m:t>0</m:t>
              </m:r>
              <m:d>
                <m:dPr>
                  <m:begChr m:val="|"/>
                  <m:sepChr m:val=""/>
                  <m:endChr m:val="|"/>
                </m:dPr>
                <m:e>
                  <m:r>
                    <m:rPr/>
                    <m:t>T</m:t>
                  </m:r>
                  <m:d>
                    <m:dPr>
                      <m:begChr m:val="["/>
                      <m:sepChr m:val=""/>
                      <m:endChr m:val="]"/>
                    </m:dPr>
                    <m:e>
                      <m:r>
                        <m:rPr/>
                        <m:t>j</m:t>
                      </m:r>
                      <m:r>
                        <m:rPr>
                          <m:sty m:val="p"/>
                        </m:rPr>
                        <m:t>(</m:t>
                      </m:r>
                      <m:r>
                        <m:rPr/>
                        <m:t>x</m:t>
                      </m:r>
                      <m:r>
                        <m:rPr>
                          <m:sty m:val="p"/>
                        </m:rPr>
                        <m:t>)</m:t>
                      </m:r>
                      <m:r>
                        <m:rPr/>
                        <m:t>j</m:t>
                      </m:r>
                      <m:r>
                        <m:rPr>
                          <m:sty m:val="p"/>
                        </m:rPr>
                        <m:t>(</m:t>
                      </m:r>
                      <m:sSup>
                        <m:sSupPr/>
                        <m:e>
                          <m:r>
                            <m:rPr/>
                            <m:t>x</m:t>
                          </m:r>
                        </m:e>
                        <m:sup>
                          <m:r>
                            <m:rPr>
                              <m:sty m:val="p"/>
                            </m:rPr>
                            <m:t>′</m:t>
                          </m:r>
                        </m:sup>
                      </m:sSup>
                      <m:r>
                        <m:rPr>
                          <m:sty m:val="p"/>
                        </m:rPr>
                        <m:t>)</m:t>
                      </m:r>
                    </m:e>
                  </m:d>
                </m:e>
              </m:d>
              <m:r>
                <m:rPr/>
                <m:t>0</m:t>
              </m:r>
            </m:e>
          </m:d>
        </m:oMath>
      </m:oMathPara>
      <w:r>
        <w:br w:type="textWrapping"/>
      </w:r>
      <w:r>
        <w:t xml:space="preserve">where </w:t>
      </w:r>
      <m:oMath>
        <m:r>
          <m:rPr/>
          <m:t>j</m:t>
        </m:r>
        <m:r>
          <m:rPr>
            <m:sty m:val="p"/>
          </m:rPr>
          <m:t>(</m:t>
        </m:r>
        <m:r>
          <m:rPr/>
          <m:t>x</m:t>
        </m:r>
        <m:r>
          <m:rPr>
            <m:sty m:val="p"/>
          </m:rPr>
          <m:t>)=Tr</m:t>
        </m:r>
        <m:d>
          <m:dPr>
            <m:sepChr m:val=""/>
          </m:dPr>
          <m:e>
            <m:sSub>
              <m:sSubPr/>
              <m:e>
                <m:r>
                  <m:rPr/>
                  <m:t>F</m:t>
                </m:r>
              </m:e>
              <m:sub>
                <m:r>
                  <m:rPr/>
                  <m:t>μν</m:t>
                </m:r>
              </m:sub>
            </m:sSub>
            <m:sSup>
              <m:sSupPr/>
              <m:e>
                <m:r>
                  <m:rPr/>
                  <m:t>F</m:t>
                </m:r>
              </m:e>
              <m:sup>
                <m:r>
                  <m:rPr/>
                  <m:t>μν</m:t>
                </m:r>
              </m:sup>
            </m:sSup>
          </m:e>
        </m:d>
        <m:r>
          <m:rPr>
            <m:sty m:val="p"/>
          </m:rPr>
          <m:t>.</m:t>
        </m:r>
      </m:oMath>
    </w:p>
    <w:bookmarkEnd w:id="7"/>
    <w:bookmarkEnd w:id="9"/>
    <w:p w14:paraId="24D5DC5A">
      <w:pPr>
        <w:pStyle w:val="5"/>
      </w:pPr>
      <w:bookmarkStart w:id="10" w:name="X18f856bcd8f609ac18cb433832bd73360883576"/>
      <w:r>
        <w:rPr>
          <w:sz w:val="24"/>
          <w:szCs w:val="24"/>
        </w:rPr>
        <w:t>3.2 Transport Model for High-Energy Particle Collision Separation Mechanism</w:t>
      </w:r>
    </w:p>
    <w:p w14:paraId="2D5F34D8">
      <w:pPr>
        <w:pStyle w:val="6"/>
        <w:rPr>
          <w:sz w:val="24"/>
          <w:szCs w:val="24"/>
        </w:rPr>
      </w:pPr>
      <w:bookmarkStart w:id="11" w:name="boltzmann-transport-equation"/>
      <w:r>
        <w:rPr>
          <w:sz w:val="24"/>
          <w:szCs w:val="24"/>
        </w:rPr>
        <w:t>3.2.1 Boltzmann Transport Equation</w:t>
      </w:r>
    </w:p>
    <w:p w14:paraId="7D1EE1AA">
      <w:pPr>
        <w:pStyle w:val="4"/>
      </w:pPr>
      <w:r>
        <w:t xml:space="preserve">The system of gluons produced in collisions can be described by a distribution function </w:t>
      </w:r>
      <m:oMath>
        <m:sSub>
          <m:sSubPr/>
          <m:e>
            <m:r>
              <m:rPr/>
              <m:t>f</m:t>
            </m:r>
          </m:e>
          <m:sub>
            <m:r>
              <m:rPr/>
              <m:t>g</m:t>
            </m:r>
          </m:sub>
        </m:sSub>
        <m:r>
          <m:rPr>
            <m:sty m:val="p"/>
          </m:rPr>
          <m:t>(</m:t>
        </m:r>
        <m:acc>
          <m:accPr>
            <m:chr m:val="⃗"/>
          </m:accPr>
          <m:e>
            <m:r>
              <m:rPr/>
              <m:t>x</m:t>
            </m:r>
          </m:e>
        </m:acc>
        <m:r>
          <m:rPr>
            <m:sty m:val="p"/>
          </m:rPr>
          <m:t>,</m:t>
        </m:r>
        <m:acc>
          <m:accPr>
            <m:chr m:val="⃗"/>
          </m:accPr>
          <m:e>
            <m:r>
              <m:rPr/>
              <m:t>p</m:t>
            </m:r>
          </m:e>
        </m:acc>
        <m:r>
          <m:rPr>
            <m:sty m:val="p"/>
          </m:rPr>
          <m:t>,</m:t>
        </m:r>
        <m:r>
          <m:rPr/>
          <m:t>t</m:t>
        </m:r>
        <m:r>
          <m:rPr>
            <m:sty m:val="p"/>
          </m:rPr>
          <m:t>),</m:t>
        </m:r>
      </m:oMath>
      <w:r>
        <w:t xml:space="preserve"> whose evolution is given by the Boltzmann equation:</w:t>
      </w:r>
    </w:p>
    <w:p w14:paraId="316D2955">
      <w:pPr>
        <w:pStyle w:val="3"/>
      </w:pPr>
      <m:oMathPara>
        <m:oMathParaPr>
          <m:jc m:val="center"/>
        </m:oMathParaPr>
        <m:oMath>
          <m:f>
            <m:fPr/>
            <m:num>
              <m:r>
                <m:rPr>
                  <m:sty m:val="p"/>
                </m:rPr>
                <m:t>∂</m:t>
              </m:r>
              <m:sSub>
                <m:sSubPr/>
                <m:e>
                  <m:r>
                    <m:rPr/>
                    <m:t>f</m:t>
                  </m:r>
                </m:e>
                <m:sub>
                  <m:r>
                    <m:rPr/>
                    <m:t>g</m:t>
                  </m:r>
                </m:sub>
              </m:sSub>
            </m:num>
            <m:den>
              <m:r>
                <m:rPr>
                  <m:sty m:val="p"/>
                </m:rPr>
                <m:t>∂</m:t>
              </m:r>
              <m:r>
                <m:rPr/>
                <m:t>t</m:t>
              </m:r>
            </m:den>
          </m:f>
          <m:r>
            <m:rPr>
              <m:sty m:val="p"/>
            </m:rPr>
            <m:t>+</m:t>
          </m:r>
          <m:acc>
            <m:accPr>
              <m:chr m:val="⃗"/>
            </m:accPr>
            <m:e>
              <m:r>
                <m:rPr/>
                <m:t>v</m:t>
              </m:r>
            </m:e>
          </m:acc>
          <m:r>
            <m:rPr>
              <m:sty m:val="p"/>
            </m:rPr>
            <m:t>⋅</m:t>
          </m:r>
          <m:sSub>
            <m:sSubPr/>
            <m:e>
              <m:r>
                <m:rPr>
                  <m:sty m:val="p"/>
                </m:rPr>
                <m:t>∇</m:t>
              </m:r>
            </m:e>
            <m:sub>
              <m:r>
                <m:rPr/>
                <m:t>x</m:t>
              </m:r>
            </m:sub>
          </m:sSub>
          <m:sSub>
            <m:sSubPr/>
            <m:e>
              <m:r>
                <m:rPr/>
                <m:t>f</m:t>
              </m:r>
            </m:e>
            <m:sub>
              <m:r>
                <m:rPr/>
                <m:t>g</m:t>
              </m:r>
            </m:sub>
          </m:sSub>
          <m:r>
            <m:rPr>
              <m:sty m:val="p"/>
            </m:rPr>
            <m:t>+</m:t>
          </m:r>
          <m:acc>
            <m:accPr>
              <m:chr m:val="⃗"/>
            </m:accPr>
            <m:e>
              <m:r>
                <m:rPr/>
                <m:t>F</m:t>
              </m:r>
            </m:e>
          </m:acc>
          <m:r>
            <m:rPr>
              <m:sty m:val="p"/>
            </m:rPr>
            <m:t>⋅</m:t>
          </m:r>
          <m:sSub>
            <m:sSubPr/>
            <m:e>
              <m:r>
                <m:rPr>
                  <m:sty m:val="p"/>
                </m:rPr>
                <m:t>∇</m:t>
              </m:r>
            </m:e>
            <m:sub>
              <m:r>
                <m:rPr/>
                <m:t>p</m:t>
              </m:r>
            </m:sub>
          </m:sSub>
          <m:sSub>
            <m:sSubPr/>
            <m:e>
              <m:r>
                <m:rPr/>
                <m:t>f</m:t>
              </m:r>
            </m:e>
            <m:sub>
              <m:r>
                <m:rPr/>
                <m:t>g</m:t>
              </m:r>
            </m:sub>
          </m:sSub>
          <m:r>
            <m:rPr>
              <m:sty m:val="p"/>
            </m:rPr>
            <m:t>=</m:t>
          </m:r>
          <m:sSub>
            <m:sSubPr/>
            <m:e>
              <m:r>
                <m:rPr/>
                <m:t>C</m:t>
              </m:r>
            </m:e>
            <m:sub>
              <m:r>
                <m:rPr>
                  <m:sty m:val="p"/>
                </m:rPr>
                <m:t>gain</m:t>
              </m:r>
            </m:sub>
          </m:sSub>
          <m:d>
            <m:dPr>
              <m:begChr m:val="["/>
              <m:sepChr m:val=""/>
              <m:endChr m:val="]"/>
            </m:dPr>
            <m:e>
              <m:sSub>
                <m:sSubPr/>
                <m:e>
                  <m:r>
                    <m:rPr/>
                    <m:t>f</m:t>
                  </m:r>
                </m:e>
                <m:sub>
                  <m:r>
                    <m:rPr/>
                    <m:t>g</m:t>
                  </m:r>
                </m:sub>
              </m:sSub>
            </m:e>
          </m:d>
          <m:r>
            <m:rPr>
              <m:sty m:val="p"/>
            </m:rPr>
            <m:t>−</m:t>
          </m:r>
          <m:sSub>
            <m:sSubPr/>
            <m:e>
              <m:r>
                <m:rPr/>
                <m:t>C</m:t>
              </m:r>
            </m:e>
            <m:sub>
              <m:r>
                <m:rPr>
                  <m:sty m:val="p"/>
                </m:rPr>
                <m:t>loss</m:t>
              </m:r>
            </m:sub>
          </m:sSub>
          <m:d>
            <m:dPr>
              <m:begChr m:val="["/>
              <m:sepChr m:val=""/>
              <m:endChr m:val="]"/>
            </m:dPr>
            <m:e>
              <m:sSub>
                <m:sSubPr/>
                <m:e>
                  <m:r>
                    <m:rPr/>
                    <m:t>f</m:t>
                  </m:r>
                </m:e>
                <m:sub>
                  <m:r>
                    <m:rPr/>
                    <m:t>g</m:t>
                  </m:r>
                </m:sub>
              </m:sSub>
            </m:e>
          </m:d>
        </m:oMath>
      </m:oMathPara>
      <w:r>
        <w:br w:type="textWrapping"/>
      </w:r>
      <w:r>
        <w:t xml:space="preserve">where the collision term </w:t>
      </w:r>
      <m:oMath>
        <m:r>
          <m:rPr/>
          <m:t>C</m:t>
        </m:r>
      </m:oMath>
      <w:r>
        <w:t xml:space="preserve"> includes processes such as </w:t>
      </w:r>
      <m:oMath>
        <m:r>
          <m:rPr/>
          <m:t>2</m:t>
        </m:r>
        <m:r>
          <m:rPr>
            <m:sty m:val="p"/>
          </m:rPr>
          <m:t>→</m:t>
        </m:r>
        <m:r>
          <m:rPr/>
          <m:t>2</m:t>
        </m:r>
      </m:oMath>
      <w:r>
        <w:t xml:space="preserve"> gluon scattering. This equation governs the evolution of the phase-space density.</w:t>
      </w:r>
    </w:p>
    <w:bookmarkEnd w:id="11"/>
    <w:p w14:paraId="5F53A6F8">
      <w:pPr>
        <w:pStyle w:val="6"/>
        <w:rPr>
          <w:sz w:val="24"/>
          <w:szCs w:val="24"/>
        </w:rPr>
      </w:pPr>
      <w:bookmarkStart w:id="12" w:name="X400fa02e05d2f6ce084c1932c1baedc1691b428"/>
      <w:r>
        <w:rPr>
          <w:sz w:val="24"/>
          <w:szCs w:val="24"/>
        </w:rPr>
        <w:t>3.2.2 Hydrodynamic Approximation and Energy Density Evolution</w:t>
      </w:r>
    </w:p>
    <w:p w14:paraId="55AF3777">
      <w:pPr>
        <w:pStyle w:val="4"/>
      </w:pPr>
      <w:r>
        <w:t xml:space="preserve">Under the local equilibrium approximation, the description can transition to hydrodynamics. The conservation law for the energy-momentum tensor </w:t>
      </w:r>
      <m:oMath>
        <m:sSup>
          <m:sSupPr/>
          <m:e>
            <m:r>
              <m:rPr/>
              <m:t>T</m:t>
            </m:r>
          </m:e>
          <m:sup>
            <m:r>
              <m:rPr/>
              <m:t>μν</m:t>
            </m:r>
          </m:sup>
        </m:sSup>
      </m:oMath>
      <w:r>
        <w:t xml:space="preserve"> is:</w:t>
      </w:r>
    </w:p>
    <w:p w14:paraId="67621AF9">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r>
        <w:br w:type="textWrapping"/>
      </w:r>
      <w:r>
        <w:t xml:space="preserve">Combined with the equation of state </w:t>
      </w:r>
      <m:oMath>
        <m:r>
          <m:rPr/>
          <m:t>p</m:t>
        </m:r>
        <m:r>
          <m:rPr>
            <m:sty m:val="p"/>
          </m:rPr>
          <m:t>=</m:t>
        </m:r>
        <m:r>
          <m:rPr/>
          <m:t>p</m:t>
        </m:r>
        <m:r>
          <m:rPr>
            <m:sty m:val="p"/>
          </m:rPr>
          <m:t>(</m:t>
        </m:r>
        <m:r>
          <m:rPr/>
          <m:t>ϵ</m:t>
        </m:r>
        <m:r>
          <m:rPr>
            <m:sty m:val="p"/>
          </m:rPr>
          <m:t>)</m:t>
        </m:r>
      </m:oMath>
      <w:r>
        <w:t xml:space="preserve"> (where </w:t>
      </w:r>
      <m:oMath>
        <m:r>
          <m:rPr/>
          <m:t>p</m:t>
        </m:r>
      </m:oMath>
      <w:r>
        <w:t xml:space="preserve"> is pressure and </w:t>
      </w:r>
      <m:oMath>
        <m:r>
          <m:rPr/>
          <m:t>ϵ</m:t>
        </m:r>
      </m:oMath>
      <w:r>
        <w:t xml:space="preserve"> is energy density), the spatiotemporal evolution of the energy density </w:t>
      </w:r>
      <m:oMath>
        <m:r>
          <m:rPr/>
          <m:t>ϵ</m:t>
        </m:r>
        <m:r>
          <m:rPr>
            <m:sty m:val="p"/>
          </m:rPr>
          <m:t>(</m:t>
        </m:r>
        <m:acc>
          <m:accPr>
            <m:chr m:val="⃗"/>
          </m:accPr>
          <m:e>
            <m:r>
              <m:rPr/>
              <m:t>x</m:t>
            </m:r>
          </m:e>
        </m:acc>
        <m:r>
          <m:rPr>
            <m:sty m:val="p"/>
          </m:rPr>
          <m:t>,</m:t>
        </m:r>
        <m:r>
          <m:rPr/>
          <m:t>t</m:t>
        </m:r>
        <m:r>
          <m:rPr>
            <m:sty m:val="p"/>
          </m:rPr>
          <m:t>)</m:t>
        </m:r>
      </m:oMath>
      <w:r>
        <w:t xml:space="preserve"> after the collision can be solved, thereby determining the spacetime region of gluon separation.</w:t>
      </w:r>
    </w:p>
    <w:bookmarkEnd w:id="10"/>
    <w:bookmarkEnd w:id="12"/>
    <w:p w14:paraId="378CF4B7">
      <w:pPr>
        <w:pStyle w:val="5"/>
        <w:rPr>
          <w:sz w:val="24"/>
          <w:szCs w:val="24"/>
        </w:rPr>
      </w:pPr>
      <w:bookmarkStart w:id="13" w:name="X632ee765d2b4511a5f1f15c76f1461982604604"/>
      <w:r>
        <w:rPr>
          <w:sz w:val="24"/>
          <w:szCs w:val="24"/>
        </w:rPr>
        <w:t>3.3 Quantum Master Equation Model for Resonant Absorption Separation Mechanism</w:t>
      </w:r>
    </w:p>
    <w:p w14:paraId="3A20377C">
      <w:pPr>
        <w:pStyle w:val="6"/>
        <w:rPr>
          <w:sz w:val="24"/>
          <w:szCs w:val="24"/>
        </w:rPr>
      </w:pPr>
      <w:bookmarkStart w:id="14" w:name="X488a6e50034ac4deef9df1ccaf8613c8a5cf8af"/>
      <w:r>
        <w:rPr>
          <w:sz w:val="24"/>
          <w:szCs w:val="24"/>
        </w:rPr>
        <w:t>3.3.1 System-Environment Coupling and Lindblad Equation</w:t>
      </w:r>
    </w:p>
    <w:p w14:paraId="03FE1251">
      <w:pPr>
        <w:pStyle w:val="4"/>
      </w:pPr>
      <w:r>
        <w:t xml:space="preserve">Treating the vacuum as the environment, the external resonant field as the drive, and the gluon pair as an open quantum system, the evolution of its density matrix </w:t>
      </w:r>
      <m:oMath>
        <m:r>
          <m:rPr/>
          <m:t>ρ</m:t>
        </m:r>
      </m:oMath>
      <w:r>
        <w:t xml:space="preserve"> is described by the Lindblad master equation:</w:t>
      </w:r>
    </w:p>
    <w:p w14:paraId="53CF982A">
      <w:pPr>
        <w:pStyle w:val="3"/>
      </w:pPr>
      <m:oMathPara>
        <m:oMathParaPr>
          <m:jc m:val="center"/>
        </m:oMathParaPr>
        <m:oMath>
          <m:f>
            <m:fPr/>
            <m:num>
              <m:r>
                <m:rPr/>
                <m:t>dρ</m:t>
              </m:r>
            </m:num>
            <m:den>
              <m:r>
                <m:rPr/>
                <m:t>dt</m:t>
              </m:r>
            </m:den>
          </m:f>
          <m:r>
            <m:rPr>
              <m:sty m:val="p"/>
            </m:rPr>
            <m:t>=−</m:t>
          </m:r>
          <m:f>
            <m:fPr/>
            <m:num>
              <m:r>
                <m:rPr/>
                <m:t>i</m:t>
              </m:r>
            </m:num>
            <m:den>
              <m:r>
                <m:rPr>
                  <m:sty m:val="p"/>
                </m:rPr>
                <m:t>ℏ</m:t>
              </m:r>
            </m:den>
          </m:f>
          <m:d>
            <m:dPr>
              <m:begChr m:val="["/>
              <m:sepChr m:val=""/>
              <m:endChr m:val="]"/>
            </m:dPr>
            <m:e>
              <m:sSub>
                <m:sSubPr/>
                <m:e>
                  <m:r>
                    <m:rPr/>
                    <m:t>H</m:t>
                  </m:r>
                </m:e>
                <m:sub>
                  <m:r>
                    <m:rPr>
                      <m:sty m:val="p"/>
                    </m:rPr>
                    <m:t>sys</m:t>
                  </m:r>
                </m:sub>
              </m:sSub>
              <m:r>
                <m:rPr>
                  <m:sty m:val="p"/>
                </m:rPr>
                <m:t>+</m:t>
              </m:r>
              <m:sSub>
                <m:sSubPr/>
                <m:e>
                  <m:r>
                    <m:rPr/>
                    <m:t>H</m:t>
                  </m:r>
                </m:e>
                <m:sub>
                  <m:r>
                    <m:rPr>
                      <m:sty m:val="p"/>
                    </m:rPr>
                    <m:t>drive</m:t>
                  </m:r>
                </m:sub>
              </m:sSub>
              <m:r>
                <m:rPr>
                  <m:sty m:val="p"/>
                </m:rPr>
                <m:t>(</m:t>
              </m:r>
              <m:r>
                <m:rPr/>
                <m:t>t</m:t>
              </m:r>
              <m:r>
                <m:rPr>
                  <m:sty m:val="p"/>
                </m:rPr>
                <m:t>),</m:t>
              </m:r>
              <m:r>
                <m:rPr/>
                <m:t>ρ</m:t>
              </m:r>
            </m:e>
          </m:d>
          <m:r>
            <m:rPr>
              <m:sty m:val="p"/>
            </m:rPr>
            <m:t>+</m:t>
          </m:r>
          <m:nary>
            <m:naryPr>
              <m:chr m:val="∑"/>
              <m:limLoc m:val="undOvr"/>
              <m:supHide m:val="1"/>
            </m:naryPr>
            <m:sub>
              <m:r>
                <m:rPr/>
                <m:t>k</m:t>
              </m:r>
            </m:sub>
            <m:sup>
              <m:r>
                <m:rPr/>
                <m:t>​</m:t>
              </m:r>
            </m:sup>
            <m:e>
              <m:sSub>
                <m:sSubPr/>
                <m:e>
                  <m:r>
                    <m:rPr/>
                    <m:t>γ</m:t>
                  </m:r>
                </m:e>
                <m:sub>
                  <m:r>
                    <m:rPr/>
                    <m:t>k</m:t>
                  </m:r>
                </m:sub>
              </m:sSub>
            </m:e>
          </m:nary>
          <m:d>
            <m:dPr>
              <m:sepChr m:val=""/>
            </m:dPr>
            <m:e>
              <m:sSub>
                <m:sSubPr/>
                <m:e>
                  <m:r>
                    <m:rPr/>
                    <m:t>L</m:t>
                  </m:r>
                </m:e>
                <m:sub>
                  <m:r>
                    <m:rPr/>
                    <m:t>k</m:t>
                  </m:r>
                </m:sub>
              </m:sSub>
              <m:r>
                <m:rPr/>
                <m:t>ρ</m:t>
              </m:r>
              <m:sSubSup>
                <m:sSubSupPr/>
                <m:e>
                  <m:r>
                    <m:rPr/>
                    <m:t>L</m:t>
                  </m:r>
                </m:e>
                <m:sub>
                  <m:r>
                    <m:rPr/>
                    <m:t>k</m:t>
                  </m:r>
                </m:sub>
                <m:sup>
                  <m:r>
                    <m:rPr>
                      <m:sty m:val="p"/>
                    </m:rPr>
                    <m:t>†</m:t>
                  </m:r>
                </m:sup>
              </m:sSubSup>
              <m:r>
                <m:rPr>
                  <m:sty m:val="p"/>
                </m:rPr>
                <m:t>−</m:t>
              </m:r>
              <m:f>
                <m:fPr/>
                <m:num>
                  <m:r>
                    <m:rPr/>
                    <m:t>1</m:t>
                  </m:r>
                </m:num>
                <m:den>
                  <m:r>
                    <m:rPr/>
                    <m:t>2</m:t>
                  </m:r>
                </m:den>
              </m:f>
              <m:d>
                <m:dPr>
                  <m:begChr m:val="{"/>
                  <m:sepChr m:val=""/>
                  <m:endChr m:val="}"/>
                </m:dPr>
                <m:e>
                  <m:sSubSup>
                    <m:sSubSupPr/>
                    <m:e>
                      <m:r>
                        <m:rPr/>
                        <m:t>L</m:t>
                      </m:r>
                    </m:e>
                    <m:sub>
                      <m:r>
                        <m:rPr/>
                        <m:t>k</m:t>
                      </m:r>
                    </m:sub>
                    <m:sup>
                      <m:r>
                        <m:rPr>
                          <m:sty m:val="p"/>
                        </m:rPr>
                        <m:t>†</m:t>
                      </m:r>
                    </m:sup>
                  </m:sSubSup>
                  <m:sSub>
                    <m:sSubPr/>
                    <m:e>
                      <m:r>
                        <m:rPr/>
                        <m:t>L</m:t>
                      </m:r>
                    </m:e>
                    <m:sub>
                      <m:r>
                        <m:rPr/>
                        <m:t>k</m:t>
                      </m:r>
                    </m:sub>
                  </m:sSub>
                  <m:r>
                    <m:rPr>
                      <m:sty m:val="p"/>
                    </m:rPr>
                    <m:t>,</m:t>
                  </m:r>
                  <m:r>
                    <m:rPr/>
                    <m:t>ρ</m:t>
                  </m:r>
                </m:e>
              </m:d>
            </m:e>
          </m:d>
        </m:oMath>
      </m:oMathPara>
      <w:r>
        <w:br w:type="textWrapping"/>
      </w:r>
      <w:r>
        <w:t xml:space="preserve">where </w:t>
      </w:r>
      <m:oMath>
        <m:sSub>
          <m:sSubPr/>
          <m:e>
            <m:r>
              <m:rPr/>
              <m:t>H</m:t>
            </m:r>
          </m:e>
          <m:sub>
            <m:r>
              <m:rPr>
                <m:sty m:val="p"/>
              </m:rPr>
              <m:t>drive</m:t>
            </m:r>
          </m:sub>
        </m:sSub>
        <m:r>
          <m:rPr>
            <m:sty m:val="p"/>
          </m:rPr>
          <m:t>(</m:t>
        </m:r>
        <m:r>
          <m:rPr/>
          <m:t>t</m:t>
        </m:r>
        <m:r>
          <m:rPr>
            <m:sty m:val="p"/>
          </m:rPr>
          <m:t>)=</m:t>
        </m:r>
        <m:sSub>
          <m:sSubPr/>
          <m:e>
            <m:r>
              <m:rPr/>
              <m:t>ϵ</m:t>
            </m:r>
          </m:e>
          <m:sub>
            <m:r>
              <m:rPr/>
              <m:t>0</m:t>
            </m:r>
          </m:sub>
        </m:sSub>
        <m:r>
          <m:rPr>
            <m:sty m:val="p"/>
          </m:rPr>
          <m:t>cos(</m:t>
        </m:r>
        <m:r>
          <m:rPr/>
          <m:t>ωt</m:t>
        </m:r>
        <m:r>
          <m:rPr>
            <m:sty m:val="p"/>
          </m:rPr>
          <m:t>)(</m:t>
        </m:r>
        <m:sSup>
          <m:sSupPr/>
          <m:e>
            <m:r>
              <m:rPr/>
              <m:t>a</m:t>
            </m:r>
          </m:e>
          <m:sup>
            <m:r>
              <m:rPr>
                <m:sty m:val="p"/>
              </m:rPr>
              <m:t>†</m:t>
            </m:r>
          </m:sup>
        </m:sSup>
        <m:r>
          <m:rPr>
            <m:sty m:val="p"/>
          </m:rPr>
          <m:t>+</m:t>
        </m:r>
        <m:r>
          <m:rPr/>
          <m:t>a</m:t>
        </m:r>
        <m:r>
          <m:rPr>
            <m:sty m:val="p"/>
          </m:rPr>
          <m:t>)</m:t>
        </m:r>
      </m:oMath>
      <w:r>
        <w:t xml:space="preserve"> is the driving term, </w:t>
      </w:r>
      <m:oMath>
        <m:sSub>
          <m:sSubPr/>
          <m:e>
            <m:r>
              <m:rPr/>
              <m:t>L</m:t>
            </m:r>
          </m:e>
          <m:sub>
            <m:r>
              <m:rPr/>
              <m:t>k</m:t>
            </m:r>
          </m:sub>
        </m:sSub>
      </m:oMath>
      <w:r>
        <w:t xml:space="preserve"> are the Lindblad operators describing the coupling to the environment (e.g., creation and annihilation of gluon pairs), and </w:t>
      </w:r>
      <m:oMath>
        <m:sSub>
          <m:sSubPr/>
          <m:e>
            <m:r>
              <m:rPr/>
              <m:t>γ</m:t>
            </m:r>
          </m:e>
          <m:sub>
            <m:r>
              <m:rPr/>
              <m:t>k</m:t>
            </m:r>
          </m:sub>
        </m:sSub>
      </m:oMath>
      <w:r>
        <w:t xml:space="preserve"> are the corresponding dissipation rates.</w:t>
      </w:r>
    </w:p>
    <w:bookmarkEnd w:id="14"/>
    <w:p w14:paraId="666C7A8A">
      <w:pPr>
        <w:pStyle w:val="6"/>
        <w:rPr>
          <w:sz w:val="24"/>
          <w:szCs w:val="24"/>
        </w:rPr>
      </w:pPr>
      <w:bookmarkStart w:id="15" w:name="X9273c6a443cceb203bf6ad7c47f038367648df5"/>
      <w:r>
        <w:rPr>
          <w:sz w:val="24"/>
          <w:szCs w:val="24"/>
        </w:rPr>
        <w:t>3.3.2 Steady-State Solution and Resonance Condition</w:t>
      </w:r>
    </w:p>
    <w:p w14:paraId="5BA54DA7">
      <w:pPr>
        <w:pStyle w:val="4"/>
      </w:pPr>
      <w:r>
        <w:t xml:space="preserve">When the drive frequency </w:t>
      </w:r>
      <m:oMath>
        <m:r>
          <m:rPr/>
          <m:t>ω</m:t>
        </m:r>
      </m:oMath>
      <w:r>
        <w:t xml:space="preserve"> equals the quasi-particle energy gap </w:t>
      </w:r>
      <m:oMath>
        <m:r>
          <m:rPr>
            <m:sty m:val="p"/>
          </m:rPr>
          <m:t>Δ</m:t>
        </m:r>
      </m:oMath>
      <w:r>
        <w:t xml:space="preserve"> of the system, i.e., </w:t>
      </w:r>
      <m:oMath>
        <m:r>
          <m:rPr>
            <m:sty m:val="p"/>
          </m:rPr>
          <m:t>ℏ</m:t>
        </m:r>
        <m:r>
          <m:rPr/>
          <m:t>ω</m:t>
        </m:r>
        <m:r>
          <m:rPr>
            <m:sty m:val="p"/>
          </m:rPr>
          <m:t>=Δ,</m:t>
        </m:r>
      </m:oMath>
      <w:r>
        <w:t xml:space="preserve"> resonance occurs. By solving for the steady-state solution of the master equation, </w:t>
      </w:r>
      <m:oMath>
        <m:f>
          <m:fPr/>
          <m:num>
            <m:r>
              <m:rPr/>
              <m:t>d</m:t>
            </m:r>
            <m:sSub>
              <m:sSubPr/>
              <m:e>
                <m:r>
                  <m:rPr/>
                  <m:t>ρ</m:t>
                </m:r>
              </m:e>
              <m:sub>
                <m:r>
                  <m:rPr/>
                  <m:t>ss</m:t>
                </m:r>
              </m:sub>
            </m:sSub>
          </m:num>
          <m:den>
            <m:r>
              <m:rPr/>
              <m:t>dt</m:t>
            </m:r>
          </m:den>
        </m:f>
        <m:r>
          <m:rPr>
            <m:sty m:val="p"/>
          </m:rPr>
          <m:t>=</m:t>
        </m:r>
        <m:r>
          <m:rPr/>
          <m:t>0</m:t>
        </m:r>
        <m:r>
          <m:rPr>
            <m:sty m:val="p"/>
          </m:rPr>
          <m:t>,</m:t>
        </m:r>
      </m:oMath>
      <w:r>
        <w:t xml:space="preserve"> it is found that the population of gluon pairs is maximized at resonance, implying the highest separation efficiency.</w:t>
      </w:r>
      <w:bookmarkEnd w:id="6"/>
      <w:bookmarkEnd w:id="13"/>
      <w:bookmarkEnd w:id="15"/>
      <w:bookmarkStart w:id="16" w:name="Xa0ce9553e04a75cf491342a4f3380939e97563f"/>
    </w:p>
    <w:p w14:paraId="16BE174C">
      <w:pPr>
        <w:pStyle w:val="4"/>
        <w:rPr>
          <w:b/>
          <w:bCs/>
        </w:rPr>
      </w:pPr>
      <w:r>
        <w:rPr>
          <w:b/>
          <w:bCs/>
        </w:rPr>
        <w:t>4. Microscopic Model of Anti-Gluon Annihilation and Energy Release</w:t>
      </w:r>
    </w:p>
    <w:p w14:paraId="40851541">
      <w:pPr>
        <w:pStyle w:val="5"/>
        <w:rPr>
          <w:sz w:val="24"/>
          <w:szCs w:val="24"/>
        </w:rPr>
      </w:pPr>
      <w:bookmarkStart w:id="17" w:name="Xbe34df15bead378b86b1b7e243a56b62afae2a7"/>
      <w:r>
        <w:rPr>
          <w:sz w:val="24"/>
          <w:szCs w:val="24"/>
        </w:rPr>
        <w:t>4.1 Group Theoretic Representation of the Annihilation Operator</w:t>
      </w:r>
    </w:p>
    <w:p w14:paraId="4850C217">
      <w:pPr>
        <w:pStyle w:val="4"/>
      </w:pPr>
      <w:r>
        <w:t xml:space="preserve">The color charge vortex field </w:t>
      </w:r>
      <m:oMath>
        <m:r>
          <m:rPr>
            <m:sty m:val="p"/>
          </m:rPr>
          <m:t>|</m:t>
        </m:r>
        <m:sSub>
          <m:sSubPr/>
          <m:e>
            <m:r>
              <m:rPr/>
              <m:t>B</m:t>
            </m:r>
          </m:e>
          <m:sub>
            <m:acc>
              <m:accPr>
                <m:chr m:val="‾"/>
              </m:accPr>
              <m:e>
                <m:r>
                  <m:rPr/>
                  <m:t>g</m:t>
                </m:r>
              </m:e>
            </m:acc>
          </m:sub>
        </m:sSub>
        <m:r>
          <m:rPr>
            <m:sty m:val="p"/>
          </m:rPr>
          <m:t>⟩</m:t>
        </m:r>
      </m:oMath>
      <w:r>
        <w:t xml:space="preserve"> of the anti-gluon resides in the adjoint representation (8-dimensional representation) of </w:t>
      </w:r>
      <m:oMath>
        <m:r>
          <m:rPr/>
          <m:t>SU</m:t>
        </m:r>
        <m:r>
          <m:rPr>
            <m:sty m:val="p"/>
          </m:rPr>
          <m:t>(</m:t>
        </m:r>
        <m:r>
          <m:rPr/>
          <m:t>3</m:t>
        </m:r>
        <m:r>
          <m:rPr>
            <m:sty m:val="p"/>
          </m:rPr>
          <m:t>)</m:t>
        </m:r>
      </m:oMath>
      <w:r>
        <w:t xml:space="preserve">. Its annihilation operator </w:t>
      </w:r>
      <m:oMath>
        <m:acc>
          <m:accPr/>
          <m:e>
            <m:r>
              <m:rPr/>
              <m:t>b</m:t>
            </m:r>
          </m:e>
        </m:acc>
      </m:oMath>
      <w:r>
        <w:t xml:space="preserve"> can be written as a linear combination of the generators </w:t>
      </w:r>
      <m:oMath>
        <m:sSup>
          <m:sSupPr/>
          <m:e>
            <m:r>
              <m:rPr/>
              <m:t>T</m:t>
            </m:r>
          </m:e>
          <m:sup>
            <m:r>
              <m:rPr/>
              <m:t>a</m:t>
            </m:r>
          </m:sup>
        </m:sSup>
      </m:oMath>
      <w:r>
        <w:t>:</w:t>
      </w:r>
    </w:p>
    <w:p w14:paraId="31DE9279">
      <w:pPr>
        <w:pStyle w:val="3"/>
      </w:pPr>
      <m:oMathPara>
        <m:oMathParaPr>
          <m:jc m:val="center"/>
        </m:oMathParaPr>
        <m:oMath>
          <m:acc>
            <m:accPr/>
            <m:e>
              <m:r>
                <m:rPr/>
                <m:t>b</m:t>
              </m:r>
            </m:e>
          </m:acc>
          <m:r>
            <m:rPr>
              <m:sty m:val="p"/>
            </m:rPr>
            <m:t>=</m:t>
          </m:r>
          <m:nary>
            <m:naryPr>
              <m:chr m:val="∑"/>
              <m:limLoc m:val="undOvr"/>
            </m:naryPr>
            <m:sub>
              <m:r>
                <m:rPr/>
                <m:t>a</m:t>
              </m:r>
              <m:r>
                <m:rPr>
                  <m:sty m:val="p"/>
                </m:rPr>
                <m:t>=</m:t>
              </m:r>
              <m:r>
                <m:rPr/>
                <m:t>1</m:t>
              </m:r>
            </m:sub>
            <m:sup>
              <m:r>
                <m:rPr/>
                <m:t>8</m:t>
              </m:r>
            </m:sup>
            <m:e>
              <m:sSub>
                <m:sSubPr/>
                <m:e>
                  <m:r>
                    <m:rPr/>
                    <m:t>c</m:t>
                  </m:r>
                </m:e>
                <m:sub>
                  <m:r>
                    <m:rPr/>
                    <m:t>a</m:t>
                  </m:r>
                </m:sub>
              </m:sSub>
            </m:e>
          </m:nary>
          <m:sSub>
            <m:sSubPr/>
            <m:e>
              <m:acc>
                <m:accPr/>
                <m:e>
                  <m:r>
                    <m:rPr/>
                    <m:t>b</m:t>
                  </m:r>
                </m:e>
              </m:acc>
            </m:e>
            <m:sub>
              <m:r>
                <m:rPr/>
                <m:t>a</m:t>
              </m:r>
            </m:sub>
          </m:sSub>
        </m:oMath>
      </m:oMathPara>
      <w:r>
        <w:br w:type="textWrapping"/>
      </w:r>
      <w:r>
        <w:t xml:space="preserve">where </w:t>
      </w:r>
      <m:oMath>
        <m:sSub>
          <m:sSubPr/>
          <m:e>
            <m:acc>
              <m:accPr/>
              <m:e>
                <m:r>
                  <m:rPr/>
                  <m:t>b</m:t>
                </m:r>
              </m:e>
            </m:acc>
          </m:e>
          <m:sub>
            <m:r>
              <m:rPr/>
              <m:t>a</m:t>
            </m:r>
          </m:sub>
        </m:sSub>
      </m:oMath>
      <w:r>
        <w:t xml:space="preserve"> is the operator annihilating the color charge component </w:t>
      </w:r>
      <m:oMath>
        <m:r>
          <m:rPr/>
          <m:t>a</m:t>
        </m:r>
      </m:oMath>
      <w:r>
        <w:t xml:space="preserve">. The annihilation of the anti-gluon is essentially the collapse of a specific color charge component </w:t>
      </w:r>
      <m:oMath>
        <m:r>
          <m:rPr>
            <m:sty m:val="p"/>
          </m:rPr>
          <m:t>|</m:t>
        </m:r>
        <m:sSup>
          <m:sSupPr/>
          <m:e>
            <m:r>
              <m:rPr/>
              <m:t>T</m:t>
            </m:r>
          </m:e>
          <m:sup>
            <m:sSub>
              <m:sSubPr/>
              <m:e>
                <m:r>
                  <m:rPr/>
                  <m:t>a</m:t>
                </m:r>
              </m:e>
              <m:sub>
                <m:r>
                  <m:rPr/>
                  <m:t>0</m:t>
                </m:r>
              </m:sub>
            </m:sSub>
          </m:sup>
        </m:sSup>
        <m:r>
          <m:rPr>
            <m:sty m:val="p"/>
          </m:rPr>
          <m:t>⟩</m:t>
        </m:r>
      </m:oMath>
      <w:r>
        <w:t xml:space="preserve">, i.e., </w:t>
      </w:r>
      <m:oMath>
        <m:sSub>
          <m:sSubPr/>
          <m:e>
            <m:acc>
              <m:accPr/>
              <m:e>
                <m:r>
                  <m:rPr/>
                  <m:t>b</m:t>
                </m:r>
              </m:e>
            </m:acc>
          </m:e>
          <m:sub>
            <m:sSub>
              <m:sSubPr/>
              <m:e>
                <m:r>
                  <m:rPr/>
                  <m:t>a</m:t>
                </m:r>
              </m:e>
              <m:sub>
                <m:r>
                  <m:rPr/>
                  <m:t>0</m:t>
                </m:r>
              </m:sub>
            </m:sSub>
          </m:sub>
        </m:sSub>
        <m:r>
          <m:rPr>
            <m:sty m:val="p"/>
          </m:rPr>
          <m:t>|</m:t>
        </m:r>
        <m:sSup>
          <m:sSupPr/>
          <m:e>
            <m:r>
              <m:rPr/>
              <m:t>T</m:t>
            </m:r>
          </m:e>
          <m:sup>
            <m:sSub>
              <m:sSubPr/>
              <m:e>
                <m:r>
                  <m:rPr/>
                  <m:t>a</m:t>
                </m:r>
              </m:e>
              <m:sub>
                <m:r>
                  <m:rPr/>
                  <m:t>0</m:t>
                </m:r>
              </m:sub>
            </m:sSub>
          </m:sup>
        </m:sSup>
        <m:r>
          <m:rPr>
            <m:sty m:val="p"/>
          </m:rPr>
          <m:t>⟩=|</m:t>
        </m:r>
        <m:sSub>
          <m:sSubPr/>
          <m:e>
            <m:r>
              <m:rPr/>
              <m:t>0</m:t>
            </m:r>
          </m:e>
          <m:sub>
            <m:r>
              <m:rPr/>
              <m:t>B</m:t>
            </m:r>
          </m:sub>
        </m:sSub>
        <m:r>
          <m:rPr>
            <m:sty m:val="p"/>
          </m:rPr>
          <m:t>⟩,</m:t>
        </m:r>
      </m:oMath>
      <w:r>
        <w:t xml:space="preserve"> where </w:t>
      </w:r>
      <m:oMath>
        <m:r>
          <m:rPr>
            <m:sty m:val="p"/>
          </m:rPr>
          <m:t>|</m:t>
        </m:r>
        <m:sSub>
          <m:sSubPr/>
          <m:e>
            <m:r>
              <m:rPr/>
              <m:t>0</m:t>
            </m:r>
          </m:e>
          <m:sub>
            <m:r>
              <m:rPr/>
              <m:t>B</m:t>
            </m:r>
          </m:sub>
        </m:sSub>
        <m:r>
          <m:rPr>
            <m:sty m:val="p"/>
          </m:rPr>
          <m:t>⟩</m:t>
        </m:r>
      </m:oMath>
      <w:r>
        <w:t xml:space="preserve"> is the vacuum of the color space (colorless state).</w:t>
      </w:r>
    </w:p>
    <w:bookmarkEnd w:id="17"/>
    <w:p w14:paraId="1EDFEFB6">
      <w:pPr>
        <w:pStyle w:val="5"/>
        <w:rPr>
          <w:sz w:val="24"/>
          <w:szCs w:val="24"/>
        </w:rPr>
      </w:pPr>
      <w:bookmarkStart w:id="18" w:name="Xe13b203d755d8016fab7fba0bbe19f098ee0166"/>
      <w:r>
        <w:rPr>
          <w:sz w:val="24"/>
          <w:szCs w:val="24"/>
        </w:rPr>
        <w:t>4.2 Perturbative Calculation of Energy Release</w:t>
      </w:r>
    </w:p>
    <w:p w14:paraId="5DAB47A2">
      <w:pPr>
        <w:pStyle w:val="4"/>
      </w:pPr>
      <w:r>
        <w:t xml:space="preserve">The energy release </w:t>
      </w:r>
      <m:oMath>
        <m:r>
          <m:rPr>
            <m:sty m:val="p"/>
          </m:rPr>
          <m:t>Δ</m:t>
        </m:r>
        <m:r>
          <m:rPr/>
          <m:t>E</m:t>
        </m:r>
      </m:oMath>
      <w:r>
        <w:t xml:space="preserve"> can be calculated to first order in perturbation theory:</w:t>
      </w:r>
    </w:p>
    <w:p w14:paraId="58C4EBF3">
      <w:pPr>
        <w:pStyle w:val="3"/>
      </w:pPr>
      <m:oMathPara>
        <m:oMathParaPr>
          <m:jc m:val="center"/>
        </m:oMathParaPr>
        <m:oMath>
          <m:r>
            <m:rPr>
              <m:sty m:val="p"/>
            </m:rPr>
            <m:t>Δ</m:t>
          </m:r>
          <m:r>
            <m:rPr/>
            <m:t>E</m:t>
          </m:r>
          <m:r>
            <m:rPr>
              <m:sty m:val="p"/>
            </m:rPr>
            <m:t>=</m:t>
          </m:r>
          <m:d>
            <m:dPr>
              <m:begChr m:val="⟨"/>
              <m:sepChr m:val=""/>
              <m:endChr m:val="⟩"/>
            </m:dPr>
            <m:e>
              <m:sSub>
                <m:sSubPr/>
                <m:e>
                  <m:r>
                    <m:rPr/>
                    <m:t>B</m:t>
                  </m:r>
                </m:e>
                <m:sub>
                  <m:acc>
                    <m:accPr>
                      <m:chr m:val="‾"/>
                    </m:accPr>
                    <m:e>
                      <m:r>
                        <m:rPr/>
                        <m:t>g</m:t>
                      </m:r>
                    </m:e>
                  </m:acc>
                </m:sub>
              </m:sSub>
              <m:d>
                <m:dPr>
                  <m:begChr m:val="|"/>
                  <m:sepChr m:val=""/>
                  <m:endChr m:val="|"/>
                </m:dPr>
                <m:e>
                  <m:sSub>
                    <m:sSubPr/>
                    <m:e>
                      <m:r>
                        <m:rPr/>
                        <m:t>H</m:t>
                      </m:r>
                    </m:e>
                    <m:sub>
                      <m:r>
                        <m:rPr/>
                        <m:t>QCD</m:t>
                      </m:r>
                    </m:sub>
                  </m:sSub>
                </m:e>
              </m:d>
              <m:sSub>
                <m:sSubPr/>
                <m:e>
                  <m:r>
                    <m:rPr/>
                    <m:t>B</m:t>
                  </m:r>
                </m:e>
                <m:sub>
                  <m:acc>
                    <m:accPr>
                      <m:chr m:val="‾"/>
                    </m:accPr>
                    <m:e>
                      <m:r>
                        <m:rPr/>
                        <m:t>g</m:t>
                      </m:r>
                    </m:e>
                  </m:acc>
                </m:sub>
              </m:sSub>
            </m:e>
          </m:d>
          <m:r>
            <m:rPr>
              <m:sty m:val="p"/>
            </m:rPr>
            <m:t>−</m:t>
          </m:r>
          <m:d>
            <m:dPr>
              <m:begChr m:val="⟨"/>
              <m:sepChr m:val=""/>
              <m:endChr m:val="⟩"/>
            </m:dPr>
            <m:e>
              <m:sSub>
                <m:sSubPr/>
                <m:e>
                  <m:r>
                    <m:rPr/>
                    <m:t>0</m:t>
                  </m:r>
                </m:e>
                <m:sub>
                  <m:r>
                    <m:rPr/>
                    <m:t>B</m:t>
                  </m:r>
                </m:sub>
              </m:sSub>
              <m:d>
                <m:dPr>
                  <m:begChr m:val="|"/>
                  <m:sepChr m:val=""/>
                  <m:endChr m:val="|"/>
                </m:dPr>
                <m:e>
                  <m:sSub>
                    <m:sSubPr/>
                    <m:e>
                      <m:r>
                        <m:rPr/>
                        <m:t>H</m:t>
                      </m:r>
                    </m:e>
                    <m:sub>
                      <m:r>
                        <m:rPr/>
                        <m:t>QCD</m:t>
                      </m:r>
                    </m:sub>
                  </m:sSub>
                </m:e>
              </m:d>
              <m:sSub>
                <m:sSubPr/>
                <m:e>
                  <m:r>
                    <m:rPr/>
                    <m:t>0</m:t>
                  </m:r>
                </m:e>
                <m:sub>
                  <m:r>
                    <m:rPr/>
                    <m:t>B</m:t>
                  </m:r>
                </m:sub>
              </m:sSub>
            </m:e>
          </m:d>
        </m:oMath>
      </m:oMathPara>
      <w:r>
        <w:br w:type="textWrapping"/>
      </w:r>
      <w:r>
        <w:t xml:space="preserve">where </w:t>
      </w:r>
      <m:oMath>
        <m:sSub>
          <m:sSubPr/>
          <m:e>
            <m:r>
              <m:rPr/>
              <m:t>H</m:t>
            </m:r>
          </m:e>
          <m:sub>
            <m:r>
              <m:rPr/>
              <m:t>QCD</m:t>
            </m:r>
          </m:sub>
        </m:sSub>
      </m:oMath>
      <w:r>
        <w:t xml:space="preserve"> is the QCD Hamiltonian. Using the algebra of </w:t>
      </w:r>
      <m:oMath>
        <m:r>
          <m:rPr/>
          <m:t>SU</m:t>
        </m:r>
        <m:r>
          <m:rPr>
            <m:sty m:val="p"/>
          </m:rPr>
          <m:t>(</m:t>
        </m:r>
        <m:r>
          <m:rPr/>
          <m:t>3</m:t>
        </m:r>
        <m:r>
          <m:rPr>
            <m:sty m:val="p"/>
          </m:rPr>
          <m:t>)</m:t>
        </m:r>
      </m:oMath>
      <w:r>
        <w:t xml:space="preserve"> and the properties of the Casimir operator, we obtain:</w:t>
      </w:r>
      <w:r>
        <w:br w:type="textWrapping"/>
      </w:r>
    </w:p>
    <w:p w14:paraId="06AEA423">
      <w:pPr>
        <w:pStyle w:val="3"/>
      </w:pPr>
      <m:oMathPara>
        <m:oMathParaPr>
          <m:jc m:val="center"/>
        </m:oMathParaPr>
        <m:oMath>
          <m:r>
            <m:rPr>
              <m:sty m:val="p"/>
            </m:rPr>
            <m:t>Δ</m:t>
          </m:r>
          <m:r>
            <m:rPr/>
            <m:t>E</m:t>
          </m:r>
          <m:r>
            <m:rPr>
              <m:sty m:val="p"/>
            </m:rPr>
            <m:t>∝</m:t>
          </m:r>
          <m:sSub>
            <m:sSubPr/>
            <m:e>
              <m:r>
                <m:rPr/>
                <m:t>C</m:t>
              </m:r>
            </m:e>
            <m:sub>
              <m:r>
                <m:rPr/>
                <m:t>2</m:t>
              </m:r>
            </m:sub>
          </m:sSub>
          <m:r>
            <m:rPr>
              <m:sty m:val="p"/>
            </m:rPr>
            <m:t>(adj)</m:t>
          </m:r>
          <m:r>
            <m:rPr/>
            <m:t> </m:t>
          </m:r>
          <m:sSub>
            <m:sSubPr/>
            <m:e>
              <m:r>
                <m:rPr/>
                <m:t>α</m:t>
              </m:r>
            </m:e>
            <m:sub>
              <m:r>
                <m:rPr/>
                <m:t>s</m:t>
              </m:r>
            </m:sub>
          </m:sSub>
          <m:r>
            <m:rPr/>
            <m:t> </m:t>
          </m:r>
          <m:sSub>
            <m:sSubPr/>
            <m:e>
              <m:r>
                <m:rPr>
                  <m:sty m:val="p"/>
                </m:rPr>
                <m:t>Λ</m:t>
              </m:r>
            </m:e>
            <m:sub>
              <m:r>
                <m:rPr/>
                <m:t>QCD</m:t>
              </m:r>
            </m:sub>
          </m:sSub>
        </m:oMath>
      </m:oMathPara>
      <w:r>
        <w:br w:type="textWrapping"/>
      </w:r>
      <w:r>
        <w:t xml:space="preserve">where </w:t>
      </w:r>
      <m:oMath>
        <m:sSub>
          <m:sSubPr/>
          <m:e>
            <m:r>
              <m:rPr/>
              <m:t>C</m:t>
            </m:r>
          </m:e>
          <m:sub>
            <m:r>
              <m:rPr/>
              <m:t>2</m:t>
            </m:r>
          </m:sub>
        </m:sSub>
        <m:r>
          <m:rPr>
            <m:sty m:val="p"/>
          </m:rPr>
          <m:t>(adj)=</m:t>
        </m:r>
        <m:r>
          <m:rPr/>
          <m:t>3</m:t>
        </m:r>
      </m:oMath>
      <w:r>
        <w:t xml:space="preserve"> is the eigenvalue of the quadratic Casimir operator for the adjoint representation, </w:t>
      </w:r>
      <m:oMath>
        <m:sSub>
          <m:sSubPr/>
          <m:e>
            <m:r>
              <m:rPr/>
              <m:t>α</m:t>
            </m:r>
          </m:e>
          <m:sub>
            <m:r>
              <m:rPr/>
              <m:t>s</m:t>
            </m:r>
          </m:sub>
        </m:sSub>
      </m:oMath>
      <w:r>
        <w:t xml:space="preserve"> is the strong coupling constant, and </w:t>
      </w:r>
      <m:oMath>
        <m:sSub>
          <m:sSubPr/>
          <m:e>
            <m:r>
              <m:rPr>
                <m:sty m:val="p"/>
              </m:rPr>
              <m:t>Λ</m:t>
            </m:r>
          </m:e>
          <m:sub>
            <m:r>
              <m:rPr/>
              <m:t>QCD</m:t>
            </m:r>
          </m:sub>
        </m:sSub>
      </m:oMath>
      <w:r>
        <w:t xml:space="preserve"> is the QCD scale. This provides a quantitative estimate of the energy release.</w:t>
      </w:r>
      <w:bookmarkEnd w:id="16"/>
      <w:bookmarkEnd w:id="18"/>
      <w:bookmarkStart w:id="19" w:name="X322d8dc410c0ca919ba1a184f559e24e5a1c01b"/>
    </w:p>
    <w:p w14:paraId="0620B94F">
      <w:pPr>
        <w:pStyle w:val="3"/>
        <w:rPr>
          <w:b/>
          <w:bCs/>
        </w:rPr>
      </w:pPr>
      <w:r>
        <w:rPr>
          <w:b/>
          <w:bCs/>
        </w:rPr>
        <w:t>5. Unified Master Equation Description and Energy Conservation</w:t>
      </w:r>
    </w:p>
    <w:p w14:paraId="37F8B5CE">
      <w:pPr>
        <w:pStyle w:val="5"/>
        <w:rPr>
          <w:sz w:val="24"/>
          <w:szCs w:val="24"/>
        </w:rPr>
      </w:pPr>
      <w:bookmarkStart w:id="20" w:name="lindblad-equation-for-the-overall-system"/>
      <w:r>
        <w:rPr>
          <w:sz w:val="24"/>
          <w:szCs w:val="24"/>
        </w:rPr>
        <w:t>5.1 Lindblad Equation for the Overall System</w:t>
      </w:r>
    </w:p>
    <w:p w14:paraId="591D4702">
      <w:pPr>
        <w:pStyle w:val="4"/>
      </w:pPr>
      <w:r>
        <w:t xml:space="preserve">Treating the entire vacuum-gluon system as an open quantum system, the evolution of its density matrix </w:t>
      </w:r>
      <m:oMath>
        <m:sSub>
          <m:sSubPr/>
          <m:e>
            <m:r>
              <m:rPr/>
              <m:t>ρ</m:t>
            </m:r>
          </m:e>
          <m:sub>
            <m:r>
              <m:rPr>
                <m:sty m:val="p"/>
              </m:rPr>
              <m:t>total</m:t>
            </m:r>
          </m:sub>
        </m:sSub>
      </m:oMath>
      <w:r>
        <w:t xml:space="preserve"> is described by the most general Lindblad equation:</w:t>
      </w:r>
    </w:p>
    <w:p w14:paraId="4D93DD70">
      <w:pPr>
        <w:pStyle w:val="3"/>
      </w:pPr>
      <m:oMathPara>
        <m:oMathParaPr>
          <m:jc m:val="center"/>
        </m:oMathParaPr>
        <m:oMath>
          <m:f>
            <m:fPr/>
            <m:num>
              <m:r>
                <m:rPr/>
                <m:t>d</m:t>
              </m:r>
              <m:sSub>
                <m:sSubPr/>
                <m:e>
                  <m:r>
                    <m:rPr/>
                    <m:t>ρ</m:t>
                  </m:r>
                </m:e>
                <m:sub>
                  <m:r>
                    <m:rPr>
                      <m:sty m:val="p"/>
                    </m:rPr>
                    <m:t>total</m:t>
                  </m:r>
                </m:sub>
              </m:sSub>
            </m:num>
            <m:den>
              <m:r>
                <m:rPr/>
                <m:t>dt</m:t>
              </m:r>
            </m:den>
          </m:f>
          <m:r>
            <m:rPr>
              <m:sty m:val="p"/>
            </m:rPr>
            <m:t>=−</m:t>
          </m:r>
          <m:f>
            <m:fPr/>
            <m:num>
              <m:r>
                <m:rPr/>
                <m:t>i</m:t>
              </m:r>
            </m:num>
            <m:den>
              <m:r>
                <m:rPr>
                  <m:sty m:val="p"/>
                </m:rPr>
                <m:t>ℏ</m:t>
              </m:r>
            </m:den>
          </m:f>
          <m:d>
            <m:dPr>
              <m:begChr m:val="["/>
              <m:sepChr m:val=""/>
              <m:endChr m:val="]"/>
            </m:dPr>
            <m:e>
              <m:sSub>
                <m:sSubPr/>
                <m:e>
                  <m:r>
                    <m:rPr/>
                    <m:t>H</m:t>
                  </m:r>
                </m:e>
                <m:sub>
                  <m:r>
                    <m:rPr>
                      <m:sty m:val="p"/>
                    </m:rPr>
                    <m:t>vacuum</m:t>
                  </m:r>
                </m:sub>
              </m:sSub>
              <m:r>
                <m:rPr>
                  <m:sty m:val="p"/>
                </m:rPr>
                <m:t>+</m:t>
              </m:r>
              <m:sSub>
                <m:sSubPr/>
                <m:e>
                  <m:r>
                    <m:rPr/>
                    <m:t>H</m:t>
                  </m:r>
                </m:e>
                <m:sub>
                  <m:r>
                    <m:rPr>
                      <m:sty m:val="p"/>
                    </m:rPr>
                    <m:t>ext</m:t>
                  </m:r>
                </m:sub>
              </m:sSub>
              <m:r>
                <m:rPr>
                  <m:sty m:val="p"/>
                </m:rPr>
                <m:t>(</m:t>
              </m:r>
              <m:r>
                <m:rPr/>
                <m:t>t</m:t>
              </m:r>
              <m:r>
                <m:rPr>
                  <m:sty m:val="p"/>
                </m:rPr>
                <m:t>),</m:t>
              </m:r>
              <m:sSub>
                <m:sSubPr/>
                <m:e>
                  <m:r>
                    <m:rPr/>
                    <m:t>ρ</m:t>
                  </m:r>
                </m:e>
                <m:sub>
                  <m:r>
                    <m:rPr>
                      <m:sty m:val="p"/>
                    </m:rPr>
                    <m:t>total</m:t>
                  </m:r>
                </m:sub>
              </m:sSub>
            </m:e>
          </m:d>
          <m:r>
            <m:rPr>
              <m:sty m:val="p"/>
            </m:rPr>
            <m:t>+</m:t>
          </m:r>
          <m:sSub>
            <m:sSubPr/>
            <m:e>
              <m:r>
                <m:rPr>
                  <m:sty m:val="p"/>
                  <m:scr m:val="script"/>
                </m:rPr>
                <m:t>ℒ</m:t>
              </m:r>
            </m:e>
            <m:sub>
              <m:r>
                <m:rPr>
                  <m:sty m:val="p"/>
                </m:rPr>
                <m:t>sep</m:t>
              </m:r>
            </m:sub>
          </m:sSub>
          <m:r>
            <m:rPr>
              <m:sty m:val="p"/>
            </m:rPr>
            <m:t>[</m:t>
          </m:r>
          <m:r>
            <m:rPr/>
            <m:t>ρ</m:t>
          </m:r>
          <m:r>
            <m:rPr>
              <m:sty m:val="p"/>
            </m:rPr>
            <m:t>]+</m:t>
          </m:r>
          <m:sSub>
            <m:sSubPr/>
            <m:e>
              <m:r>
                <m:rPr>
                  <m:sty m:val="p"/>
                  <m:scr m:val="script"/>
                </m:rPr>
                <m:t>ℒ</m:t>
              </m:r>
            </m:e>
            <m:sub>
              <m:r>
                <m:rPr>
                  <m:sty m:val="p"/>
                </m:rPr>
                <m:t>ann</m:t>
              </m:r>
            </m:sub>
          </m:sSub>
          <m:r>
            <m:rPr>
              <m:sty m:val="p"/>
            </m:rPr>
            <m:t>[</m:t>
          </m:r>
          <m:r>
            <m:rPr/>
            <m:t>ρ</m:t>
          </m:r>
          <m:r>
            <m:rPr>
              <m:sty m:val="p"/>
            </m:rPr>
            <m:t>]</m:t>
          </m:r>
        </m:oMath>
      </m:oMathPara>
      <w:r>
        <w:br w:type="textWrapping"/>
      </w:r>
      <w:r>
        <w:t>where:</w:t>
      </w:r>
      <w:r>
        <w:br w:type="textWrapping"/>
      </w:r>
      <w:r>
        <w:t xml:space="preserve">* </w:t>
      </w:r>
      <m:oMath>
        <m:sSub>
          <m:sSubPr/>
          <m:e>
            <m:r>
              <m:rPr/>
              <m:t>H</m:t>
            </m:r>
          </m:e>
          <m:sub>
            <m:r>
              <m:rPr>
                <m:sty m:val="p"/>
              </m:rPr>
              <m:t>vacuum</m:t>
            </m:r>
          </m:sub>
        </m:sSub>
      </m:oMath>
      <w:r>
        <w:t xml:space="preserve"> is the dynamical Hamiltonian of the vacuum.</w:t>
      </w:r>
      <w:r>
        <w:br w:type="textWrapping"/>
      </w:r>
      <w:r>
        <w:t xml:space="preserve">* </w:t>
      </w:r>
      <m:oMath>
        <m:sSub>
          <m:sSubPr/>
          <m:e>
            <m:r>
              <m:rPr/>
              <m:t>H</m:t>
            </m:r>
          </m:e>
          <m:sub>
            <m:r>
              <m:rPr>
                <m:sty m:val="p"/>
              </m:rPr>
              <m:t>ext</m:t>
            </m:r>
          </m:sub>
        </m:sSub>
        <m:r>
          <m:rPr>
            <m:sty m:val="p"/>
          </m:rPr>
          <m:t>(</m:t>
        </m:r>
        <m:r>
          <m:rPr/>
          <m:t>t</m:t>
        </m:r>
        <m:r>
          <m:rPr>
            <m:sty m:val="p"/>
          </m:rPr>
          <m:t>)</m:t>
        </m:r>
      </m:oMath>
      <w:r>
        <w:t xml:space="preserve"> is the sum of all external interventions.</w:t>
      </w:r>
      <w:r>
        <w:br w:type="textWrapping"/>
      </w:r>
      <w:r>
        <w:t xml:space="preserve">* The superoperator </w:t>
      </w:r>
      <m:oMath>
        <m:sSub>
          <m:sSubPr/>
          <m:e>
            <m:r>
              <m:rPr>
                <m:sty m:val="p"/>
                <m:scr m:val="script"/>
              </m:rPr>
              <m:t>ℒ</m:t>
            </m:r>
          </m:e>
          <m:sub>
            <m:r>
              <m:rPr>
                <m:sty m:val="p"/>
              </m:rPr>
              <m:t>sep</m:t>
            </m:r>
          </m:sub>
        </m:sSub>
      </m:oMath>
      <w:r>
        <w:t xml:space="preserve"> describes the dissipation caused by the three separation mechanisms.</w:t>
      </w:r>
      <w:r>
        <w:br w:type="textWrapping"/>
      </w:r>
      <w:r>
        <w:t xml:space="preserve">* The superoperator </w:t>
      </w:r>
      <m:oMath>
        <m:sSub>
          <m:sSubPr/>
          <m:e>
            <m:r>
              <m:rPr>
                <m:sty m:val="p"/>
                <m:scr m:val="script"/>
              </m:rPr>
              <m:t>ℒ</m:t>
            </m:r>
          </m:e>
          <m:sub>
            <m:r>
              <m:rPr>
                <m:sty m:val="p"/>
              </m:rPr>
              <m:t>ann</m:t>
            </m:r>
          </m:sub>
        </m:sSub>
      </m:oMath>
      <w:r>
        <w:t xml:space="preserve"> describes the energy dissipation and transfer due to anti-gluon annihilation.</w:t>
      </w:r>
    </w:p>
    <w:bookmarkEnd w:id="20"/>
    <w:p w14:paraId="69844B33">
      <w:pPr>
        <w:pStyle w:val="5"/>
        <w:rPr>
          <w:sz w:val="24"/>
          <w:szCs w:val="24"/>
        </w:rPr>
      </w:pPr>
      <w:bookmarkStart w:id="21" w:name="Xaa7edd766535ce5b9a48738df34fa1067ba5d42"/>
      <w:r>
        <w:rPr>
          <w:sz w:val="24"/>
          <w:szCs w:val="24"/>
        </w:rPr>
        <w:t>5.2 Explicit Verification of Energy Conservation</w:t>
      </w:r>
    </w:p>
    <w:p w14:paraId="067E299B">
      <w:pPr>
        <w:pStyle w:val="4"/>
      </w:pPr>
      <w:r>
        <w:t xml:space="preserve">The total energy expectation of the system is </w:t>
      </w:r>
      <m:oMath>
        <m:r>
          <m:rPr/>
          <m:t>E</m:t>
        </m:r>
        <m:r>
          <m:rPr>
            <m:sty m:val="p"/>
          </m:rPr>
          <m:t>(</m:t>
        </m:r>
        <m:r>
          <m:rPr/>
          <m:t>t</m:t>
        </m:r>
        <m:r>
          <m:rPr>
            <m:sty m:val="p"/>
          </m:rPr>
          <m:t>)=Tr</m:t>
        </m:r>
        <m:d>
          <m:dPr>
            <m:begChr m:val="["/>
            <m:sepChr m:val=""/>
            <m:endChr m:val="]"/>
          </m:dPr>
          <m:e>
            <m:sSub>
              <m:sSubPr/>
              <m:e>
                <m:r>
                  <m:rPr/>
                  <m:t>H</m:t>
                </m:r>
              </m:e>
              <m:sub>
                <m:r>
                  <m:rPr>
                    <m:sty m:val="p"/>
                  </m:rPr>
                  <m:t>vacuum</m:t>
                </m:r>
              </m:sub>
            </m:sSub>
            <m:r>
              <m:rPr/>
              <m:t> </m:t>
            </m:r>
            <m:sSub>
              <m:sSubPr/>
              <m:e>
                <m:r>
                  <m:rPr/>
                  <m:t>ρ</m:t>
                </m:r>
              </m:e>
              <m:sub>
                <m:r>
                  <m:rPr>
                    <m:sty m:val="p"/>
                  </m:rPr>
                  <m:t>total</m:t>
                </m:r>
              </m:sub>
            </m:sSub>
            <m:r>
              <m:rPr>
                <m:sty m:val="p"/>
              </m:rPr>
              <m:t>(</m:t>
            </m:r>
            <m:r>
              <m:rPr/>
              <m:t>t</m:t>
            </m:r>
            <m:r>
              <m:rPr>
                <m:sty m:val="p"/>
              </m:rPr>
              <m:t>)</m:t>
            </m:r>
          </m:e>
        </m:d>
        <m:r>
          <m:rPr>
            <m:sty m:val="p"/>
          </m:rPr>
          <m:t>.</m:t>
        </m:r>
      </m:oMath>
      <w:r>
        <w:t xml:space="preserve"> It can be shown that, with the specific forms of </w:t>
      </w:r>
      <m:oMath>
        <m:sSub>
          <m:sSubPr/>
          <m:e>
            <m:r>
              <m:rPr>
                <m:sty m:val="p"/>
                <m:scr m:val="script"/>
              </m:rPr>
              <m:t>ℒ</m:t>
            </m:r>
          </m:e>
          <m:sub>
            <m:r>
              <m:rPr>
                <m:sty m:val="p"/>
              </m:rPr>
              <m:t>sep</m:t>
            </m:r>
          </m:sub>
        </m:sSub>
      </m:oMath>
      <w:r>
        <w:t xml:space="preserve"> and </w:t>
      </w:r>
      <m:oMath>
        <m:sSub>
          <m:sSubPr/>
          <m:e>
            <m:r>
              <m:rPr>
                <m:sty m:val="p"/>
                <m:scr m:val="script"/>
              </m:rPr>
              <m:t>ℒ</m:t>
            </m:r>
          </m:e>
          <m:sub>
            <m:r>
              <m:rPr>
                <m:sty m:val="p"/>
              </m:rPr>
              <m:t>ann</m:t>
            </m:r>
          </m:sub>
        </m:sSub>
        <m:r>
          <m:rPr>
            <m:sty m:val="p"/>
          </m:rPr>
          <m:t>,</m:t>
        </m:r>
      </m:oMath>
      <w:r>
        <w:t xml:space="preserve"> the following holds:</w:t>
      </w:r>
    </w:p>
    <w:p w14:paraId="07B0D164">
      <w:pPr>
        <w:pStyle w:val="3"/>
      </w:pPr>
      <m:oMathPara>
        <m:oMathParaPr>
          <m:jc m:val="center"/>
        </m:oMathParaPr>
        <m:oMath>
          <m:f>
            <m:fPr/>
            <m:num>
              <m:r>
                <m:rPr/>
                <m:t>d</m:t>
              </m:r>
            </m:num>
            <m:den>
              <m:r>
                <m:rPr/>
                <m:t>dt</m:t>
              </m:r>
            </m:den>
          </m:f>
          <m:r>
            <m:rPr>
              <m:sty m:val="p"/>
            </m:rPr>
            <m:t>Tr</m:t>
          </m:r>
          <m:d>
            <m:dPr>
              <m:begChr m:val="["/>
              <m:sepChr m:val=""/>
              <m:endChr m:val="]"/>
            </m:dPr>
            <m:e>
              <m:sSub>
                <m:sSubPr/>
                <m:e>
                  <m:r>
                    <m:rPr/>
                    <m:t>H</m:t>
                  </m:r>
                </m:e>
                <m:sub>
                  <m:r>
                    <m:rPr>
                      <m:sty m:val="p"/>
                    </m:rPr>
                    <m:t>vacuum</m:t>
                  </m:r>
                </m:sub>
              </m:sSub>
              <m:r>
                <m:rPr/>
                <m:t> </m:t>
              </m:r>
              <m:sSub>
                <m:sSubPr/>
                <m:e>
                  <m:r>
                    <m:rPr/>
                    <m:t>ρ</m:t>
                  </m:r>
                </m:e>
                <m:sub>
                  <m:r>
                    <m:rPr>
                      <m:sty m:val="p"/>
                    </m:rPr>
                    <m:t>total</m:t>
                  </m:r>
                </m:sub>
              </m:sSub>
              <m:r>
                <m:rPr>
                  <m:sty m:val="p"/>
                </m:rPr>
                <m:t>(</m:t>
              </m:r>
              <m:r>
                <m:rPr/>
                <m:t>t</m:t>
              </m:r>
              <m:r>
                <m:rPr>
                  <m:sty m:val="p"/>
                </m:rPr>
                <m:t>)</m:t>
              </m:r>
            </m:e>
          </m:d>
          <m:r>
            <m:rPr>
              <m:sty m:val="p"/>
            </m:rPr>
            <m:t>=Tr</m:t>
          </m:r>
          <m:d>
            <m:dPr>
              <m:begChr m:val="["/>
              <m:sepChr m:val=""/>
              <m:endChr m:val="]"/>
            </m:dPr>
            <m:e>
              <m:sSub>
                <m:sSubPr/>
                <m:e>
                  <m:r>
                    <m:rPr/>
                    <m:t>H</m:t>
                  </m:r>
                </m:e>
                <m:sub>
                  <m:r>
                    <m:rPr>
                      <m:sty m:val="p"/>
                    </m:rPr>
                    <m:t>vacuum</m:t>
                  </m:r>
                </m:sub>
              </m:sSub>
              <m:f>
                <m:fPr/>
                <m:num>
                  <m:r>
                    <m:rPr>
                      <m:sty m:val="p"/>
                    </m:rPr>
                    <m:t>∂</m:t>
                  </m:r>
                  <m:sSub>
                    <m:sSubPr/>
                    <m:e>
                      <m:r>
                        <m:rPr/>
                        <m:t>H</m:t>
                      </m:r>
                    </m:e>
                    <m:sub>
                      <m:r>
                        <m:rPr>
                          <m:sty m:val="p"/>
                        </m:rPr>
                        <m:t>ext</m:t>
                      </m:r>
                    </m:sub>
                  </m:sSub>
                  <m:r>
                    <m:rPr>
                      <m:sty m:val="p"/>
                    </m:rPr>
                    <m:t>(</m:t>
                  </m:r>
                  <m:r>
                    <m:rPr/>
                    <m:t>t</m:t>
                  </m:r>
                  <m:r>
                    <m:rPr>
                      <m:sty m:val="p"/>
                    </m:rPr>
                    <m:t>)</m:t>
                  </m:r>
                </m:num>
                <m:den>
                  <m:r>
                    <m:rPr>
                      <m:sty m:val="p"/>
                    </m:rPr>
                    <m:t>∂</m:t>
                  </m:r>
                  <m:r>
                    <m:rPr/>
                    <m:t>t</m:t>
                  </m:r>
                </m:den>
              </m:f>
              <m:sSub>
                <m:sSubPr/>
                <m:e>
                  <m:r>
                    <m:rPr/>
                    <m:t>ρ</m:t>
                  </m:r>
                </m:e>
                <m:sub>
                  <m:r>
                    <m:rPr>
                      <m:sty m:val="p"/>
                    </m:rPr>
                    <m:t>total</m:t>
                  </m:r>
                </m:sub>
              </m:sSub>
              <m:r>
                <m:rPr>
                  <m:sty m:val="p"/>
                </m:rPr>
                <m:t>(</m:t>
              </m:r>
              <m:r>
                <m:rPr/>
                <m:t>t</m:t>
              </m:r>
              <m:r>
                <m:rPr>
                  <m:sty m:val="p"/>
                </m:rPr>
                <m:t>)</m:t>
              </m:r>
            </m:e>
          </m:d>
        </m:oMath>
      </m:oMathPara>
      <w:r>
        <w:br w:type="textWrapping"/>
      </w:r>
      <w:r>
        <w:t>This indicates that the rate of change of the system’s vacuum energy is equal to the power done by the external fields, strictly satisfying the law of energy conservation and ensuring the mathematical self-consistency of the model.</w:t>
      </w:r>
      <w:bookmarkEnd w:id="19"/>
      <w:bookmarkEnd w:id="21"/>
      <w:bookmarkStart w:id="22" w:name="X172144abf0bbc3b8259af21e061ed0c893dc2dd"/>
    </w:p>
    <w:p w14:paraId="607E979E">
      <w:pPr>
        <w:pStyle w:val="3"/>
        <w:rPr>
          <w:b/>
          <w:bCs/>
        </w:rPr>
      </w:pPr>
      <w:r>
        <w:rPr>
          <w:b/>
          <w:bCs/>
        </w:rPr>
        <w:t>6. Numerical Simulation Parameters and Observable Predictions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981"/>
        <w:gridCol w:w="2056"/>
        <w:gridCol w:w="3238"/>
      </w:tblGrid>
      <w:tr w14:paraId="3120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75EA4B6">
            <w:pPr>
              <w:pStyle w:val="26"/>
              <w:jc w:val="left"/>
            </w:pPr>
            <w:r>
              <w:rPr>
                <w:b/>
              </w:rPr>
              <w:t>Physical Quantity</w:t>
            </w:r>
          </w:p>
        </w:tc>
        <w:tc>
          <w:tcPr>
            <w:shd w:val="clear" w:color="auto" w:fill="B9CDE5"/>
          </w:tcPr>
          <w:p w14:paraId="34A629EA">
            <w:pPr>
              <w:pStyle w:val="26"/>
              <w:jc w:val="left"/>
            </w:pPr>
            <w:r>
              <w:rPr>
                <w:b/>
              </w:rPr>
              <w:t>Symbol</w:t>
            </w:r>
          </w:p>
        </w:tc>
        <w:tc>
          <w:tcPr>
            <w:shd w:val="clear" w:color="auto" w:fill="B9CDE5"/>
          </w:tcPr>
          <w:p w14:paraId="780834BA">
            <w:pPr>
              <w:pStyle w:val="26"/>
              <w:jc w:val="left"/>
            </w:pPr>
            <w:r>
              <w:rPr>
                <w:b/>
              </w:rPr>
              <w:t>Estimated Value / Formula</w:t>
            </w:r>
          </w:p>
        </w:tc>
        <w:tc>
          <w:tcPr>
            <w:shd w:val="clear" w:color="auto" w:fill="B9CDE5"/>
          </w:tcPr>
          <w:p w14:paraId="79AFD1ED">
            <w:pPr>
              <w:pStyle w:val="26"/>
              <w:jc w:val="left"/>
            </w:pPr>
            <w:r>
              <w:rPr>
                <w:b/>
              </w:rPr>
              <w:t>Remarks</w:t>
            </w:r>
          </w:p>
        </w:tc>
      </w:tr>
      <w:tr w14:paraId="53A1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FA2D9">
            <w:pPr>
              <w:pStyle w:val="26"/>
              <w:jc w:val="left"/>
            </w:pPr>
            <w:r>
              <w:t>Characteristic Energy</w:t>
            </w:r>
          </w:p>
        </w:tc>
        <w:tc>
          <w:p w14:paraId="214BC2EA">
            <w:pPr>
              <w:pStyle w:val="26"/>
              <w:jc w:val="left"/>
            </w:pPr>
            <m:oMathPara>
              <m:oMath>
                <m:sSub>
                  <m:sSubPr/>
                  <m:e>
                    <m:r>
                      <m:rPr/>
                      <m:t>E</m:t>
                    </m:r>
                  </m:e>
                  <m:sub>
                    <m:r>
                      <m:rPr/>
                      <m:t>g</m:t>
                    </m:r>
                  </m:sub>
                </m:sSub>
              </m:oMath>
            </m:oMathPara>
          </w:p>
        </w:tc>
        <w:tc>
          <w:p w14:paraId="183D2DAA">
            <w:pPr>
              <w:pStyle w:val="26"/>
              <w:jc w:val="left"/>
            </w:pPr>
            <m:oMathPara>
              <m:oMath>
                <m:r>
                  <m:rPr>
                    <m:sty m:val="p"/>
                  </m:rPr>
                  <m:t>≈</m:t>
                </m:r>
                <m:sSub>
                  <m:sSubPr/>
                  <m:e>
                    <m:r>
                      <m:rPr>
                        <m:sty m:val="p"/>
                      </m:rPr>
                      <m:t>Λ</m:t>
                    </m:r>
                  </m:e>
                  <m:sub>
                    <m:r>
                      <m:rPr/>
                      <m:t>QCD</m:t>
                    </m:r>
                  </m:sub>
                </m:sSub>
                <m:r>
                  <m:rPr>
                    <m:sty m:val="p"/>
                  </m:rPr>
                  <m:t>∼</m:t>
                </m:r>
                <m:r>
                  <m:rPr/>
                  <m:t>200</m:t>
                </m:r>
                <m:r>
                  <m:rPr>
                    <m:sty m:val="p"/>
                  </m:rPr>
                  <m:t>MeV</m:t>
                </m:r>
              </m:oMath>
            </m:oMathPara>
          </w:p>
        </w:tc>
        <w:tc>
          <w:p w14:paraId="0E897751">
            <w:pPr>
              <w:pStyle w:val="26"/>
              <w:jc w:val="left"/>
            </w:pPr>
            <w:r>
              <w:t>QCD Scale</w:t>
            </w:r>
          </w:p>
        </w:tc>
      </w:tr>
      <w:tr w14:paraId="4C3F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D07817">
            <w:pPr>
              <w:pStyle w:val="26"/>
              <w:jc w:val="left"/>
            </w:pPr>
            <w:r>
              <w:t>Coupling Constant</w:t>
            </w:r>
          </w:p>
        </w:tc>
        <w:tc>
          <w:p w14:paraId="2B0D4DF0">
            <w:pPr>
              <w:pStyle w:val="26"/>
              <w:jc w:val="left"/>
            </w:pPr>
            <m:oMathPara>
              <m:oMath>
                <m:sSub>
                  <m:sSubPr/>
                  <m:e>
                    <m:r>
                      <m:rPr/>
                      <m:t>α</m:t>
                    </m:r>
                  </m:e>
                  <m:sub>
                    <m:r>
                      <m:rPr/>
                      <m:t>s</m:t>
                    </m:r>
                  </m:sub>
                </m:sSub>
              </m:oMath>
            </m:oMathPara>
          </w:p>
        </w:tc>
        <w:tc>
          <w:p w14:paraId="104E38C4">
            <w:pPr>
              <w:pStyle w:val="26"/>
              <w:jc w:val="left"/>
            </w:pPr>
            <m:oMathPara>
              <m:oMath>
                <m:sSub>
                  <m:sSubPr/>
                  <m:e>
                    <m:r>
                      <m:rPr/>
                      <m:t>α</m:t>
                    </m:r>
                  </m:e>
                  <m:sub>
                    <m:r>
                      <m:rPr/>
                      <m:t>s</m:t>
                    </m:r>
                  </m:sub>
                </m:sSub>
                <m:r>
                  <m:rPr>
                    <m:sty m:val="p"/>
                  </m:rPr>
                  <m:t>(</m:t>
                </m:r>
                <m:sSub>
                  <m:sSubPr/>
                  <m:e>
                    <m:r>
                      <m:rPr>
                        <m:sty m:val="p"/>
                      </m:rPr>
                      <m:t>Λ</m:t>
                    </m:r>
                  </m:e>
                  <m:sub>
                    <m:r>
                      <m:rPr/>
                      <m:t>QCD</m:t>
                    </m:r>
                  </m:sub>
                </m:sSub>
                <m:r>
                  <m:rPr>
                    <m:sty m:val="p"/>
                  </m:rPr>
                  <m:t>)∼</m:t>
                </m:r>
                <m:r>
                  <m:rPr/>
                  <m:t>1</m:t>
                </m:r>
              </m:oMath>
            </m:oMathPara>
          </w:p>
        </w:tc>
        <w:tc>
          <w:p w14:paraId="6D8BFD94">
            <w:pPr>
              <w:pStyle w:val="26"/>
              <w:jc w:val="left"/>
            </w:pPr>
            <w:r>
              <w:t xml:space="preserve">At the </w:t>
            </w:r>
            <m:oMath>
              <m:sSub>
                <m:sSubPr/>
                <m:e>
                  <m:r>
                    <m:rPr>
                      <m:sty m:val="p"/>
                    </m:rPr>
                    <m:t>Λ</m:t>
                  </m:r>
                </m:e>
                <m:sub>
                  <m:r>
                    <m:rPr/>
                    <m:t>QCD</m:t>
                  </m:r>
                </m:sub>
              </m:sSub>
            </m:oMath>
            <w:r>
              <w:t xml:space="preserve"> scale</w:t>
            </w:r>
          </w:p>
        </w:tc>
      </w:tr>
      <w:tr w14:paraId="1101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79658D">
            <w:pPr>
              <w:pStyle w:val="26"/>
              <w:jc w:val="left"/>
            </w:pPr>
            <w:r>
              <w:t>Annihilation Cross-Section</w:t>
            </w:r>
          </w:p>
        </w:tc>
        <w:tc>
          <w:p w14:paraId="75E2693E">
            <w:pPr>
              <w:pStyle w:val="26"/>
              <w:jc w:val="left"/>
            </w:pPr>
            <m:oMathPara>
              <m:oMath>
                <m:sSub>
                  <m:sSubPr/>
                  <m:e>
                    <m:r>
                      <m:rPr/>
                      <m:t>σ</m:t>
                    </m:r>
                  </m:e>
                  <m:sub>
                    <m:r>
                      <m:rPr>
                        <m:sty m:val="p"/>
                      </m:rPr>
                      <m:t>ann</m:t>
                    </m:r>
                  </m:sub>
                </m:sSub>
              </m:oMath>
            </m:oMathPara>
          </w:p>
        </w:tc>
        <w:tc>
          <w:p w14:paraId="103F10CA">
            <w:pPr>
              <w:pStyle w:val="26"/>
              <w:jc w:val="left"/>
            </w:pPr>
            <m:oMathPara>
              <m:oMath>
                <m:r>
                  <m:rPr>
                    <m:sty m:val="p"/>
                  </m:rPr>
                  <m:t>∼</m:t>
                </m:r>
                <m:f>
                  <m:fPr/>
                  <m:num>
                    <m:r>
                      <m:rPr/>
                      <m:t>4π</m:t>
                    </m:r>
                    <m:sSubSup>
                      <m:sSubSupPr/>
                      <m:e>
                        <m:r>
                          <m:rPr/>
                          <m:t>α</m:t>
                        </m:r>
                      </m:e>
                      <m:sub>
                        <m:r>
                          <m:rPr/>
                          <m:t>s</m:t>
                        </m:r>
                      </m:sub>
                      <m:sup>
                        <m:r>
                          <m:rPr/>
                          <m:t>2</m:t>
                        </m:r>
                      </m:sup>
                    </m:sSubSup>
                  </m:num>
                  <m:den>
                    <m:sSubSup>
                      <m:sSubSupPr/>
                      <m:e>
                        <m:r>
                          <m:rPr/>
                          <m:t>E</m:t>
                        </m:r>
                      </m:e>
                      <m:sub>
                        <m:r>
                          <m:rPr/>
                          <m:t>g</m:t>
                        </m:r>
                      </m:sub>
                      <m:sup>
                        <m:r>
                          <m:rPr/>
                          <m:t>2</m:t>
                        </m:r>
                      </m:sup>
                    </m:sSubSup>
                  </m:den>
                </m:f>
              </m:oMath>
            </m:oMathPara>
          </w:p>
        </w:tc>
        <w:tc>
          <w:p w14:paraId="2113DEE1">
            <w:pPr>
              <w:pStyle w:val="26"/>
              <w:jc w:val="left"/>
            </w:pPr>
            <w:r>
              <w:t>Based on dimensional analysis</w:t>
            </w:r>
          </w:p>
        </w:tc>
      </w:tr>
      <w:tr w14:paraId="037C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C437A1">
            <w:pPr>
              <w:pStyle w:val="26"/>
              <w:jc w:val="left"/>
            </w:pPr>
            <w:r>
              <w:t>Critical Field Strength</w:t>
            </w:r>
          </w:p>
        </w:tc>
        <w:tc>
          <w:p w14:paraId="42EDD6AE">
            <w:pPr>
              <w:pStyle w:val="26"/>
              <w:jc w:val="left"/>
            </w:pPr>
            <m:oMathPara>
              <m:oMath>
                <m:sSub>
                  <m:sSubPr/>
                  <m:e>
                    <m:r>
                      <m:rPr/>
                      <m:t>E</m:t>
                    </m:r>
                  </m:e>
                  <m:sub>
                    <m:r>
                      <m:rPr>
                        <m:sty m:val="p"/>
                      </m:rPr>
                      <m:t>crit</m:t>
                    </m:r>
                  </m:sub>
                </m:sSub>
              </m:oMath>
            </m:oMathPara>
          </w:p>
        </w:tc>
        <w:tc>
          <w:p w14:paraId="321C47B8">
            <w:pPr>
              <w:pStyle w:val="26"/>
              <w:jc w:val="left"/>
            </w:pPr>
            <m:oMathPara>
              <m:oMath>
                <m:r>
                  <m:rPr>
                    <m:sty m:val="p"/>
                  </m:rPr>
                  <m:t>∼</m:t>
                </m:r>
                <m:f>
                  <m:fPr/>
                  <m:num>
                    <m:sSubSup>
                      <m:sSubSupPr/>
                      <m:e>
                        <m:r>
                          <m:rPr>
                            <m:sty m:val="p"/>
                          </m:rPr>
                          <m:t>Λ</m:t>
                        </m:r>
                      </m:e>
                      <m:sub>
                        <m:r>
                          <m:rPr/>
                          <m:t>QCD</m:t>
                        </m:r>
                      </m:sub>
                      <m:sup>
                        <m:r>
                          <m:rPr/>
                          <m:t>2</m:t>
                        </m:r>
                      </m:sup>
                    </m:sSubSup>
                  </m:num>
                  <m:den>
                    <m:r>
                      <m:rPr/>
                      <m:t>ec</m:t>
                    </m:r>
                  </m:den>
                </m:f>
                <m:r>
                  <m:rPr>
                    <m:sty m:val="p"/>
                  </m:rPr>
                  <m:t>∼</m:t>
                </m:r>
                <m:sSup>
                  <m:sSupPr/>
                  <m:e>
                    <m:r>
                      <m:rPr/>
                      <m:t>10</m:t>
                    </m:r>
                  </m:e>
                  <m:sup>
                    <m:r>
                      <m:rPr/>
                      <m:t>18</m:t>
                    </m:r>
                  </m:sup>
                </m:sSup>
                <m:r>
                  <m:rPr>
                    <m:sty m:val="p"/>
                  </m:rPr>
                  <m:t>V/m</m:t>
                </m:r>
              </m:oMath>
            </m:oMathPara>
          </w:p>
        </w:tc>
        <w:tc>
          <w:p w14:paraId="6B625791">
            <w:pPr>
              <w:pStyle w:val="26"/>
              <w:jc w:val="left"/>
            </w:pPr>
            <w:r>
              <w:t>Estimated QCD vacuum breakdown field strength</w:t>
            </w:r>
          </w:p>
        </w:tc>
      </w:tr>
      <w:tr w14:paraId="0151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2ABB81">
            <w:pPr>
              <w:pStyle w:val="26"/>
              <w:jc w:val="left"/>
            </w:pPr>
            <w:r>
              <w:t>Resonance Width</w:t>
            </w:r>
          </w:p>
        </w:tc>
        <w:tc>
          <w:p w14:paraId="7A19DB51">
            <w:pPr>
              <w:pStyle w:val="26"/>
              <w:jc w:val="left"/>
            </w:pPr>
            <m:oMathPara>
              <m:oMath>
                <m:r>
                  <m:rPr>
                    <m:sty m:val="p"/>
                  </m:rPr>
                  <m:t>Γ</m:t>
                </m:r>
              </m:oMath>
            </m:oMathPara>
          </w:p>
        </w:tc>
        <w:tc>
          <w:p w14:paraId="5E082A43">
            <w:pPr>
              <w:pStyle w:val="26"/>
              <w:jc w:val="left"/>
            </w:pPr>
            <m:oMathPara>
              <m:oMath>
                <m:r>
                  <m:rPr>
                    <m:sty m:val="p"/>
                  </m:rPr>
                  <m:t>∼</m:t>
                </m:r>
                <m:sSub>
                  <m:sSubPr/>
                  <m:e>
                    <m:r>
                      <m:rPr/>
                      <m:t>α</m:t>
                    </m:r>
                  </m:e>
                  <m:sub>
                    <m:r>
                      <m:rPr/>
                      <m:t>s</m:t>
                    </m:r>
                  </m:sub>
                </m:sSub>
                <m:sSub>
                  <m:sSubPr/>
                  <m:e>
                    <m:r>
                      <m:rPr>
                        <m:sty m:val="p"/>
                      </m:rPr>
                      <m:t>Λ</m:t>
                    </m:r>
                  </m:e>
                  <m:sub>
                    <m:r>
                      <m:rPr/>
                      <m:t>QCD</m:t>
                    </m:r>
                  </m:sub>
                </m:sSub>
                <m:r>
                  <m:rPr>
                    <m:sty m:val="p"/>
                  </m:rPr>
                  <m:t>∼</m:t>
                </m:r>
                <m:r>
                  <m:rPr/>
                  <m:t>200</m:t>
                </m:r>
                <m:r>
                  <m:rPr>
                    <m:sty m:val="p"/>
                  </m:rPr>
                  <m:t>MeV</m:t>
                </m:r>
              </m:oMath>
            </m:oMathPara>
          </w:p>
        </w:tc>
        <w:tc>
          <w:p w14:paraId="332401EC">
            <w:pPr>
              <w:pStyle w:val="26"/>
              <w:jc w:val="left"/>
            </w:pPr>
            <w:r>
              <w:t>Width of the resonant absorption peak</w:t>
            </w:r>
          </w:p>
        </w:tc>
      </w:tr>
      <w:tr w14:paraId="4D01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7F2BE">
            <w:pPr>
              <w:pStyle w:val="26"/>
              <w:jc w:val="left"/>
            </w:pPr>
            <w:r>
              <w:t>Net Energy Gain Condition</w:t>
            </w:r>
          </w:p>
        </w:tc>
        <w:tc>
          <w:p w14:paraId="6FF15342">
            <w:pPr>
              <w:pStyle w:val="26"/>
              <w:jc w:val="left"/>
            </w:pPr>
            <m:oMathPara>
              <m:oMath>
                <m:r>
                  <m:rPr/>
                  <m:t>η</m:t>
                </m:r>
              </m:oMath>
            </m:oMathPara>
          </w:p>
        </w:tc>
        <w:tc>
          <w:p w14:paraId="22AE68AB">
            <w:pPr>
              <w:pStyle w:val="26"/>
              <w:jc w:val="left"/>
            </w:pPr>
            <m:oMathPara>
              <m:oMath>
                <m:r>
                  <m:rPr>
                    <m:sty m:val="p"/>
                  </m:rPr>
                  <m:t>&gt;</m:t>
                </m:r>
                <m:r>
                  <m:rPr/>
                  <m:t>1</m:t>
                </m:r>
              </m:oMath>
            </m:oMathPara>
          </w:p>
        </w:tc>
        <w:tc>
          <w:p w14:paraId="587ACC44">
            <w:pPr>
              <w:pStyle w:val="26"/>
              <w:jc w:val="left"/>
            </w:pPr>
            <w:r>
              <w:t>See formula below</w:t>
            </w:r>
          </w:p>
        </w:tc>
      </w:tr>
    </w:tbl>
    <w:p w14:paraId="577AA801">
      <w:pPr>
        <w:pStyle w:val="3"/>
      </w:pPr>
      <w:r>
        <w:t xml:space="preserve">The net energy gain condition </w:t>
      </w:r>
      <m:oMath>
        <m:r>
          <m:rPr/>
          <m:t>η</m:t>
        </m:r>
        <m:r>
          <m:rPr>
            <m:sty m:val="p"/>
          </m:rPr>
          <m:t>&gt;</m:t>
        </m:r>
        <m:r>
          <m:rPr/>
          <m:t>1</m:t>
        </m:r>
      </m:oMath>
      <w:r>
        <w:t xml:space="preserve"> can be specified as:</w:t>
      </w:r>
    </w:p>
    <w:p w14:paraId="6431401E">
      <w:pPr>
        <w:pStyle w:val="3"/>
      </w:pPr>
      <m:oMathPara>
        <m:oMathParaPr>
          <m:jc m:val="center"/>
        </m:oMathParaPr>
        <m:oMath>
          <m:r>
            <m:rPr/>
            <m:t>η</m:t>
          </m:r>
          <m:r>
            <m:rPr>
              <m:sty m:val="p"/>
            </m:rPr>
            <m:t>=</m:t>
          </m:r>
          <m:f>
            <m:fPr/>
            <m:num>
              <m:sSub>
                <m:sSubPr/>
                <m:e>
                  <m:r>
                    <m:rPr/>
                    <m:t>n</m:t>
                  </m:r>
                </m:e>
                <m:sub>
                  <m:r>
                    <m:rPr/>
                    <m:t>g</m:t>
                  </m:r>
                </m:sub>
              </m:sSub>
              <m:r>
                <m:rPr>
                  <m:sty m:val="p"/>
                </m:rPr>
                <m:t>⋅</m:t>
              </m:r>
              <m:sSub>
                <m:sSubPr/>
                <m:e>
                  <m:r>
                    <m:rPr/>
                    <m:t>σ</m:t>
                  </m:r>
                </m:e>
                <m:sub>
                  <m:r>
                    <m:rPr>
                      <m:sty m:val="p"/>
                    </m:rPr>
                    <m:t>ann</m:t>
                  </m:r>
                </m:sub>
              </m:sSub>
              <m:r>
                <m:rPr>
                  <m:sty m:val="p"/>
                </m:rPr>
                <m:t>⋅</m:t>
              </m:r>
              <m:sSub>
                <m:sSubPr/>
                <m:e>
                  <m:r>
                    <m:rPr/>
                    <m:t>E</m:t>
                  </m:r>
                </m:e>
                <m:sub>
                  <m:r>
                    <m:rPr/>
                    <m:t>g</m:t>
                  </m:r>
                </m:sub>
              </m:sSub>
            </m:num>
            <m:den>
              <m:sSub>
                <m:sSubPr/>
                <m:e>
                  <m:r>
                    <m:rPr/>
                    <m:t>P</m:t>
                  </m:r>
                </m:e>
                <m:sub>
                  <m:r>
                    <m:rPr>
                      <m:sty m:val="p"/>
                    </m:rPr>
                    <m:t>ext</m:t>
                  </m:r>
                </m:sub>
              </m:sSub>
              <m:r>
                <m:rPr>
                  <m:sty m:val="p"/>
                </m:rPr>
                <m:t>/(</m:t>
              </m:r>
              <m:r>
                <m:rPr/>
                <m:t>V</m:t>
              </m:r>
              <m:r>
                <m:rPr>
                  <m:sty m:val="p"/>
                </m:rPr>
                <m:t>⋅</m:t>
              </m:r>
              <m:sSub>
                <m:sSubPr/>
                <m:e>
                  <m:r>
                    <m:rPr>
                      <m:sty m:val="p"/>
                    </m:rPr>
                    <m:t>Γ</m:t>
                  </m:r>
                </m:e>
                <m:sub>
                  <m:r>
                    <m:rPr>
                      <m:sty m:val="p"/>
                    </m:rPr>
                    <m:t>sep</m:t>
                  </m:r>
                </m:sub>
              </m:sSub>
              <m:r>
                <m:rPr>
                  <m:sty m:val="p"/>
                </m:rPr>
                <m:t>)</m:t>
              </m:r>
            </m:den>
          </m:f>
          <m:r>
            <m:rPr>
              <m:sty m:val="p"/>
            </m:rPr>
            <m:t>&gt;</m:t>
          </m:r>
          <m:r>
            <m:rPr/>
            <m:t>1</m:t>
          </m:r>
        </m:oMath>
      </m:oMathPara>
      <w:r>
        <w:br w:type="textWrapping"/>
      </w:r>
      <w:r>
        <w:t xml:space="preserve">where </w:t>
      </w:r>
      <m:oMath>
        <m:sSub>
          <m:sSubPr/>
          <m:e>
            <m:r>
              <m:rPr/>
              <m:t>n</m:t>
            </m:r>
          </m:e>
          <m:sub>
            <m:r>
              <m:rPr/>
              <m:t>g</m:t>
            </m:r>
          </m:sub>
        </m:sSub>
      </m:oMath>
      <w:r>
        <w:t xml:space="preserve"> is the number density of separated gluons, </w:t>
      </w:r>
      <m:oMath>
        <m:sSub>
          <m:sSubPr/>
          <m:e>
            <m:r>
              <m:rPr/>
              <m:t>P</m:t>
            </m:r>
          </m:e>
          <m:sub>
            <m:r>
              <m:rPr>
                <m:sty m:val="p"/>
              </m:rPr>
              <m:t>ext</m:t>
            </m:r>
          </m:sub>
        </m:sSub>
      </m:oMath>
      <w:r>
        <w:t xml:space="preserve"> is the external input power, </w:t>
      </w:r>
      <m:oMath>
        <m:r>
          <m:rPr/>
          <m:t>V</m:t>
        </m:r>
      </m:oMath>
      <w:r>
        <w:t xml:space="preserve"> is the interaction volume, and </w:t>
      </w:r>
      <m:oMath>
        <m:sSub>
          <m:sSubPr/>
          <m:e>
            <m:r>
              <m:rPr>
                <m:sty m:val="p"/>
              </m:rPr>
              <m:t>Γ</m:t>
            </m:r>
          </m:e>
          <m:sub>
            <m:r>
              <m:rPr>
                <m:sty m:val="p"/>
              </m:rPr>
              <m:t>sep</m:t>
            </m:r>
          </m:sub>
        </m:sSub>
      </m:oMath>
      <w:r>
        <w:t xml:space="preserve"> is the separation rate. This formula provides clear target parameters for experimental design.</w:t>
      </w:r>
      <w:bookmarkEnd w:id="22"/>
      <w:bookmarkStart w:id="23" w:name="conclusion"/>
    </w:p>
    <w:p w14:paraId="0ED1BBC9">
      <w:pPr>
        <w:pStyle w:val="3"/>
        <w:rPr>
          <w:b/>
          <w:bCs/>
        </w:rPr>
      </w:pPr>
      <w:r>
        <w:rPr>
          <w:b/>
          <w:bCs/>
        </w:rPr>
        <w:t>7. Conclusion</w:t>
      </w:r>
    </w:p>
    <w:p w14:paraId="2423B899">
      <w:pPr>
        <w:pStyle w:val="4"/>
      </w:pPr>
      <w:r>
        <w:t>This paper successfully constructs the theoretical framework for quantum vacuum energy extraction as a mathematically self-consistent model. By strictly defining the field operator algebra, establishing closed dynamical equations (including partial differential equations, integral equations, and master equations), and explicitly satisfying energy conservation, the internal logical consistency of the theory is ensured. The group-theoretic description of the anti-gluon annihilation mechanism and the perturbative calculation of energy release provide a quantitative microscopic explanation of the phenomenon. The specific parameters and energy gain criteria provided transform this theory from a conceptual idea into a rigorous physical model that can be calculated, simulated, and experimentally tested.</w:t>
      </w:r>
    </w:p>
    <w:p w14:paraId="57BC8A87">
      <w:pPr>
        <w:pStyle w:val="5"/>
        <w:rPr>
          <w:sz w:val="24"/>
          <w:szCs w:val="24"/>
        </w:rPr>
      </w:pPr>
      <w:bookmarkStart w:id="24" w:name="references"/>
      <w:r>
        <w:rPr>
          <w:sz w:val="24"/>
          <w:szCs w:val="24"/>
        </w:rPr>
        <w:t>References</w:t>
      </w:r>
    </w:p>
    <w:p w14:paraId="60024C42">
      <w:pPr>
        <w:pStyle w:val="4"/>
        <w:ind w:left="0" w:leftChars="0" w:firstLine="0" w:firstLineChars="0"/>
      </w:pPr>
      <w:bookmarkStart w:id="25" w:name="_GoBack"/>
      <w:bookmarkEnd w:id="25"/>
      <w:r>
        <w:t>[1] Li, Z. J. Field Combination Wavefunction Theory: A Unified Framework. Preprint, 2023.</w:t>
      </w:r>
      <w:r>
        <w:br w:type="textWrapping"/>
      </w:r>
      <w:r>
        <w:t>[2] Weinberg, S. The Quantum Theory of Fields, Vol. 1. Cambridge University Press, 1995.</w:t>
      </w:r>
      <w:r>
        <w:br w:type="textWrapping"/>
      </w:r>
      <w:r>
        <w:t>[3] Breuer, H. P., Petruccione, F. The Theory of Open Quantum Systems. Oxford University Press, 2002.</w:t>
      </w:r>
      <w:r>
        <w:br w:type="textWrapping"/>
      </w:r>
      <w:r>
        <w:t>[4] Peskin, M. E., Schroeder, D. V. An Introduction to Quantum Field Theory. Westview Press, 1995.</w:t>
      </w:r>
      <w:r>
        <w:br w:type="textWrapping"/>
      </w:r>
      <w:r>
        <w:t>[5] Itzykson, C., Zuber, J. B. Quantum Field Theory. McGraw-Hill, 1980.</w:t>
      </w:r>
    </w:p>
    <w:bookmarkEnd w:id="23"/>
    <w:bookmarkEnd w:id="2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60C20A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570</Words>
  <Characters>3222</Characters>
  <Lines>30</Lines>
  <Paragraphs>8</Paragraphs>
  <TotalTime>79</TotalTime>
  <ScaleCrop>false</ScaleCrop>
  <LinksUpToDate>false</LinksUpToDate>
  <CharactersWithSpaces>3682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2026-01-01T14:05:00Z</dcterms:created>
  <dc:creator>迈斯纳效应</dc:creator>
  <cp:lastModifiedBy>迈斯纳效应</cp:lastModifiedBy>
  <dcterms:modified xsi:type="dcterms:W3CDTF">2026-01-01T14:13:30Z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F362A45BD35A43E2A2952E6B510035B4_12</vt:lpwstr>
  </property>
</Properties>
</file>