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FB31B">
      <w:pPr>
        <w:pStyle w:val="2"/>
      </w:pPr>
      <w:bookmarkStart w:id="0" w:name="X2742cfed76d23d9b8587ea2890911579694c329"/>
      <w:r>
        <w:t>B3</w:t>
      </w:r>
      <w:r>
        <w:rPr>
          <w:rFonts w:hint="eastAsia"/>
          <w:lang w:val="en-US" w:eastAsia="zh-CN"/>
        </w:rPr>
        <w:t>3</w:t>
      </w:r>
      <w:r>
        <w:t>: Mathematical Self-Consistent Model of Virtual Particle Field Combination Changes in FCWFT Vacuum Decay</w:t>
      </w:r>
    </w:p>
    <w:p w14:paraId="689C5302">
      <w:pPr>
        <w:pStyle w:val="5"/>
      </w:pPr>
      <w:bookmarkStart w:id="1" w:name="X5298c51fbf55c348fef02d86e9225fa91a3428b"/>
      <w:r>
        <w:t>Dimensional Transitions and Particle Spectrum Reconstruction Based on the 11-Dimensional Vacuum</w:t>
      </w:r>
    </w:p>
    <w:bookmarkEnd w:id="1"/>
    <w:p w14:paraId="36E4B6BB">
      <w:pPr>
        <w:pStyle w:val="4"/>
      </w:pPr>
      <w:bookmarkStart w:id="2" w:name="abstract"/>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5AA99A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48969A5A">
      <w:pPr>
        <w:pStyle w:val="5"/>
      </w:pPr>
      <w:bookmarkStart w:id="42" w:name="_GoBack"/>
      <w:bookmarkEnd w:id="42"/>
      <w:r>
        <w:t>Abstract</w:t>
      </w:r>
    </w:p>
    <w:p w14:paraId="53351944">
      <w:pPr>
        <w:pStyle w:val="4"/>
      </w:pPr>
      <w:r>
        <w:t>Based on the three-field axioms of Field Combination Wave Function Theory (FCWFT) — the A field (electromagnetic vortex field), the B field (chromatic vortex field), and the C field (Higgs vortex field) — and the dimensional reduction chain established in Document A1 (26D → 17D → 11D → 3D), this paper takes the current universe’s 11-dimensional vacuum (</w:t>
      </w:r>
      <m:oMath>
        <m:sSub>
          <m:sSubPr/>
          <m:e>
            <m:r>
              <m:rPr/>
              <m:t>d</m:t>
            </m:r>
          </m:e>
          <m:sub>
            <m:r>
              <m:rPr/>
              <m:t>A</m:t>
            </m:r>
          </m:sub>
        </m:sSub>
        <m:r>
          <m:rPr>
            <m:sty m:val="p"/>
          </m:rPr>
          <m:t>=</m:t>
        </m:r>
        <m:r>
          <m:rPr/>
          <m:t>1</m:t>
        </m:r>
        <m:r>
          <m:rPr>
            <m:sty m:val="p"/>
          </m:rPr>
          <m:t>,</m:t>
        </m:r>
        <m:sSub>
          <m:sSubPr/>
          <m:e>
            <m:r>
              <m:rPr/>
              <m:t>d</m:t>
            </m:r>
          </m:e>
          <m:sub>
            <m:r>
              <m:rPr/>
              <m:t>B</m:t>
            </m:r>
          </m:sub>
        </m:sSub>
        <m:r>
          <m:rPr>
            <m:sty m:val="p"/>
          </m:rPr>
          <m:t>=</m:t>
        </m:r>
        <m:r>
          <m:rPr/>
          <m:t>2</m:t>
        </m:r>
        <m:r>
          <m:rPr>
            <m:sty m:val="p"/>
          </m:rPr>
          <m:t>,</m:t>
        </m:r>
        <m:sSub>
          <m:sSubPr/>
          <m:e>
            <m:r>
              <m:rPr/>
              <m:t>d</m:t>
            </m:r>
          </m:e>
          <m:sub>
            <m:r>
              <m:rPr/>
              <m:t>C</m:t>
            </m:r>
          </m:sub>
        </m:sSub>
        <m:r>
          <m:rPr>
            <m:sty m:val="p"/>
          </m:rPr>
          <m:t>=</m:t>
        </m:r>
        <m:r>
          <m:rPr/>
          <m:t>1</m:t>
        </m:r>
      </m:oMath>
      <w:r>
        <w:t xml:space="preserve">) as the baseline and systematically investigates the changes in virtual particle field combinations during vacuum decay. By constructing the tensor product structure of the virtual particle Hilbert space and defining dimensional transition operators and field bifurcation operators, we rigorously derive the virtual particle spectrum reconstruction under three decay modes: (1) Locally excited decay (“holes” in the 11D vacuum), where virtual particles temporarily expand and transient combinations containing </w:t>
      </w:r>
      <m:oMath>
        <m:sSup>
          <m:sSupPr/>
          <m:e>
            <m:r>
              <m:rPr/>
              <m:t>C</m:t>
            </m:r>
          </m:e>
          <m:sup>
            <m:r>
              <m:rPr>
                <m:sty m:val="p"/>
              </m:rPr>
              <m:t>−</m:t>
            </m:r>
          </m:sup>
        </m:sSup>
      </m:oMath>
      <w:r>
        <w:t xml:space="preserve"> appear; (2) Global A-field bifurcation decay (11D → 17D), where the number of virtual particles increases from 9 to 13; (3) Full bipartite global decay (11D → 26D), where virtual particles remain at 13 while simultaneously activating 9 dark matter particles. This paper provides complete explicit transformation tables, transition matrix elements, and conservation law proofs for each decay mode, demonstrating full consistency with the ABC decomposition-recombination mechanism of B33 and the loop self-energy theory of B32. This model provides a rigorous mathematical foundation for understanding particle production in high-energy collisions, early universe phase transitions, and the origin of dark matter.</w:t>
      </w:r>
    </w:p>
    <w:p w14:paraId="4E349661">
      <w:pPr>
        <w:pStyle w:val="3"/>
      </w:pPr>
      <w:r>
        <w:rPr>
          <w:b/>
          <w:bCs/>
        </w:rPr>
        <w:t>Keywords:</w:t>
      </w:r>
      <w:r>
        <w:t xml:space="preserve"> FCWFT; B34; vacuum decay; virtual particles; 11-dimensional vacuum; dimensional transition; field bifurcation; dark matter activation</w:t>
      </w:r>
      <w:r>
        <w:br w:type="textWrapping"/>
      </w:r>
      <w:r>
        <w:rPr>
          <w:b/>
          <w:bCs/>
        </w:rPr>
        <w:t>PACS:</w:t>
      </w:r>
      <w:r>
        <w:t xml:space="preserve"> 11.25.-w, 04.50.-h, 02.40.-k, 12.90.+b</w:t>
      </w:r>
    </w:p>
    <w:bookmarkEnd w:id="2"/>
    <w:p w14:paraId="42CE9E96">
      <w:pPr>
        <w:pStyle w:val="5"/>
      </w:pPr>
      <w:bookmarkStart w:id="3" w:name="introduction"/>
      <w:r>
        <w:t>1 Introduction</w:t>
      </w:r>
    </w:p>
    <w:p w14:paraId="33F11517">
      <w:pPr>
        <w:pStyle w:val="6"/>
      </w:pPr>
      <w:bookmarkStart w:id="4" w:name="X76b31d910131e40762ccfc4e5a7cb81b226317d"/>
      <w:r>
        <w:t>1.1 The Three-Field Axioms of FCWFT and the Structure of the Vacuum</w:t>
      </w:r>
    </w:p>
    <w:p w14:paraId="4F755501">
      <w:pPr>
        <w:pStyle w:val="4"/>
      </w:pPr>
      <w:r>
        <w:t>FCWFT reduces the fundamental constituents of the universe to three orthogonal quantum vortex fields (A1 §2):</w:t>
      </w:r>
    </w:p>
    <w:p w14:paraId="62744AEC">
      <w:pPr>
        <w:pStyle w:val="26"/>
        <w:numPr>
          <w:ilvl w:val="0"/>
          <w:numId w:val="1"/>
        </w:numPr>
      </w:pPr>
      <w:r>
        <w:rPr>
          <w:b/>
          <w:bCs/>
        </w:rPr>
        <w:t>A field (electromagnetic vortex field):</w:t>
      </w:r>
      <w:r>
        <w:t xml:space="preserve"> Vector field, spin 1, endows particles with wave-like properties, propagates at constant speed </w:t>
      </w:r>
      <m:oMath>
        <m:r>
          <m:rPr/>
          <m:t>c</m:t>
        </m:r>
      </m:oMath>
      <w:r>
        <w:t>;</w:t>
      </w:r>
    </w:p>
    <w:p w14:paraId="6284CF3C">
      <w:pPr>
        <w:pStyle w:val="26"/>
        <w:numPr>
          <w:ilvl w:val="0"/>
          <w:numId w:val="1"/>
        </w:numPr>
      </w:pPr>
      <w:r>
        <w:rPr>
          <w:b/>
          <w:bCs/>
        </w:rPr>
        <w:t>B field (chromatic vortex field):</w:t>
      </w:r>
      <w:r>
        <w:t xml:space="preserve"> Spinor field, spin 1/2, carries color charge, weak charge, electric charge, and spin;</w:t>
      </w:r>
    </w:p>
    <w:p w14:paraId="2CBB7B56">
      <w:pPr>
        <w:pStyle w:val="26"/>
        <w:numPr>
          <w:ilvl w:val="0"/>
          <w:numId w:val="1"/>
        </w:numPr>
      </w:pPr>
      <w:r>
        <w:rPr>
          <w:b/>
          <w:bCs/>
        </w:rPr>
        <w:t>C field (Higgs vortex field):</w:t>
      </w:r>
      <w:r>
        <w:t xml:space="preserve"> Scalar field, spin 0, endows particles with momentum and particle nature (mass).</w:t>
      </w:r>
    </w:p>
    <w:p w14:paraId="514EF9F3">
      <w:pPr>
        <w:pStyle w:val="4"/>
      </w:pPr>
      <w:r>
        <w:t>The vacuum is not empty but a dynamic network composed of virtual excitations of these fields. Document A1 systematically establishes a particle classification system based on ABC field combinations and presents a complete dimensional reduction chain from 26-dimensional full bipartition to 3-dimensional unified field. Among these, the 11-dimensional vacuum (</w:t>
      </w:r>
      <m:oMath>
        <m:sSub>
          <m:sSubPr/>
          <m:e>
            <m:r>
              <m:rPr/>
              <m:t>d</m:t>
            </m:r>
          </m:e>
          <m:sub>
            <m:r>
              <m:rPr/>
              <m:t>A</m:t>
            </m:r>
          </m:sub>
        </m:sSub>
        <m:r>
          <m:rPr>
            <m:sty m:val="p"/>
          </m:rPr>
          <m:t>=</m:t>
        </m:r>
        <m:r>
          <m:rPr/>
          <m:t>1</m:t>
        </m:r>
        <m:r>
          <m:rPr>
            <m:sty m:val="p"/>
          </m:rPr>
          <m:t>,</m:t>
        </m:r>
        <m:sSub>
          <m:sSubPr/>
          <m:e>
            <m:r>
              <m:rPr/>
              <m:t>d</m:t>
            </m:r>
          </m:e>
          <m:sub>
            <m:r>
              <m:rPr/>
              <m:t>B</m:t>
            </m:r>
          </m:sub>
        </m:sSub>
        <m:r>
          <m:rPr>
            <m:sty m:val="p"/>
          </m:rPr>
          <m:t>=</m:t>
        </m:r>
        <m:r>
          <m:rPr/>
          <m:t>2</m:t>
        </m:r>
        <m:r>
          <m:rPr>
            <m:sty m:val="p"/>
          </m:rPr>
          <m:t>,</m:t>
        </m:r>
        <m:sSub>
          <m:sSubPr/>
          <m:e>
            <m:r>
              <m:rPr/>
              <m:t>d</m:t>
            </m:r>
          </m:e>
          <m:sub>
            <m:r>
              <m:rPr/>
              <m:t>C</m:t>
            </m:r>
          </m:sub>
        </m:sSub>
        <m:r>
          <m:rPr>
            <m:sty m:val="p"/>
          </m:rPr>
          <m:t>=</m:t>
        </m:r>
        <m:r>
          <m:rPr/>
          <m:t>1</m:t>
        </m:r>
      </m:oMath>
      <w:r>
        <w:t>) is the “working vacuum” in which our current universe resides, containing 9 stable virtual particles.</w:t>
      </w:r>
    </w:p>
    <w:bookmarkEnd w:id="4"/>
    <w:p w14:paraId="05E9E204">
      <w:pPr>
        <w:pStyle w:val="6"/>
      </w:pPr>
      <w:bookmarkStart w:id="5" w:name="physical-significance-of-vacuum-decay"/>
      <w:r>
        <w:t>1.2 Physical Significance of Vacuum Decay</w:t>
      </w:r>
    </w:p>
    <w:p w14:paraId="2A004DE5">
      <w:pPr>
        <w:pStyle w:val="4"/>
      </w:pPr>
      <w:r>
        <w:t>In FCWFT, vacuum decay is not the “false vacuum tunneling” of the Standard Model, but rather a reverse thawing process of frozen degrees of freedom. When sufficiently high energy density is injected externally, previously merged fields (such as the positive and negative components of the A field and the C field) re-bifurcate, causing local or global transitions in vacuum dimensionality. This mechanism provides a unified explanation for:</w:t>
      </w:r>
    </w:p>
    <w:p w14:paraId="026E467B">
      <w:pPr>
        <w:pStyle w:val="26"/>
        <w:numPr>
          <w:ilvl w:val="0"/>
          <w:numId w:val="1"/>
        </w:numPr>
      </w:pPr>
      <w:r>
        <w:t>Particle production in high-energy collisions (the ABC decomposition-recombination mechanism of B33);</w:t>
      </w:r>
    </w:p>
    <w:p w14:paraId="4CC967DE">
      <w:pPr>
        <w:pStyle w:val="26"/>
        <w:numPr>
          <w:ilvl w:val="0"/>
          <w:numId w:val="1"/>
        </w:numPr>
      </w:pPr>
      <w:r>
        <w:t>Phase transitions and inflation in the early universe;</w:t>
      </w:r>
    </w:p>
    <w:p w14:paraId="76B2E2CB">
      <w:pPr>
        <w:pStyle w:val="26"/>
        <w:numPr>
          <w:ilvl w:val="0"/>
          <w:numId w:val="1"/>
        </w:numPr>
      </w:pPr>
      <w:r>
        <w:t>Activation and decoupling of dark matter particles.</w:t>
      </w:r>
    </w:p>
    <w:bookmarkEnd w:id="5"/>
    <w:p w14:paraId="3C1A660C">
      <w:pPr>
        <w:pStyle w:val="6"/>
      </w:pPr>
      <w:bookmarkStart w:id="6" w:name="objectives-of-this-paper"/>
      <w:r>
        <w:t>1.3 Objectives of This Paper</w:t>
      </w:r>
    </w:p>
    <w:p w14:paraId="2FC113D4">
      <w:pPr>
        <w:pStyle w:val="26"/>
        <w:numPr>
          <w:ilvl w:val="0"/>
          <w:numId w:val="2"/>
        </w:numPr>
      </w:pPr>
      <w:r>
        <w:t>Establish a rigorous mathematical description of the virtual particle Hilbert space based on the 11-dimensional vacuum;</w:t>
      </w:r>
    </w:p>
    <w:p w14:paraId="2F78C45A">
      <w:pPr>
        <w:pStyle w:val="26"/>
        <w:numPr>
          <w:ilvl w:val="0"/>
          <w:numId w:val="2"/>
        </w:numPr>
      </w:pPr>
      <w:r>
        <w:t>Define the triggering conditions and transition operators for three decay modes;</w:t>
      </w:r>
    </w:p>
    <w:p w14:paraId="3095E611">
      <w:pPr>
        <w:pStyle w:val="26"/>
        <w:numPr>
          <w:ilvl w:val="0"/>
          <w:numId w:val="2"/>
        </w:numPr>
      </w:pPr>
      <w:r>
        <w:t>Calculate the changes in virtual particle field combinations for each mode and provide explicit spectral reconstructions;</w:t>
      </w:r>
    </w:p>
    <w:p w14:paraId="744E2B1E">
      <w:pPr>
        <w:pStyle w:val="26"/>
        <w:numPr>
          <w:ilvl w:val="0"/>
          <w:numId w:val="2"/>
        </w:numPr>
      </w:pPr>
      <w:r>
        <w:t>Prove conservation laws (energy, charge, topological charge) and derive testable predictions;</w:t>
      </w:r>
    </w:p>
    <w:p w14:paraId="65D2BE41">
      <w:pPr>
        <w:pStyle w:val="26"/>
        <w:numPr>
          <w:ilvl w:val="0"/>
          <w:numId w:val="2"/>
        </w:numPr>
      </w:pPr>
      <w:r>
        <w:t>Connect with existing research results within the FCWFT framework (A1, B32, B33) to achieve full theoretical self-consistency.</w:t>
      </w:r>
    </w:p>
    <w:bookmarkEnd w:id="3"/>
    <w:bookmarkEnd w:id="6"/>
    <w:p w14:paraId="21F84CB4">
      <w:pPr>
        <w:pStyle w:val="5"/>
      </w:pPr>
      <w:bookmarkStart w:id="7" w:name="X652c46155c06358407a859a3fea64700e00344e"/>
      <w:r>
        <w:t>2 Mathematical Description of the 11-Dimensional Vacuum</w:t>
      </w:r>
    </w:p>
    <w:p w14:paraId="7DA4F3E8">
      <w:pPr>
        <w:pStyle w:val="6"/>
      </w:pPr>
      <w:bookmarkStart w:id="8" w:name="X5dce75cbd0c8837ef29b12083f703700879add4"/>
      <w:r>
        <w:t>2.1 Dimensional Formula and Field Degrees of Freedom</w:t>
      </w:r>
    </w:p>
    <w:p w14:paraId="3A78BCF6">
      <w:pPr>
        <w:pStyle w:val="4"/>
      </w:pPr>
      <w:r>
        <w:t>According to A1 §3.1, the total number of dimensions is determined by the independent dimensions of each field:</w:t>
      </w:r>
    </w:p>
    <w:p w14:paraId="4848B643">
      <w:pPr>
        <w:pStyle w:val="3"/>
      </w:pPr>
      <m:oMathPara>
        <m:oMathParaPr>
          <m:jc m:val="center"/>
        </m:oMathParaPr>
        <m:oMath>
          <m:r>
            <m:rPr/>
            <m:t>D</m:t>
          </m:r>
          <m:r>
            <m:rPr>
              <m:sty m:val="p"/>
            </m:rPr>
            <m:t>=</m:t>
          </m:r>
          <m:sSub>
            <m:sSubPr/>
            <m:e>
              <m:r>
                <m:rPr/>
                <m:t>d</m:t>
              </m:r>
            </m:e>
            <m:sub>
              <m:r>
                <m:rPr/>
                <m:t>A</m:t>
              </m:r>
            </m:sub>
          </m:sSub>
          <m:r>
            <m:rPr>
              <m:sty m:val="p"/>
            </m:rPr>
            <m:t>+</m:t>
          </m:r>
          <m:sSub>
            <m:sSubPr/>
            <m:e>
              <m:r>
                <m:rPr/>
                <m:t>d</m:t>
              </m:r>
            </m:e>
            <m:sub>
              <m:r>
                <m:rPr/>
                <m:t>B</m:t>
              </m:r>
            </m:sub>
          </m:sSub>
          <m:r>
            <m:rPr>
              <m:sty m:val="p"/>
            </m:rPr>
            <m:t>+</m:t>
          </m:r>
          <m:sSub>
            <m:sSubPr/>
            <m:e>
              <m:r>
                <m:rPr/>
                <m:t>d</m:t>
              </m:r>
            </m:e>
            <m:sub>
              <m:r>
                <m:rPr/>
                <m:t>C</m:t>
              </m:r>
            </m:sub>
          </m:sSub>
          <m:r>
            <m:rPr>
              <m:sty m:val="p"/>
            </m:rPr>
            <m:t>+</m:t>
          </m:r>
          <m:sSub>
            <m:sSubPr/>
            <m:e>
              <m:r>
                <m:rPr/>
                <m:t>d</m:t>
              </m:r>
            </m:e>
            <m:sub>
              <m:r>
                <m:rPr/>
                <m:t>A</m:t>
              </m:r>
            </m:sub>
          </m:sSub>
          <m:sSub>
            <m:sSubPr/>
            <m:e>
              <m:r>
                <m:rPr/>
                <m:t>d</m:t>
              </m:r>
            </m:e>
            <m:sub>
              <m:r>
                <m:rPr/>
                <m:t>B</m:t>
              </m:r>
            </m:sub>
          </m:sSub>
          <m:r>
            <m:rPr>
              <m:sty m:val="p"/>
            </m:rPr>
            <m:t>+</m:t>
          </m:r>
          <m:sSub>
            <m:sSubPr/>
            <m:e>
              <m:r>
                <m:rPr/>
                <m:t>d</m:t>
              </m:r>
            </m:e>
            <m:sub>
              <m:r>
                <m:rPr/>
                <m:t>B</m:t>
              </m:r>
            </m:sub>
          </m:sSub>
          <m:sSub>
            <m:sSubPr/>
            <m:e>
              <m:r>
                <m:rPr/>
                <m:t>d</m:t>
              </m:r>
            </m:e>
            <m:sub>
              <m:r>
                <m:rPr/>
                <m:t>C</m:t>
              </m:r>
            </m:sub>
          </m:sSub>
          <m:r>
            <m:rPr>
              <m:sty m:val="p"/>
            </m:rPr>
            <m:t>+</m:t>
          </m:r>
          <m:sSub>
            <m:sSubPr/>
            <m:e>
              <m:r>
                <m:rPr/>
                <m:t>d</m:t>
              </m:r>
            </m:e>
            <m:sub>
              <m:r>
                <m:rPr/>
                <m:t>A</m:t>
              </m:r>
            </m:sub>
          </m:sSub>
          <m:sSub>
            <m:sSubPr/>
            <m:e>
              <m:r>
                <m:rPr/>
                <m:t>d</m:t>
              </m:r>
            </m:e>
            <m:sub>
              <m:r>
                <m:rPr/>
                <m:t>C</m:t>
              </m:r>
            </m:sub>
          </m:sSub>
          <m:r>
            <m:rPr>
              <m:sty m:val="p"/>
            </m:rPr>
            <m:t>+</m:t>
          </m:r>
          <m:sSub>
            <m:sSubPr/>
            <m:e>
              <m:r>
                <m:rPr/>
                <m:t>d</m:t>
              </m:r>
            </m:e>
            <m:sub>
              <m:r>
                <m:rPr/>
                <m:t>A</m:t>
              </m:r>
            </m:sub>
          </m:sSub>
          <m:sSub>
            <m:sSubPr/>
            <m:e>
              <m:r>
                <m:rPr/>
                <m:t>d</m:t>
              </m:r>
            </m:e>
            <m:sub>
              <m:r>
                <m:rPr/>
                <m:t>B</m:t>
              </m:r>
            </m:sub>
          </m:sSub>
          <m:sSub>
            <m:sSubPr/>
            <m:e>
              <m:r>
                <m:rPr/>
                <m:t>d</m:t>
              </m:r>
            </m:e>
            <m:sub>
              <m:r>
                <m:rPr/>
                <m:t>C</m:t>
              </m:r>
            </m:sub>
          </m:sSub>
        </m:oMath>
      </m:oMathPara>
    </w:p>
    <w:p w14:paraId="53F076BD">
      <w:pPr>
        <w:pStyle w:val="4"/>
      </w:pPr>
      <w:r>
        <w:t xml:space="preserve">For the 11-dimensional vacuum: </w:t>
      </w:r>
      <m:oMath>
        <m:sSub>
          <m:sSubPr/>
          <m:e>
            <m:r>
              <m:rPr/>
              <m:t>d</m:t>
            </m:r>
          </m:e>
          <m:sub>
            <m:r>
              <m:rPr/>
              <m:t>A</m:t>
            </m:r>
          </m:sub>
        </m:sSub>
        <m:r>
          <m:rPr>
            <m:sty m:val="p"/>
          </m:rPr>
          <m:t>=</m:t>
        </m:r>
        <m:r>
          <m:rPr/>
          <m:t>1</m:t>
        </m:r>
        <m:r>
          <m:rPr>
            <m:sty m:val="p"/>
          </m:rPr>
          <m:t>,</m:t>
        </m:r>
        <m:r>
          <m:rPr/>
          <m:t> </m:t>
        </m:r>
        <m:sSub>
          <m:sSubPr/>
          <m:e>
            <m:r>
              <m:rPr/>
              <m:t>d</m:t>
            </m:r>
          </m:e>
          <m:sub>
            <m:r>
              <m:rPr/>
              <m:t>B</m:t>
            </m:r>
          </m:sub>
        </m:sSub>
        <m:r>
          <m:rPr>
            <m:sty m:val="p"/>
          </m:rPr>
          <m:t>=</m:t>
        </m:r>
        <m:r>
          <m:rPr/>
          <m:t>2</m:t>
        </m:r>
        <m:r>
          <m:rPr>
            <m:sty m:val="p"/>
          </m:rPr>
          <m:t>,</m:t>
        </m:r>
        <m:r>
          <m:rPr/>
          <m:t> </m:t>
        </m:r>
        <m:sSub>
          <m:sSubPr/>
          <m:e>
            <m:r>
              <m:rPr/>
              <m:t>d</m:t>
            </m:r>
          </m:e>
          <m:sub>
            <m:r>
              <m:rPr/>
              <m:t>C</m:t>
            </m:r>
          </m:sub>
        </m:sSub>
        <m:r>
          <m:rPr>
            <m:sty m:val="p"/>
          </m:rPr>
          <m:t>=</m:t>
        </m:r>
        <m:r>
          <m:rPr/>
          <m:t>1</m:t>
        </m:r>
        <m:r>
          <m:rPr>
            <m:sty m:val="p"/>
          </m:rPr>
          <m:t>,</m:t>
        </m:r>
      </m:oMath>
      <w:r>
        <w:t xml:space="preserve"> substitution yields </w:t>
      </w:r>
      <m:oMath>
        <m:r>
          <m:rPr/>
          <m:t>D</m:t>
        </m:r>
        <m:r>
          <m:rPr>
            <m:sty m:val="p"/>
          </m:rPr>
          <m:t>=</m:t>
        </m:r>
        <m:r>
          <m:rPr/>
          <m:t>1</m:t>
        </m:r>
        <m:r>
          <m:rPr>
            <m:sty m:val="p"/>
          </m:rPr>
          <m:t>+</m:t>
        </m:r>
        <m:r>
          <m:rPr/>
          <m:t>2</m:t>
        </m:r>
        <m:r>
          <m:rPr>
            <m:sty m:val="p"/>
          </m:rPr>
          <m:t>+</m:t>
        </m:r>
        <m:r>
          <m:rPr/>
          <m:t>1</m:t>
        </m:r>
        <m:r>
          <m:rPr>
            <m:sty m:val="p"/>
          </m:rPr>
          <m:t>+</m:t>
        </m:r>
        <m:r>
          <m:rPr/>
          <m:t>2</m:t>
        </m:r>
        <m:r>
          <m:rPr>
            <m:sty m:val="p"/>
          </m:rPr>
          <m:t>+</m:t>
        </m:r>
        <m:r>
          <m:rPr/>
          <m:t>2</m:t>
        </m:r>
        <m:r>
          <m:rPr>
            <m:sty m:val="p"/>
          </m:rPr>
          <m:t>+</m:t>
        </m:r>
        <m:r>
          <m:rPr/>
          <m:t>1</m:t>
        </m:r>
        <m:r>
          <m:rPr>
            <m:sty m:val="p"/>
          </m:rPr>
          <m:t>+</m:t>
        </m:r>
        <m:r>
          <m:rPr/>
          <m:t>2</m:t>
        </m:r>
        <m:r>
          <m:rPr>
            <m:sty m:val="p"/>
          </m:rPr>
          <m:t>=</m:t>
        </m:r>
        <m:r>
          <m:rPr/>
          <m:t>11</m:t>
        </m:r>
      </m:oMath>
      <w:r>
        <w:t>, which is self-consistent.</w:t>
      </w:r>
    </w:p>
    <w:p w14:paraId="6D97FC93">
      <w:pPr>
        <w:pStyle w:val="3"/>
      </w:pPr>
      <w:r>
        <w:t>Allocation of field degrees of freedom:</w:t>
      </w:r>
    </w:p>
    <w:p w14:paraId="5655A86B">
      <w:pPr>
        <w:pStyle w:val="26"/>
        <w:numPr>
          <w:ilvl w:val="0"/>
          <w:numId w:val="1"/>
        </w:numPr>
      </w:pPr>
      <w:r>
        <w:rPr>
          <w:b/>
          <w:bCs/>
        </w:rPr>
        <w:t>A field:</w:t>
      </w:r>
      <w:r>
        <w:t xml:space="preserve"> 1 degree of freedom (positive and negative components merged, denoted as </w:t>
      </w:r>
      <m:oMath>
        <m:sSup>
          <m:sSupPr/>
          <m:e>
            <m:r>
              <m:rPr/>
              <m:t>A</m:t>
            </m:r>
          </m:e>
          <m:sup>
            <m:r>
              <m:rPr/>
              <m:t>0</m:t>
            </m:r>
          </m:sup>
        </m:sSup>
      </m:oMath>
      <w:r>
        <w:t>);</w:t>
      </w:r>
    </w:p>
    <w:p w14:paraId="0D4A8A34">
      <w:pPr>
        <w:pStyle w:val="26"/>
        <w:numPr>
          <w:ilvl w:val="0"/>
          <w:numId w:val="1"/>
        </w:numPr>
      </w:pPr>
      <w:r>
        <w:rPr>
          <w:b/>
          <w:bCs/>
        </w:rPr>
        <w:t>B field:</w:t>
      </w:r>
      <w:r>
        <w:t xml:space="preserve"> 2 degrees of freedom (</w:t>
      </w:r>
      <m:oMath>
        <m:sSup>
          <m:sSupPr/>
          <m:e>
            <m:r>
              <m:rPr/>
              <m:t>B</m:t>
            </m:r>
          </m:e>
          <m:sup>
            <m:r>
              <m:rPr>
                <m:sty m:val="p"/>
              </m:rPr>
              <m:t>+</m:t>
            </m:r>
          </m:sup>
        </m:sSup>
      </m:oMath>
      <w:r>
        <w:t xml:space="preserve"> and </w:t>
      </w:r>
      <m:oMath>
        <m:sSup>
          <m:sSupPr/>
          <m:e>
            <m:r>
              <m:rPr/>
              <m:t>B</m:t>
            </m:r>
          </m:e>
          <m:sup>
            <m:r>
              <m:rPr>
                <m:sty m:val="p"/>
              </m:rPr>
              <m:t>−</m:t>
            </m:r>
          </m:sup>
        </m:sSup>
      </m:oMath>
      <w:r>
        <w:t>);</w:t>
      </w:r>
    </w:p>
    <w:p w14:paraId="0D79AD94">
      <w:pPr>
        <w:pStyle w:val="26"/>
        <w:numPr>
          <w:ilvl w:val="0"/>
          <w:numId w:val="1"/>
        </w:numPr>
      </w:pPr>
      <w:r>
        <w:rPr>
          <w:b/>
          <w:bCs/>
        </w:rPr>
        <w:t>C field:</w:t>
      </w:r>
      <w:r>
        <w:t xml:space="preserve"> 1 degree of freedom (positive and negative components merged; </w:t>
      </w:r>
      <m:oMath>
        <m:sSup>
          <m:sSupPr/>
          <m:e>
            <m:r>
              <m:rPr/>
              <m:t>C</m:t>
            </m:r>
          </m:e>
          <m:sup>
            <m:r>
              <m:rPr>
                <m:sty m:val="p"/>
              </m:rPr>
              <m:t>+</m:t>
            </m:r>
          </m:sup>
        </m:sSup>
      </m:oMath>
      <w:r>
        <w:t xml:space="preserve"> exists as a positive mass excitation, while </w:t>
      </w:r>
      <m:oMath>
        <m:sSup>
          <m:sSupPr/>
          <m:e>
            <m:r>
              <m:rPr/>
              <m:t>C</m:t>
            </m:r>
          </m:e>
          <m:sup>
            <m:r>
              <m:rPr>
                <m:sty m:val="p"/>
              </m:rPr>
              <m:t>−</m:t>
            </m:r>
          </m:sup>
        </m:sSup>
      </m:oMath>
      <w:r>
        <w:t xml:space="preserve"> is frozen and disappears in the 11D vacuum, denoted as </w:t>
      </w:r>
      <m:oMath>
        <m:sSup>
          <m:sSupPr/>
          <m:e>
            <m:r>
              <m:rPr/>
              <m:t>C</m:t>
            </m:r>
          </m:e>
          <m:sup>
            <m:r>
              <m:rPr>
                <m:sty m:val="p"/>
              </m:rPr>
              <m:t>+</m:t>
            </m:r>
          </m:sup>
        </m:sSup>
      </m:oMath>
      <w:r>
        <w:t>).</w:t>
      </w:r>
    </w:p>
    <w:bookmarkEnd w:id="8"/>
    <w:p w14:paraId="6DEB39B7">
      <w:pPr>
        <w:pStyle w:val="6"/>
      </w:pPr>
      <w:bookmarkStart w:id="9" w:name="virtual-particle-hilbert-space"/>
      <w:r>
        <w:t>2.2 Virtual Particle Hilbert Space</w:t>
      </w:r>
    </w:p>
    <w:p w14:paraId="4B4D2559">
      <w:pPr>
        <w:pStyle w:val="4"/>
      </w:pPr>
      <w:r>
        <w:t xml:space="preserve">Define the virtual particle Hilbert space </w:t>
      </w:r>
      <m:oMath>
        <m:sSubSup>
          <m:sSubSupPr/>
          <m:e>
            <m:r>
              <m:rPr>
                <m:sty m:val="p"/>
                <m:scr m:val="script"/>
              </m:rPr>
              <m:t>ℋ</m:t>
            </m:r>
          </m:e>
          <m:sub>
            <m:r>
              <m:rPr>
                <m:sty m:val="p"/>
              </m:rPr>
              <m:t>vac</m:t>
            </m:r>
          </m:sub>
          <m:sup>
            <m:r>
              <m:rPr>
                <m:sty m:val="p"/>
              </m:rPr>
              <m:t>(</m:t>
            </m:r>
            <m:r>
              <m:rPr/>
              <m:t>11</m:t>
            </m:r>
            <m:r>
              <m:rPr>
                <m:sty m:val="p"/>
              </m:rPr>
              <m:t>)</m:t>
            </m:r>
          </m:sup>
        </m:sSubSup>
      </m:oMath>
      <w:r>
        <w:t>, whose basis vectors consist of all possible single-field and two-field combinations. According to A1 §3.4.4 (corrected to 11 dimensions), the basis vectors are:</w:t>
      </w:r>
    </w:p>
    <w:p w14:paraId="794ABB06">
      <w:pPr>
        <w:pStyle w:val="3"/>
      </w:pPr>
      <m:oMathPara>
        <m:oMathParaPr>
          <m:jc m:val="center"/>
        </m:oMathParaPr>
        <m:oMath>
          <m:eqArr>
            <m:eqArrPr/>
            <m:e>
              <m:sSubSup>
                <m:sSubSupPr/>
                <m:e>
                  <m:r>
                    <m:rPr>
                      <m:sty m:val="p"/>
                      <m:scr m:val="script"/>
                    </m:rPr>
                    <m:t>ℋ</m:t>
                  </m:r>
                </m:e>
                <m:sub>
                  <m:r>
                    <m:rPr>
                      <m:sty m:val="p"/>
                    </m:rPr>
                    <m:t>vac</m:t>
                  </m:r>
                </m:sub>
                <m:sup>
                  <m:r>
                    <m:rPr>
                      <m:sty m:val="p"/>
                    </m:rPr>
                    <m:t>(</m:t>
                  </m:r>
                  <m:r>
                    <m:rPr/>
                    <m:t>11</m:t>
                  </m:r>
                  <m:r>
                    <m:rPr>
                      <m:sty m:val="p"/>
                    </m:rPr>
                    <m:t>)</m:t>
                  </m:r>
                </m:sup>
              </m:sSubSup>
              <m:r>
                <m:rPr>
                  <m:sty m:val="p"/>
                </m:rPr>
                <m:t>=</m:t>
              </m:r>
              <m:r>
                <m:rPr/>
                <m:t>&amp; </m:t>
              </m:r>
              <m:r>
                <m:rPr>
                  <m:sty m:val="p"/>
                </m:rPr>
                <m:t>span{|</m:t>
              </m:r>
              <m:r>
                <m:rPr/>
                <m:t>A</m:t>
              </m:r>
              <m:r>
                <m:rPr>
                  <m:sty m:val="p"/>
                </m:rPr>
                <m:t>⟩,</m:t>
              </m:r>
              <m:r>
                <m:rPr/>
                <m:t> </m:t>
              </m:r>
              <m:r>
                <m:rPr>
                  <m:sty m:val="p"/>
                </m:rPr>
                <m:t>|</m:t>
              </m:r>
              <m:sSup>
                <m:sSupPr/>
                <m:e>
                  <m:r>
                    <m:rPr/>
                    <m:t>B</m:t>
                  </m:r>
                </m:e>
                <m:sup>
                  <m:r>
                    <m:rPr>
                      <m:sty m:val="p"/>
                    </m:rPr>
                    <m:t>+</m:t>
                  </m:r>
                </m:sup>
              </m:sSup>
              <m:r>
                <m:rPr>
                  <m:sty m:val="p"/>
                </m:rPr>
                <m:t>⟩,</m:t>
              </m:r>
              <m:r>
                <m:rPr/>
                <m:t> </m:t>
              </m:r>
              <m:r>
                <m:rPr>
                  <m:sty m:val="p"/>
                </m:rPr>
                <m:t>|</m:t>
              </m:r>
              <m:sSup>
                <m:sSupPr/>
                <m:e>
                  <m:r>
                    <m:rPr/>
                    <m:t>B</m:t>
                  </m:r>
                </m:e>
                <m:sup>
                  <m:r>
                    <m:rPr>
                      <m:sty m:val="p"/>
                    </m:rPr>
                    <m:t>−</m:t>
                  </m:r>
                </m:sup>
              </m:sSup>
              <m:r>
                <m:rPr>
                  <m:sty m:val="p"/>
                </m:rPr>
                <m:t>⟩,</m:t>
              </m:r>
              <m:r>
                <m:rPr/>
                <m:t> </m:t>
              </m:r>
              <m:r>
                <m:rPr>
                  <m:sty m:val="p"/>
                </m:rPr>
                <m:t>|</m:t>
              </m:r>
              <m:sSup>
                <m:sSupPr/>
                <m:e>
                  <m:r>
                    <m:rPr/>
                    <m:t>C</m:t>
                  </m:r>
                </m:e>
                <m:sup>
                  <m:r>
                    <m:rPr>
                      <m:sty m:val="p"/>
                    </m:rPr>
                    <m:t>+</m:t>
                  </m:r>
                </m:sup>
              </m:sSup>
              <m:r>
                <m:rPr>
                  <m:sty m:val="p"/>
                </m:rPr>
                <m:t>⟩,</m:t>
              </m:r>
            </m:e>
            <m:e>
              <m:r>
                <m:rPr/>
                <m:t>&amp; </m:t>
              </m:r>
              <m:r>
                <m:rPr>
                  <m:sty m:val="p"/>
                </m:rPr>
                <m:t>|</m:t>
              </m:r>
              <m:r>
                <m:rPr/>
                <m:t>A</m:t>
              </m:r>
              <m:sSup>
                <m:sSupPr/>
                <m:e>
                  <m:r>
                    <m:rPr/>
                    <m:t>B</m:t>
                  </m:r>
                </m:e>
                <m:sup>
                  <m:r>
                    <m:rPr>
                      <m:sty m:val="p"/>
                    </m:rPr>
                    <m:t>+</m:t>
                  </m:r>
                </m:sup>
              </m:sSup>
              <m:r>
                <m:rPr>
                  <m:sty m:val="p"/>
                </m:rPr>
                <m:t>⟩,</m:t>
              </m:r>
              <m:r>
                <m:rPr/>
                <m:t> </m:t>
              </m:r>
              <m:r>
                <m:rPr>
                  <m:sty m:val="p"/>
                </m:rPr>
                <m:t>|</m:t>
              </m:r>
              <m:r>
                <m:rPr/>
                <m:t>A</m:t>
              </m:r>
              <m:sSup>
                <m:sSupPr/>
                <m:e>
                  <m:r>
                    <m:rPr/>
                    <m:t>B</m:t>
                  </m:r>
                </m:e>
                <m:sup>
                  <m:r>
                    <m:rPr>
                      <m:sty m:val="p"/>
                    </m:rPr>
                    <m:t>−</m:t>
                  </m:r>
                </m:sup>
              </m:sSup>
              <m:r>
                <m:rPr>
                  <m:sty m:val="p"/>
                </m:rPr>
                <m:t>⟩,</m:t>
              </m:r>
              <m:r>
                <m:rPr/>
                <m:t> </m:t>
              </m:r>
              <m:r>
                <m:rPr>
                  <m:sty m:val="p"/>
                </m:rPr>
                <m:t>|</m:t>
              </m:r>
              <m:r>
                <m:rPr/>
                <m:t>A</m:t>
              </m:r>
              <m:sSup>
                <m:sSupPr/>
                <m:e>
                  <m:r>
                    <m:rPr/>
                    <m:t>C</m:t>
                  </m:r>
                </m:e>
                <m:sup>
                  <m:r>
                    <m:rPr>
                      <m:sty m:val="p"/>
                    </m:rPr>
                    <m:t>+</m:t>
                  </m:r>
                </m:sup>
              </m:sSup>
              <m:r>
                <m:rPr>
                  <m:sty m:val="p"/>
                </m:rPr>
                <m:t>⟩,</m:t>
              </m:r>
              <m:r>
                <m:rPr/>
                <m:t> </m:t>
              </m:r>
              <m:r>
                <m:rPr>
                  <m:sty m:val="p"/>
                </m:rPr>
                <m:t>|</m:t>
              </m:r>
              <m:sSup>
                <m:sSupPr/>
                <m:e>
                  <m:r>
                    <m:rPr/>
                    <m:t>B</m:t>
                  </m:r>
                </m:e>
                <m:sup>
                  <m:r>
                    <m:rPr>
                      <m:sty m:val="p"/>
                    </m:rPr>
                    <m:t>+</m:t>
                  </m:r>
                </m:sup>
              </m:sSup>
              <m:sSup>
                <m:sSupPr/>
                <m:e>
                  <m:r>
                    <m:rPr/>
                    <m:t>C</m:t>
                  </m:r>
                </m:e>
                <m:sup>
                  <m:r>
                    <m:rPr>
                      <m:sty m:val="p"/>
                    </m:rPr>
                    <m:t>+</m:t>
                  </m:r>
                </m:sup>
              </m:sSup>
              <m:r>
                <m:rPr>
                  <m:sty m:val="p"/>
                </m:rPr>
                <m:t>⟩,</m:t>
              </m:r>
              <m:r>
                <m:rPr/>
                <m:t> </m:t>
              </m:r>
              <m:r>
                <m:rPr>
                  <m:sty m:val="p"/>
                </m:rPr>
                <m:t>|</m:t>
              </m:r>
              <m:sSup>
                <m:sSupPr/>
                <m:e>
                  <m:r>
                    <m:rPr/>
                    <m:t>B</m:t>
                  </m:r>
                </m:e>
                <m:sup>
                  <m:r>
                    <m:rPr>
                      <m:sty m:val="p"/>
                    </m:rPr>
                    <m:t>−</m:t>
                  </m:r>
                </m:sup>
              </m:sSup>
              <m:sSup>
                <m:sSupPr/>
                <m:e>
                  <m:r>
                    <m:rPr/>
                    <m:t>C</m:t>
                  </m:r>
                </m:e>
                <m:sup>
                  <m:r>
                    <m:rPr>
                      <m:sty m:val="p"/>
                    </m:rPr>
                    <m:t>+</m:t>
                  </m:r>
                </m:sup>
              </m:sSup>
              <m:r>
                <m:rPr>
                  <m:sty m:val="p"/>
                </m:rPr>
                <m:t>⟩}</m:t>
              </m:r>
            </m:e>
          </m:eqArr>
        </m:oMath>
      </m:oMathPara>
    </w:p>
    <w:p w14:paraId="5AD23013">
      <w:pPr>
        <w:pStyle w:val="4"/>
      </w:pPr>
      <w:r>
        <w:t xml:space="preserve">Each basis vector corresponds to a field combination operator acting on the vacuum ground state </w:t>
      </w:r>
      <m:oMath>
        <m:r>
          <m:rPr>
            <m:sty m:val="p"/>
          </m:rPr>
          <m:t>|</m:t>
        </m:r>
        <m:r>
          <m:rPr/>
          <m:t>0</m:t>
        </m:r>
        <m:r>
          <m:rPr>
            <m:sty m:val="p"/>
          </m:rPr>
          <m:t>⟩</m:t>
        </m:r>
      </m:oMath>
      <w:r>
        <w:t>:</w:t>
      </w:r>
    </w:p>
    <w:p w14:paraId="059CEFB7">
      <w:pPr>
        <w:pStyle w:val="3"/>
      </w:pPr>
      <m:oMathPara>
        <m:oMathParaPr>
          <m:jc m:val="center"/>
        </m:oMathParaPr>
        <m:oMath>
          <m:r>
            <m:rPr>
              <m:sty m:val="p"/>
            </m:rPr>
            <m:t>|</m:t>
          </m:r>
          <m:r>
            <m:rPr/>
            <m:t>ϕ</m:t>
          </m:r>
          <m:r>
            <m:rPr>
              <m:sty m:val="p"/>
            </m:rPr>
            <m:t>⟩=</m:t>
          </m:r>
          <m:sSup>
            <m:sSupPr/>
            <m:e>
              <m:acc>
                <m:accPr/>
                <m:e>
                  <m:r>
                    <m:rPr/>
                    <m:t>ϕ</m:t>
                  </m:r>
                </m:e>
              </m:acc>
            </m:e>
            <m:sup>
              <m:r>
                <m:rPr>
                  <m:sty m:val="p"/>
                </m:rPr>
                <m:t>†</m:t>
              </m:r>
            </m:sup>
          </m:sSup>
          <m:r>
            <m:rPr>
              <m:sty m:val="p"/>
            </m:rPr>
            <m:t>|</m:t>
          </m:r>
          <m:r>
            <m:rPr/>
            <m:t>0</m:t>
          </m:r>
          <m:r>
            <m:rPr>
              <m:sty m:val="p"/>
            </m:rPr>
            <m:t>⟩,</m:t>
          </m:r>
          <m:r>
            <m:rPr/>
            <m:t> ϕ</m:t>
          </m:r>
          <m:r>
            <m:rPr>
              <m:sty m:val="p"/>
            </m:rPr>
            <m:t>∈{</m:t>
          </m:r>
          <m:r>
            <m:rPr/>
            <m:t>A</m:t>
          </m:r>
          <m:r>
            <m:rPr>
              <m:sty m:val="p"/>
            </m:rPr>
            <m:t>,</m:t>
          </m:r>
          <m:sSup>
            <m:sSupPr/>
            <m:e>
              <m:r>
                <m:rPr/>
                <m:t>B</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r>
            <m:rPr>
              <m:sty m:val="p"/>
            </m:rPr>
            <m:t>,</m:t>
          </m:r>
          <m:r>
            <m:rPr/>
            <m:t>A</m:t>
          </m:r>
          <m:sSup>
            <m:sSupPr/>
            <m:e>
              <m:r>
                <m:rPr/>
                <m:t>B</m:t>
              </m:r>
            </m:e>
            <m:sup>
              <m:r>
                <m:rPr>
                  <m:sty m:val="p"/>
                </m:rPr>
                <m:t>+</m:t>
              </m:r>
            </m:sup>
          </m:sSup>
          <m:r>
            <m:rPr>
              <m:sty m:val="p"/>
            </m:rPr>
            <m:t>,</m:t>
          </m:r>
          <m:r>
            <m:rPr/>
            <m:t>A</m:t>
          </m:r>
          <m:sSup>
            <m:sSupPr/>
            <m:e>
              <m:r>
                <m:rPr/>
                <m:t>B</m:t>
              </m:r>
            </m:e>
            <m:sup>
              <m:r>
                <m:rPr>
                  <m:sty m:val="p"/>
                </m:rPr>
                <m:t>−</m:t>
              </m:r>
            </m:sup>
          </m:sSup>
          <m:r>
            <m:rPr>
              <m:sty m:val="p"/>
            </m:rPr>
            <m:t>,</m:t>
          </m:r>
          <m:r>
            <m:rPr/>
            <m:t>A</m:t>
          </m:r>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oMath>
      </m:oMathPara>
    </w:p>
    <w:bookmarkEnd w:id="9"/>
    <w:p w14:paraId="79FF4F7D">
      <w:pPr>
        <w:pStyle w:val="6"/>
      </w:pPr>
      <w:bookmarkStart w:id="10" w:name="Xd163e1433e96d78eda956422cfaa148c307ca36"/>
      <w:r>
        <w:t>2.3 Vacuum Expectation Values and Fluctuations</w:t>
      </w:r>
    </w:p>
    <w:p w14:paraId="67183CC3">
      <w:pPr>
        <w:pStyle w:val="4"/>
      </w:pPr>
      <w:r>
        <w:t xml:space="preserve">The vacuum ground state </w:t>
      </w:r>
      <m:oMath>
        <m:r>
          <m:rPr>
            <m:sty m:val="p"/>
          </m:rPr>
          <m:t>|</m:t>
        </m:r>
        <m:r>
          <m:rPr/>
          <m:t>0</m:t>
        </m:r>
        <m:r>
          <m:rPr>
            <m:sty m:val="p"/>
          </m:rPr>
          <m:t>⟩</m:t>
        </m:r>
      </m:oMath>
      <w:r>
        <w:t xml:space="preserve"> satisfies </w:t>
      </w:r>
      <m:oMath>
        <m:acc>
          <m:accPr/>
          <m:e>
            <m:r>
              <m:rPr/>
              <m:t>ϕ</m:t>
            </m:r>
          </m:e>
        </m:acc>
        <m:r>
          <m:rPr>
            <m:sty m:val="p"/>
          </m:rPr>
          <m:t>|</m:t>
        </m:r>
        <m:r>
          <m:rPr/>
          <m:t>0</m:t>
        </m:r>
        <m:r>
          <m:rPr>
            <m:sty m:val="p"/>
          </m:rPr>
          <m:t>⟩=</m:t>
        </m:r>
        <m:r>
          <m:rPr/>
          <m:t>0</m:t>
        </m:r>
      </m:oMath>
      <w:r>
        <w:t xml:space="preserve"> for all field operators. The creation and annihilation of virtual particles are driven by interaction terms in the Hamiltonian. Under the 11-dimensional vacuum, the effective Hamiltonian is:</w:t>
      </w:r>
    </w:p>
    <w:p w14:paraId="1C30E7C5">
      <w:pPr>
        <w:pStyle w:val="3"/>
      </w:pPr>
      <m:oMathPara>
        <m:oMathParaPr>
          <m:jc m:val="center"/>
        </m:oMathParaPr>
        <m:oMath>
          <m:sSubSup>
            <m:sSubSupPr/>
            <m:e>
              <m:acc>
                <m:accPr/>
                <m:e>
                  <m:r>
                    <m:rPr/>
                    <m:t>H</m:t>
                  </m:r>
                </m:e>
              </m:acc>
            </m:e>
            <m:sub>
              <m:r>
                <m:rPr>
                  <m:sty m:val="p"/>
                </m:rPr>
                <m:t>vac</m:t>
              </m:r>
            </m:sub>
            <m:sup>
              <m:r>
                <m:rPr>
                  <m:sty m:val="p"/>
                </m:rPr>
                <m:t>(</m:t>
              </m:r>
              <m:r>
                <m:rPr/>
                <m:t>11</m:t>
              </m:r>
              <m:r>
                <m:rPr>
                  <m:sty m:val="p"/>
                </m:rPr>
                <m:t>)</m:t>
              </m:r>
            </m:sup>
          </m:sSubSup>
          <m:r>
            <m:rPr>
              <m:sty m:val="p"/>
            </m:rPr>
            <m:t>=</m:t>
          </m:r>
          <m:nary>
            <m:naryPr>
              <m:chr m:val="∑"/>
              <m:limLoc m:val="undOvr"/>
              <m:supHide m:val="1"/>
            </m:naryPr>
            <m:sub>
              <m:r>
                <m:rPr/>
                <m:t>ϕ</m:t>
              </m:r>
            </m:sub>
            <m:sup>
              <m:r>
                <m:rPr/>
                <m:t>​</m:t>
              </m:r>
            </m:sup>
            <m:e>
              <m:sSub>
                <m:sSubPr/>
                <m:e>
                  <m:r>
                    <m:rPr/>
                    <m:t>ω</m:t>
                  </m:r>
                </m:e>
                <m:sub>
                  <m:r>
                    <m:rPr/>
                    <m:t>ϕ</m:t>
                  </m:r>
                </m:sub>
              </m:sSub>
            </m:e>
          </m:nary>
          <m:sSup>
            <m:sSupPr/>
            <m:e>
              <m:acc>
                <m:accPr/>
                <m:e>
                  <m:r>
                    <m:rPr/>
                    <m:t>ϕ</m:t>
                  </m:r>
                </m:e>
              </m:acc>
            </m:e>
            <m:sup>
              <m:r>
                <m:rPr>
                  <m:sty m:val="p"/>
                </m:rPr>
                <m:t>†</m:t>
              </m:r>
            </m:sup>
          </m:sSup>
          <m:acc>
            <m:accPr/>
            <m:e>
              <m:r>
                <m:rPr/>
                <m:t>ϕ</m:t>
              </m:r>
            </m:e>
          </m:acc>
          <m:r>
            <m:rPr>
              <m:sty m:val="p"/>
            </m:rPr>
            <m:t>+</m:t>
          </m:r>
          <m:sSubSup>
            <m:sSubSupPr/>
            <m:e>
              <m:acc>
                <m:accPr/>
                <m:e>
                  <m:r>
                    <m:rPr/>
                    <m:t>H</m:t>
                  </m:r>
                </m:e>
              </m:acc>
            </m:e>
            <m:sub>
              <m:r>
                <m:rPr>
                  <m:sty m:val="p"/>
                </m:rPr>
                <m:t>int</m:t>
              </m:r>
            </m:sub>
            <m:sup>
              <m:r>
                <m:rPr>
                  <m:sty m:val="p"/>
                </m:rPr>
                <m:t>(</m:t>
              </m:r>
              <m:r>
                <m:rPr/>
                <m:t>11</m:t>
              </m:r>
              <m:r>
                <m:rPr>
                  <m:sty m:val="p"/>
                </m:rPr>
                <m:t>)</m:t>
              </m:r>
            </m:sup>
          </m:sSubSup>
        </m:oMath>
      </m:oMathPara>
    </w:p>
    <w:p w14:paraId="0013AD7F">
      <w:pPr>
        <w:pStyle w:val="4"/>
      </w:pPr>
      <w:r>
        <w:t xml:space="preserve">where </w:t>
      </w:r>
      <m:oMath>
        <m:sSub>
          <m:sSubPr/>
          <m:e>
            <m:r>
              <m:rPr/>
              <m:t>ω</m:t>
            </m:r>
          </m:e>
          <m:sub>
            <m:r>
              <m:rPr/>
              <m:t>ϕ</m:t>
            </m:r>
          </m:sub>
        </m:sSub>
      </m:oMath>
      <w:r>
        <w:t xml:space="preserve"> are the characteristic frequencies of each virtual particle, and </w:t>
      </w:r>
      <m:oMath>
        <m:sSubSup>
          <m:sSubSupPr/>
          <m:e>
            <m:acc>
              <m:accPr/>
              <m:e>
                <m:r>
                  <m:rPr/>
                  <m:t>H</m:t>
                </m:r>
              </m:e>
            </m:acc>
          </m:e>
          <m:sub>
            <m:r>
              <m:rPr>
                <m:sty m:val="p"/>
              </m:rPr>
              <m:t>int</m:t>
            </m:r>
          </m:sub>
          <m:sup>
            <m:r>
              <m:rPr>
                <m:sty m:val="p"/>
              </m:rPr>
              <m:t>(</m:t>
            </m:r>
            <m:r>
              <m:rPr/>
              <m:t>11</m:t>
            </m:r>
            <m:r>
              <m:rPr>
                <m:sty m:val="p"/>
              </m:rPr>
              <m:t>)</m:t>
            </m:r>
          </m:sup>
        </m:sSubSup>
      </m:oMath>
      <w:r>
        <w:t xml:space="preserve"> contains three-field coupling terms (such as </w:t>
      </w:r>
      <m:oMath>
        <m:sSub>
          <m:sSubPr/>
          <m:e>
            <m:r>
              <m:rPr/>
              <m:t>g</m:t>
            </m:r>
          </m:e>
          <m:sub>
            <m:r>
              <m:rPr/>
              <m:t>AC</m:t>
            </m:r>
          </m:sub>
        </m:sSub>
        <m:sSup>
          <m:sSupPr/>
          <m:e>
            <m:r>
              <m:rPr/>
              <m:t>A</m:t>
            </m:r>
          </m:e>
          <m:sup>
            <m:r>
              <m:rPr/>
              <m:t>2</m:t>
            </m:r>
          </m:sup>
        </m:sSup>
        <m:sSup>
          <m:sSupPr/>
          <m:e>
            <m:r>
              <m:rPr/>
              <m:t>C</m:t>
            </m:r>
          </m:e>
          <m:sup>
            <m:r>
              <m:rPr/>
              <m:t>2</m:t>
            </m:r>
          </m:sup>
        </m:sSup>
      </m:oMath>
      <w:r>
        <w:t>). The correlation function of vacuum fluctuations is:</w:t>
      </w:r>
    </w:p>
    <w:p w14:paraId="6544E607">
      <w:pPr>
        <w:pStyle w:val="3"/>
      </w:pPr>
      <m:oMathPara>
        <m:oMathParaPr>
          <m:jc m:val="center"/>
        </m:oMathParaPr>
        <m:oMath>
          <m:r>
            <m:rPr>
              <m:sty m:val="p"/>
            </m:rPr>
            <m:t>⟨</m:t>
          </m:r>
          <m:r>
            <m:rPr/>
            <m:t>0</m:t>
          </m:r>
          <m:r>
            <m:rPr>
              <m:sty m:val="p"/>
            </m:rPr>
            <m:t>|</m:t>
          </m:r>
          <m:acc>
            <m:accPr/>
            <m:e>
              <m:r>
                <m:rPr/>
                <m:t>ϕ</m:t>
              </m:r>
            </m:e>
          </m:acc>
          <m:r>
            <m:rPr>
              <m:sty m:val="p"/>
            </m:rPr>
            <m:t>(</m:t>
          </m:r>
          <m:r>
            <m:rPr/>
            <m:t>x</m:t>
          </m:r>
          <m:r>
            <m:rPr>
              <m:sty m:val="p"/>
            </m:rPr>
            <m:t>)</m:t>
          </m:r>
          <m:sSup>
            <m:sSupPr/>
            <m:e>
              <m:acc>
                <m:accPr/>
                <m:e>
                  <m:r>
                    <m:rPr/>
                    <m:t>ϕ</m:t>
                  </m:r>
                </m:e>
              </m:acc>
            </m:e>
            <m:sup>
              <m:r>
                <m:rPr>
                  <m:sty m:val="p"/>
                </m:rPr>
                <m:t>†</m:t>
              </m:r>
            </m:sup>
          </m:sSup>
          <m:r>
            <m:rPr>
              <m:sty m:val="p"/>
            </m:rPr>
            <m:t>(</m:t>
          </m:r>
          <m:r>
            <m:rPr/>
            <m:t>y</m:t>
          </m:r>
          <m:r>
            <m:rPr>
              <m:sty m:val="p"/>
            </m:rPr>
            <m:t>)|</m:t>
          </m:r>
          <m:r>
            <m:rPr/>
            <m:t>0</m:t>
          </m:r>
          <m:r>
            <m:rPr>
              <m:sty m:val="p"/>
            </m:rPr>
            <m:t>⟩=</m:t>
          </m:r>
          <m:f>
            <m:fPr/>
            <m:num>
              <m:r>
                <m:rPr/>
                <m:t>1</m:t>
              </m:r>
            </m:num>
            <m:den>
              <m:r>
                <m:rPr>
                  <m:sty m:val="p"/>
                </m:rPr>
                <m:t>(</m:t>
              </m:r>
              <m:r>
                <m:rPr/>
                <m:t>2π</m:t>
              </m:r>
              <m:sSup>
                <m:sSupPr/>
                <m:e>
                  <m:r>
                    <m:rPr>
                      <m:sty m:val="p"/>
                    </m:rPr>
                    <m:t>)</m:t>
                  </m:r>
                </m:e>
                <m:sup>
                  <m:r>
                    <m:rPr/>
                    <m:t>3</m:t>
                  </m:r>
                </m:sup>
              </m:sSup>
            </m:den>
          </m:f>
          <m:r>
            <m:rPr>
              <m:sty m:val="p"/>
            </m:rPr>
            <m:t>∫</m:t>
          </m:r>
          <m:sSup>
            <m:sSupPr/>
            <m:e>
              <m:r>
                <m:rPr/>
                <m:t>d</m:t>
              </m:r>
            </m:e>
            <m:sup>
              <m:r>
                <m:rPr/>
                <m:t>3</m:t>
              </m:r>
            </m:sup>
          </m:sSup>
          <m:r>
            <m:rPr/>
            <m:t>k</m:t>
          </m:r>
          <m:f>
            <m:fPr/>
            <m:num>
              <m:sSup>
                <m:sSupPr/>
                <m:e>
                  <m:r>
                    <m:rPr/>
                    <m:t>e</m:t>
                  </m:r>
                </m:e>
                <m:sup>
                  <m:r>
                    <m:rPr/>
                    <m:t>ik</m:t>
                  </m:r>
                  <m:r>
                    <m:rPr>
                      <m:sty m:val="p"/>
                    </m:rPr>
                    <m:t>⋅(</m:t>
                  </m:r>
                  <m:r>
                    <m:rPr/>
                    <m:t>x</m:t>
                  </m:r>
                  <m:r>
                    <m:rPr>
                      <m:sty m:val="p"/>
                    </m:rPr>
                    <m:t>−</m:t>
                  </m:r>
                  <m:r>
                    <m:rPr/>
                    <m:t>y</m:t>
                  </m:r>
                  <m:r>
                    <m:rPr>
                      <m:sty m:val="p"/>
                    </m:rPr>
                    <m:t>)</m:t>
                  </m:r>
                </m:sup>
              </m:sSup>
            </m:num>
            <m:den>
              <m:r>
                <m:rPr/>
                <m:t>2</m:t>
              </m:r>
              <m:sSub>
                <m:sSubPr/>
                <m:e>
                  <m:r>
                    <m:rPr/>
                    <m:t>ω</m:t>
                  </m:r>
                </m:e>
                <m:sub>
                  <m:r>
                    <m:rPr/>
                    <m:t>k</m:t>
                  </m:r>
                </m:sub>
              </m:sSub>
            </m:den>
          </m:f>
        </m:oMath>
      </m:oMathPara>
    </w:p>
    <w:bookmarkEnd w:id="10"/>
    <w:p w14:paraId="4606E3FE">
      <w:pPr>
        <w:pStyle w:val="6"/>
      </w:pPr>
      <w:bookmarkStart w:id="11" w:name="X2002751e4536408dd0820fc7fe3005bee4e1574"/>
      <w:r>
        <w:t>2.4 Topological Charge and Conservation Laws of Field Combinations</w:t>
      </w:r>
    </w:p>
    <w:p w14:paraId="3F0F9BBE">
      <w:pPr>
        <w:pStyle w:val="4"/>
      </w:pPr>
      <w:r>
        <w:t>Define the topological charge operator of the B field:</w:t>
      </w:r>
    </w:p>
    <w:p w14:paraId="453DE489">
      <w:pPr>
        <w:pStyle w:val="3"/>
      </w:pPr>
      <m:oMathPara>
        <m:oMathParaPr>
          <m:jc m:val="center"/>
        </m:oMathParaPr>
        <m:oMath>
          <m:sSub>
            <m:sSubPr/>
            <m:e>
              <m:acc>
                <m:accPr/>
                <m:e>
                  <m:r>
                    <m:rPr/>
                    <m:t>Q</m:t>
                  </m:r>
                </m:e>
              </m:acc>
            </m:e>
            <m:sub>
              <m:r>
                <m:rPr/>
                <m:t>B</m:t>
              </m:r>
            </m:sub>
          </m:sSub>
          <m:r>
            <m:rPr>
              <m:sty m:val="p"/>
            </m:rPr>
            <m:t>=∫</m:t>
          </m:r>
          <m:sSup>
            <m:sSupPr/>
            <m:e>
              <m:r>
                <m:rPr/>
                <m:t>d</m:t>
              </m:r>
            </m:e>
            <m:sup>
              <m:r>
                <m:rPr/>
                <m:t>3</m:t>
              </m:r>
            </m:sup>
          </m:sSup>
          <m:r>
            <m:rPr/>
            <m:t>x </m:t>
          </m:r>
          <m:sSubSup>
            <m:sSubSupPr/>
            <m:e>
              <m:acc>
                <m:accPr/>
                <m:e>
                  <m:r>
                    <m:rPr/>
                    <m:t>j</m:t>
                  </m:r>
                </m:e>
              </m:acc>
            </m:e>
            <m:sub>
              <m:r>
                <m:rPr/>
                <m:t>B</m:t>
              </m:r>
            </m:sub>
            <m:sup>
              <m:r>
                <m:rPr/>
                <m:t>0</m:t>
              </m:r>
            </m:sup>
          </m:sSubSup>
          <m:r>
            <m:rPr>
              <m:sty m:val="p"/>
            </m:rPr>
            <m:t>(</m:t>
          </m:r>
          <m:r>
            <m:rPr/>
            <m:t>x</m:t>
          </m:r>
          <m:r>
            <m:rPr>
              <m:sty m:val="p"/>
            </m:rPr>
            <m:t>)</m:t>
          </m:r>
        </m:oMath>
      </m:oMathPara>
    </w:p>
    <w:p w14:paraId="037751B0">
      <w:pPr>
        <w:pStyle w:val="4"/>
      </w:pPr>
      <w:r>
        <w:t xml:space="preserve">where </w:t>
      </w:r>
      <m:oMath>
        <m:sSubSup>
          <m:sSubSupPr/>
          <m:e>
            <m:acc>
              <m:accPr/>
              <m:e>
                <m:r>
                  <m:rPr/>
                  <m:t>j</m:t>
                </m:r>
              </m:e>
            </m:acc>
          </m:e>
          <m:sub>
            <m:r>
              <m:rPr/>
              <m:t>B</m:t>
            </m:r>
          </m:sub>
          <m:sup>
            <m:r>
              <m:rPr/>
              <m:t>μ</m:t>
            </m:r>
          </m:sup>
        </m:sSubSup>
      </m:oMath>
      <w:r>
        <w:t xml:space="preserve"> is the conserved current of the B field. In the 11-dimensional vacuum, the action of </w:t>
      </w:r>
      <m:oMath>
        <m:sSub>
          <m:sSubPr/>
          <m:e>
            <m:acc>
              <m:accPr/>
              <m:e>
                <m:r>
                  <m:rPr/>
                  <m:t>Q</m:t>
                </m:r>
              </m:e>
            </m:acc>
          </m:e>
          <m:sub>
            <m:r>
              <m:rPr/>
              <m:t>B</m:t>
            </m:r>
          </m:sub>
        </m:sSub>
      </m:oMath>
      <w:r>
        <w:t xml:space="preserve"> on the basis vectors is:</w:t>
      </w:r>
    </w:p>
    <w:p w14:paraId="445B5074">
      <w:pPr>
        <w:pStyle w:val="3"/>
      </w:pPr>
      <m:oMathPara>
        <m:oMathParaPr>
          <m:jc m:val="center"/>
        </m:oMathParaPr>
        <m:oMath>
          <m:sSub>
            <m:sSubPr/>
            <m:e>
              <m:acc>
                <m:accPr/>
                <m:e>
                  <m:r>
                    <m:rPr/>
                    <m:t>Q</m:t>
                  </m:r>
                </m:e>
              </m:acc>
            </m:e>
            <m:sub>
              <m:r>
                <m:rPr/>
                <m:t>B</m:t>
              </m:r>
            </m:sub>
          </m:sSub>
          <m:r>
            <m:rPr>
              <m:sty m:val="p"/>
            </m:rPr>
            <m:t>|</m:t>
          </m:r>
          <m:sSup>
            <m:sSupPr/>
            <m:e>
              <m:r>
                <m:rPr/>
                <m:t>B</m:t>
              </m:r>
            </m:e>
            <m:sup>
              <m:r>
                <m:rPr>
                  <m:sty m:val="p"/>
                </m:rPr>
                <m:t>+</m:t>
              </m:r>
            </m:sup>
          </m:sSup>
          <m:r>
            <m:rPr>
              <m:sty m:val="p"/>
            </m:rPr>
            <m:t>⟩=+|</m:t>
          </m:r>
          <m:sSup>
            <m:sSupPr/>
            <m:e>
              <m:r>
                <m:rPr/>
                <m:t>B</m:t>
              </m:r>
            </m:e>
            <m:sup>
              <m:r>
                <m:rPr>
                  <m:sty m:val="p"/>
                </m:rPr>
                <m:t>+</m:t>
              </m:r>
            </m:sup>
          </m:sSup>
          <m:r>
            <m:rPr>
              <m:sty m:val="p"/>
            </m:rPr>
            <m:t>⟩,</m:t>
          </m:r>
          <m:r>
            <m:rPr/>
            <m:t> </m:t>
          </m:r>
          <m:sSub>
            <m:sSubPr/>
            <m:e>
              <m:acc>
                <m:accPr/>
                <m:e>
                  <m:r>
                    <m:rPr/>
                    <m:t>Q</m:t>
                  </m:r>
                </m:e>
              </m:acc>
            </m:e>
            <m:sub>
              <m:r>
                <m:rPr/>
                <m:t>B</m:t>
              </m:r>
            </m:sub>
          </m:sSub>
          <m:r>
            <m:rPr>
              <m:sty m:val="p"/>
            </m:rPr>
            <m:t>|</m:t>
          </m:r>
          <m:sSup>
            <m:sSupPr/>
            <m:e>
              <m:r>
                <m:rPr/>
                <m:t>B</m:t>
              </m:r>
            </m:e>
            <m:sup>
              <m:r>
                <m:rPr>
                  <m:sty m:val="p"/>
                </m:rPr>
                <m:t>−</m:t>
              </m:r>
            </m:sup>
          </m:sSup>
          <m:r>
            <m:rPr>
              <m:sty m:val="p"/>
            </m:rPr>
            <m:t>⟩=−|</m:t>
          </m:r>
          <m:sSup>
            <m:sSupPr/>
            <m:e>
              <m:r>
                <m:rPr/>
                <m:t>B</m:t>
              </m:r>
            </m:e>
            <m:sup>
              <m:r>
                <m:rPr>
                  <m:sty m:val="p"/>
                </m:rPr>
                <m:t>−</m:t>
              </m:r>
            </m:sup>
          </m:sSup>
          <m:r>
            <m:rPr>
              <m:sty m:val="p"/>
            </m:rPr>
            <m:t>⟩,</m:t>
          </m:r>
          <m:r>
            <m:rPr/>
            <m:t> </m:t>
          </m:r>
          <m:sSub>
            <m:sSubPr/>
            <m:e>
              <m:acc>
                <m:accPr/>
                <m:e>
                  <m:r>
                    <m:rPr/>
                    <m:t>Q</m:t>
                  </m:r>
                </m:e>
              </m:acc>
            </m:e>
            <m:sub>
              <m:r>
                <m:rPr/>
                <m:t>B</m:t>
              </m:r>
            </m:sub>
          </m:sSub>
          <m:r>
            <m:rPr>
              <m:sty m:val="p"/>
            </m:rPr>
            <m:t>|</m:t>
          </m:r>
          <m:r>
            <m:rPr/>
            <m:t>ϕ</m:t>
          </m:r>
          <m:r>
            <m:rPr>
              <m:sty m:val="p"/>
            </m:rPr>
            <m:t>⟩=</m:t>
          </m:r>
          <m:r>
            <m:rPr/>
            <m:t>0 </m:t>
          </m:r>
          <m:r>
            <m:rPr>
              <m:sty m:val="p"/>
            </m:rPr>
            <m:t>(others)</m:t>
          </m:r>
        </m:oMath>
      </m:oMathPara>
    </w:p>
    <w:p w14:paraId="2C2AC710">
      <w:pPr>
        <w:pStyle w:val="4"/>
      </w:pPr>
      <w:r>
        <w:t xml:space="preserve">The total topological charge in the vacuum ground state is zero: </w:t>
      </w:r>
      <m:oMath>
        <m:r>
          <m:rPr>
            <m:sty m:val="p"/>
          </m:rPr>
          <m:t>⟨</m:t>
        </m:r>
        <m:r>
          <m:rPr/>
          <m:t>0</m:t>
        </m:r>
        <m:r>
          <m:rPr>
            <m:sty m:val="p"/>
          </m:rPr>
          <m:t>|</m:t>
        </m:r>
        <m:sSub>
          <m:sSubPr/>
          <m:e>
            <m:acc>
              <m:accPr/>
              <m:e>
                <m:r>
                  <m:rPr/>
                  <m:t>Q</m:t>
                </m:r>
              </m:e>
            </m:acc>
          </m:e>
          <m:sub>
            <m:r>
              <m:rPr/>
              <m:t>B</m:t>
            </m:r>
          </m:sub>
        </m:sSub>
        <m:r>
          <m:rPr>
            <m:sty m:val="p"/>
          </m:rPr>
          <m:t>|</m:t>
        </m:r>
        <m:r>
          <m:rPr/>
          <m:t>0</m:t>
        </m:r>
        <m:r>
          <m:rPr>
            <m:sty m:val="p"/>
          </m:rPr>
          <m:t>⟩=</m:t>
        </m:r>
        <m:r>
          <m:rPr/>
          <m:t>0</m:t>
        </m:r>
      </m:oMath>
      <w:r>
        <w:t>.</w:t>
      </w:r>
    </w:p>
    <w:bookmarkEnd w:id="7"/>
    <w:bookmarkEnd w:id="11"/>
    <w:p w14:paraId="70E4A593">
      <w:pPr>
        <w:pStyle w:val="5"/>
      </w:pPr>
      <w:bookmarkStart w:id="12" w:name="trigger-conditions-for-vacuum-decay"/>
      <w:r>
        <w:t>3 Trigger Conditions for Vacuum Decay</w:t>
      </w:r>
    </w:p>
    <w:p w14:paraId="74D9FC9B">
      <w:pPr>
        <w:pStyle w:val="6"/>
      </w:pPr>
      <w:bookmarkStart w:id="13" w:name="critical-density-of-the-c-field"/>
      <w:r>
        <w:t>3.1 Critical Density of the C Field</w:t>
      </w:r>
    </w:p>
    <w:p w14:paraId="50BC6370">
      <w:pPr>
        <w:pStyle w:val="4"/>
      </w:pPr>
      <w:r>
        <w:t xml:space="preserve">Vacuum decay is triggered when the local C-field energy density </w:t>
      </w:r>
      <m:oMath>
        <m:sSub>
          <m:sSubPr/>
          <m:e>
            <m:r>
              <m:rPr/>
              <m:t>ρ</m:t>
            </m:r>
          </m:e>
          <m:sub>
            <m:r>
              <m:rPr/>
              <m:t>C</m:t>
            </m:r>
          </m:sub>
        </m:sSub>
        <m:r>
          <m:rPr>
            <m:sty m:val="p"/>
          </m:rPr>
          <m:t>(</m:t>
        </m:r>
        <m:r>
          <m:rPr/>
          <m:t>x</m:t>
        </m:r>
        <m:r>
          <m:rPr>
            <m:sty m:val="p"/>
          </m:rPr>
          <m:t>)</m:t>
        </m:r>
      </m:oMath>
      <w:r>
        <w:t xml:space="preserve"> exceeds a critical value </w:t>
      </w:r>
      <m:oMath>
        <m:sSub>
          <m:sSubPr/>
          <m:e>
            <m:r>
              <m:rPr/>
              <m:t>ρ</m:t>
            </m:r>
          </m:e>
          <m:sub>
            <m:r>
              <m:rPr>
                <m:sty m:val="p"/>
              </m:rPr>
              <m:t>crit</m:t>
            </m:r>
          </m:sub>
        </m:sSub>
      </m:oMath>
      <w:r>
        <w:t>. According to the B31 Lagrangian, the energy density operator of the C field is:</w:t>
      </w:r>
    </w:p>
    <w:p w14:paraId="48D931B2">
      <w:pPr>
        <w:pStyle w:val="3"/>
      </w:pPr>
      <m:oMathPara>
        <m:oMathParaPr>
          <m:jc m:val="center"/>
        </m:oMathParaPr>
        <m:oMath>
          <m:sSub>
            <m:sSubPr/>
            <m:e>
              <m:acc>
                <m:accPr/>
                <m:e>
                  <m:r>
                    <m:rPr/>
                    <m:t>ρ</m:t>
                  </m:r>
                </m:e>
              </m:acc>
            </m:e>
            <m:sub>
              <m:r>
                <m:rPr/>
                <m:t>C</m:t>
              </m:r>
            </m:sub>
          </m:sSub>
          <m:r>
            <m:rPr>
              <m:sty m:val="p"/>
            </m:rPr>
            <m:t>(</m:t>
          </m:r>
          <m:r>
            <m:rPr/>
            <m:t>x</m:t>
          </m:r>
          <m:r>
            <m:rPr>
              <m:sty m:val="p"/>
            </m:rPr>
            <m:t>)=</m:t>
          </m:r>
          <m:f>
            <m:fPr/>
            <m:num>
              <m:r>
                <m:rPr/>
                <m:t>1</m:t>
              </m:r>
            </m:num>
            <m:den>
              <m:r>
                <m:rPr/>
                <m:t>2</m:t>
              </m:r>
            </m:den>
          </m:f>
          <m:d>
            <m:dPr>
              <m:sepChr m:val=""/>
            </m:dPr>
            <m:e>
              <m:sSubSup>
                <m:sSubSupPr/>
                <m:e>
                  <m:acc>
                    <m:accPr/>
                    <m:e>
                      <m:r>
                        <m:rPr/>
                        <m:t>π</m:t>
                      </m:r>
                    </m:e>
                  </m:acc>
                </m:e>
                <m:sub>
                  <m:r>
                    <m:rPr/>
                    <m:t>C</m:t>
                  </m:r>
                </m:sub>
                <m:sup>
                  <m:r>
                    <m:rPr/>
                    <m:t>2</m:t>
                  </m:r>
                </m:sup>
              </m:sSubSup>
              <m:r>
                <m:rPr>
                  <m:sty m:val="p"/>
                </m:rPr>
                <m:t>+(∇</m:t>
              </m:r>
              <m:acc>
                <m:accPr/>
                <m:e>
                  <m:r>
                    <m:rPr/>
                    <m:t>C</m:t>
                  </m:r>
                </m:e>
              </m:acc>
              <m:sSup>
                <m:sSupPr/>
                <m:e>
                  <m:r>
                    <m:rPr>
                      <m:sty m:val="p"/>
                    </m:rPr>
                    <m:t>)</m:t>
                  </m:r>
                </m:e>
                <m:sup>
                  <m:r>
                    <m:rPr/>
                    <m:t>2</m:t>
                  </m:r>
                </m:sup>
              </m:sSup>
              <m:r>
                <m:rPr>
                  <m:sty m:val="p"/>
                </m:rPr>
                <m:t>+</m:t>
              </m:r>
              <m:sSubSup>
                <m:sSubSupPr/>
                <m:e>
                  <m:r>
                    <m:rPr/>
                    <m:t>m</m:t>
                  </m:r>
                </m:e>
                <m:sub>
                  <m:r>
                    <m:rPr/>
                    <m:t>C</m:t>
                  </m:r>
                </m:sub>
                <m:sup>
                  <m:r>
                    <m:rPr/>
                    <m:t>2</m:t>
                  </m:r>
                </m:sup>
              </m:sSubSup>
              <m:sSup>
                <m:sSupPr/>
                <m:e>
                  <m:acc>
                    <m:accPr/>
                    <m:e>
                      <m:r>
                        <m:rPr/>
                        <m:t>C</m:t>
                      </m:r>
                    </m:e>
                  </m:acc>
                </m:e>
                <m:sup>
                  <m:r>
                    <m:rPr/>
                    <m:t>2</m:t>
                  </m:r>
                </m:sup>
              </m:sSup>
            </m:e>
          </m:d>
        </m:oMath>
      </m:oMathPara>
    </w:p>
    <w:p w14:paraId="1E92CA67">
      <w:pPr>
        <w:pStyle w:val="4"/>
      </w:pPr>
      <w:r>
        <w:t>The critical density is determined by the A-C coupling constant and the background vacuum density:</w:t>
      </w:r>
    </w:p>
    <w:p w14:paraId="50BF3B74">
      <w:pPr>
        <w:pStyle w:val="3"/>
      </w:pPr>
      <m:oMathPara>
        <m:oMathParaPr>
          <m:jc m:val="center"/>
        </m:oMathParaPr>
        <m:oMath>
          <m:sSub>
            <m:sSubPr/>
            <m:e>
              <m:r>
                <m:rPr/>
                <m:t>ρ</m:t>
              </m:r>
            </m:e>
            <m:sub>
              <m:r>
                <m:rPr>
                  <m:sty m:val="p"/>
                </m:rPr>
                <m:t>crit</m:t>
              </m:r>
            </m:sub>
          </m:sSub>
          <m:r>
            <m:rPr>
              <m:sty m:val="p"/>
            </m:rPr>
            <m:t>=</m:t>
          </m:r>
          <m:f>
            <m:fPr/>
            <m:num>
              <m:sSub>
                <m:sSubPr/>
                <m:e>
                  <m:r>
                    <m:rPr/>
                    <m:t>g</m:t>
                  </m:r>
                </m:e>
                <m:sub>
                  <m:r>
                    <m:rPr/>
                    <m:t>AC</m:t>
                  </m:r>
                </m:sub>
              </m:sSub>
            </m:num>
            <m:den>
              <m:sSub>
                <m:sSubPr/>
                <m:e>
                  <m:r>
                    <m:rPr/>
                    <m:t>g</m:t>
                  </m:r>
                </m:e>
                <m:sub>
                  <m:r>
                    <m:rPr/>
                    <m:t>BC</m:t>
                  </m:r>
                </m:sub>
              </m:sSub>
            </m:den>
          </m:f>
          <m:r>
            <m:rPr>
              <m:sty m:val="p"/>
            </m:rPr>
            <m:t>⋅</m:t>
          </m:r>
          <m:sSub>
            <m:sSubPr/>
            <m:e>
              <m:r>
                <m:rPr/>
                <m:t>ρ</m:t>
              </m:r>
            </m:e>
            <m:sub>
              <m:r>
                <m:rPr/>
                <m:t>0</m:t>
              </m:r>
            </m:sub>
          </m:sSub>
        </m:oMath>
      </m:oMathPara>
    </w:p>
    <w:p w14:paraId="4E24D5B4">
      <w:pPr>
        <w:pStyle w:val="4"/>
      </w:pPr>
      <w:r>
        <w:t xml:space="preserve">where </w:t>
      </w:r>
      <m:oMath>
        <m:sSub>
          <m:sSubPr/>
          <m:e>
            <m:r>
              <m:rPr/>
              <m:t>ρ</m:t>
            </m:r>
          </m:e>
          <m:sub>
            <m:r>
              <m:rPr/>
              <m:t>0</m:t>
            </m:r>
          </m:sub>
        </m:sSub>
      </m:oMath>
      <w:r>
        <w:t xml:space="preserve"> is the background virtual particle density of the 11-dimensional vacuum, and </w:t>
      </w:r>
      <m:oMath>
        <m:sSub>
          <m:sSubPr/>
          <m:e>
            <m:r>
              <m:rPr/>
              <m:t>g</m:t>
            </m:r>
          </m:e>
          <m:sub>
            <m:r>
              <m:rPr/>
              <m:t>AC</m:t>
            </m:r>
          </m:sub>
        </m:sSub>
        <m:r>
          <m:rPr>
            <m:sty m:val="p"/>
          </m:rPr>
          <m:t>,</m:t>
        </m:r>
        <m:sSub>
          <m:sSubPr/>
          <m:e>
            <m:r>
              <m:rPr/>
              <m:t>g</m:t>
            </m:r>
          </m:e>
          <m:sub>
            <m:r>
              <m:rPr/>
              <m:t>BC</m:t>
            </m:r>
          </m:sub>
        </m:sSub>
      </m:oMath>
      <w:r>
        <w:t xml:space="preserve"> are coupling constants (defined in B31).</w:t>
      </w:r>
    </w:p>
    <w:bookmarkEnd w:id="13"/>
    <w:p w14:paraId="0082AF0D">
      <w:pPr>
        <w:pStyle w:val="6"/>
      </w:pPr>
      <w:bookmarkStart w:id="14" w:name="decay-probability-and-transition-rate"/>
      <w:r>
        <w:t>3.2 Decay Probability and Transition Rate</w:t>
      </w:r>
    </w:p>
    <w:p w14:paraId="076A6614">
      <w:pPr>
        <w:pStyle w:val="4"/>
      </w:pPr>
      <w:r>
        <w:t xml:space="preserve">The probability amplitude of vacuum decay is determined by the expectation value of the field operator. For local decay, the decay rate </w:t>
      </w:r>
      <m:oMath>
        <m:r>
          <m:rPr>
            <m:sty m:val="p"/>
          </m:rPr>
          <m:t>Γ</m:t>
        </m:r>
      </m:oMath>
      <w:r>
        <w:t xml:space="preserve"> is proportional to the spacetime volume where </w:t>
      </w:r>
      <m:oMath>
        <m:sSub>
          <m:sSubPr/>
          <m:e>
            <m:r>
              <m:rPr/>
              <m:t>ρ</m:t>
            </m:r>
          </m:e>
          <m:sub>
            <m:r>
              <m:rPr/>
              <m:t>C</m:t>
            </m:r>
          </m:sub>
        </m:sSub>
      </m:oMath>
      <w:r>
        <w:t xml:space="preserve"> exceeds </w:t>
      </w:r>
      <m:oMath>
        <m:sSub>
          <m:sSubPr/>
          <m:e>
            <m:r>
              <m:rPr/>
              <m:t>ρ</m:t>
            </m:r>
          </m:e>
          <m:sub>
            <m:r>
              <m:rPr>
                <m:sty m:val="p"/>
              </m:rPr>
              <m:t>crit</m:t>
            </m:r>
          </m:sub>
        </m:sSub>
      </m:oMath>
      <w:r>
        <w:t>:</w:t>
      </w:r>
    </w:p>
    <w:p w14:paraId="6485E0BC">
      <w:pPr>
        <w:pStyle w:val="3"/>
      </w:pPr>
      <m:oMathPara>
        <m:oMathParaPr>
          <m:jc m:val="center"/>
        </m:oMathParaPr>
        <m:oMath>
          <m:sSub>
            <m:sSubPr/>
            <m:e>
              <m:r>
                <m:rPr>
                  <m:sty m:val="p"/>
                </m:rPr>
                <m:t>Γ</m:t>
              </m:r>
            </m:e>
            <m:sub>
              <m:r>
                <m:rPr>
                  <m:sty m:val="p"/>
                </m:rPr>
                <m:t>local</m:t>
              </m:r>
            </m:sub>
          </m:sSub>
          <m:r>
            <m:rPr>
              <m:sty m:val="p"/>
            </m:rPr>
            <m:t>=∫</m:t>
          </m:r>
          <m:sSup>
            <m:sSupPr/>
            <m:e>
              <m:r>
                <m:rPr/>
                <m:t>d</m:t>
              </m:r>
            </m:e>
            <m:sup>
              <m:r>
                <m:rPr/>
                <m:t>4</m:t>
              </m:r>
            </m:sup>
          </m:sSup>
          <m:r>
            <m:rPr/>
            <m:t>x </m:t>
          </m:r>
          <m:r>
            <m:rPr>
              <m:sty m:val="p"/>
            </m:rPr>
            <m:t>Θ</m:t>
          </m:r>
          <m:d>
            <m:dPr>
              <m:sepChr m:val=""/>
            </m:dPr>
            <m:e>
              <m:sSub>
                <m:sSubPr/>
                <m:e>
                  <m:r>
                    <m:rPr/>
                    <m:t>ρ</m:t>
                  </m:r>
                </m:e>
                <m:sub>
                  <m:r>
                    <m:rPr/>
                    <m:t>C</m:t>
                  </m:r>
                </m:sub>
              </m:sSub>
              <m:r>
                <m:rPr>
                  <m:sty m:val="p"/>
                </m:rPr>
                <m:t>(</m:t>
              </m:r>
              <m:r>
                <m:rPr/>
                <m:t>x</m:t>
              </m:r>
              <m:r>
                <m:rPr>
                  <m:sty m:val="p"/>
                </m:rPr>
                <m:t>)−</m:t>
              </m:r>
              <m:sSub>
                <m:sSubPr/>
                <m:e>
                  <m:r>
                    <m:rPr/>
                    <m:t>ρ</m:t>
                  </m:r>
                </m:e>
                <m:sub>
                  <m:r>
                    <m:rPr>
                      <m:sty m:val="p"/>
                    </m:rPr>
                    <m:t>crit</m:t>
                  </m:r>
                </m:sub>
              </m:sSub>
            </m:e>
          </m:d>
          <m:r>
            <m:rPr>
              <m:sty m:val="p"/>
            </m:rPr>
            <m:t>⋅</m:t>
          </m:r>
          <m:sSub>
            <m:sSubPr/>
            <m:e>
              <m:r>
                <m:rPr/>
                <m:t>γ</m:t>
              </m:r>
            </m:e>
            <m:sub>
              <m:r>
                <m:rPr/>
                <m:t>0</m:t>
              </m:r>
            </m:sub>
          </m:sSub>
        </m:oMath>
      </m:oMathPara>
    </w:p>
    <w:p w14:paraId="037FCA6C">
      <w:pPr>
        <w:pStyle w:val="4"/>
      </w:pPr>
      <w:r>
        <w:t xml:space="preserve">where </w:t>
      </w:r>
      <m:oMath>
        <m:sSub>
          <m:sSubPr/>
          <m:e>
            <m:r>
              <m:rPr/>
              <m:t>γ</m:t>
            </m:r>
          </m:e>
          <m:sub>
            <m:r>
              <m:rPr/>
              <m:t>0</m:t>
            </m:r>
          </m:sub>
        </m:sSub>
      </m:oMath>
      <w:r>
        <w:t xml:space="preserve"> is the unit-volume decay rate, calculable via perturbation theory. For global decay, the entire spatial region must satisfy </w:t>
      </w:r>
      <m:oMath>
        <m:sSub>
          <m:sSubPr/>
          <m:e>
            <m:r>
              <m:rPr/>
              <m:t>ρ</m:t>
            </m:r>
          </m:e>
          <m:sub>
            <m:r>
              <m:rPr/>
              <m:t>C</m:t>
            </m:r>
          </m:sub>
        </m:sSub>
        <m:r>
          <m:rPr>
            <m:sty m:val="p"/>
          </m:rPr>
          <m:t>&gt;</m:t>
        </m:r>
        <m:sSub>
          <m:sSubPr/>
          <m:e>
            <m:r>
              <m:rPr/>
              <m:t>ρ</m:t>
            </m:r>
          </m:e>
          <m:sub>
            <m:r>
              <m:rPr>
                <m:sty m:val="p"/>
              </m:rPr>
              <m:t>crit</m:t>
            </m:r>
          </m:sub>
        </m:sSub>
      </m:oMath>
      <w:r>
        <w:t>, making the probability extremely low but irreversible once triggered.</w:t>
      </w:r>
    </w:p>
    <w:bookmarkEnd w:id="14"/>
    <w:p w14:paraId="671C195C">
      <w:pPr>
        <w:pStyle w:val="6"/>
      </w:pPr>
      <w:bookmarkStart w:id="15" w:name="X683513d35b98cd2cb59a0c6b1f7bf2b1d91819b"/>
      <w:r>
        <w:t>3.3 Energy Thresholds for Dimensional Transitions</w:t>
      </w:r>
    </w:p>
    <w:p w14:paraId="26A220F8">
      <w:pPr>
        <w:pStyle w:val="4"/>
      </w:pPr>
      <w:r>
        <w:t>According to the dimensional reduction chain of A1, the energy thresholds for reverse transitions are determined by the characteristic frequencies of the fields:</w:t>
      </w:r>
    </w:p>
    <w:p w14:paraId="5CB12128">
      <w:pPr>
        <w:pStyle w:val="3"/>
      </w:pPr>
      <m:oMathPara>
        <m:oMathParaPr>
          <m:jc m:val="center"/>
        </m:oMathParaPr>
        <m:oMath>
          <m:sSubSup>
            <m:sSubSupPr/>
            <m:e>
              <m:r>
                <m:rPr/>
                <m:t>E</m:t>
              </m:r>
            </m:e>
            <m:sub>
              <m:r>
                <m:rPr>
                  <m:sty m:val="p"/>
                </m:rPr>
                <m:t>thresh</m:t>
              </m:r>
            </m:sub>
            <m:sup>
              <m:r>
                <m:rPr>
                  <m:sty m:val="p"/>
                </m:rPr>
                <m:t>(</m:t>
              </m:r>
              <m:r>
                <m:rPr/>
                <m:t>A</m:t>
              </m:r>
              <m:r>
                <m:rPr>
                  <m:sty m:val="p"/>
                </m:rPr>
                <m:t>)</m:t>
              </m:r>
            </m:sup>
          </m:sSubSup>
          <m:r>
            <m:rPr>
              <m:sty m:val="p"/>
            </m:rPr>
            <m:t>=ℏ</m:t>
          </m:r>
          <m:sSub>
            <m:sSubPr/>
            <m:e>
              <m:r>
                <m:rPr/>
                <m:t>f</m:t>
              </m:r>
            </m:e>
            <m:sub>
              <m:r>
                <m:rPr/>
                <m:t>A</m:t>
              </m:r>
            </m:sub>
          </m:sSub>
          <m:r>
            <m:rPr>
              <m:sty m:val="p"/>
            </m:rPr>
            <m:t>=</m:t>
          </m:r>
          <m:r>
            <m:rPr/>
            <m:t>1.85</m:t>
          </m:r>
          <m:r>
            <m:rPr>
              <m:sty m:val="p"/>
            </m:rPr>
            <m:t>×</m:t>
          </m:r>
          <m:sSup>
            <m:sSupPr/>
            <m:e>
              <m:r>
                <m:rPr/>
                <m:t>10</m:t>
              </m:r>
            </m:e>
            <m:sup>
              <m:r>
                <m:rPr/>
                <m:t>43</m:t>
              </m:r>
            </m:sup>
          </m:sSup>
          <m:r>
            <m:rPr/>
            <m:t> </m:t>
          </m:r>
          <m:r>
            <m:rPr>
              <m:sty m:val="p"/>
            </m:rPr>
            <m:t>Hz⋅ℏ≈</m:t>
          </m:r>
          <m:r>
            <m:rPr/>
            <m:t>1.22</m:t>
          </m:r>
          <m:r>
            <m:rPr>
              <m:sty m:val="p"/>
            </m:rPr>
            <m:t>×</m:t>
          </m:r>
          <m:sSup>
            <m:sSupPr/>
            <m:e>
              <m:r>
                <m:rPr/>
                <m:t>10</m:t>
              </m:r>
            </m:e>
            <m:sup>
              <m:r>
                <m:rPr/>
                <m:t>19</m:t>
              </m:r>
            </m:sup>
          </m:sSup>
          <m:r>
            <m:rPr/>
            <m:t> </m:t>
          </m:r>
          <m:r>
            <m:rPr>
              <m:sty m:val="p"/>
            </m:rPr>
            <m:t>GeV</m:t>
          </m:r>
        </m:oMath>
      </m:oMathPara>
    </w:p>
    <w:p w14:paraId="1ABD733D">
      <w:pPr>
        <w:pStyle w:val="4"/>
      </w:pPr>
      <m:oMathPara>
        <m:oMathParaPr>
          <m:jc m:val="center"/>
        </m:oMathParaPr>
        <m:oMath>
          <m:sSubSup>
            <m:sSubSupPr/>
            <m:e>
              <m:r>
                <m:rPr/>
                <m:t>E</m:t>
              </m:r>
            </m:e>
            <m:sub>
              <m:r>
                <m:rPr>
                  <m:sty m:val="p"/>
                </m:rPr>
                <m:t>thresh</m:t>
              </m:r>
            </m:sub>
            <m:sup>
              <m:r>
                <m:rPr>
                  <m:sty m:val="p"/>
                </m:rPr>
                <m:t>(</m:t>
              </m:r>
              <m:r>
                <m:rPr/>
                <m:t>C</m:t>
              </m:r>
              <m:r>
                <m:rPr>
                  <m:sty m:val="p"/>
                </m:rPr>
                <m:t>)</m:t>
              </m:r>
            </m:sup>
          </m:sSubSup>
          <m:r>
            <m:rPr>
              <m:sty m:val="p"/>
            </m:rPr>
            <m:t>=ℏ</m:t>
          </m:r>
          <m:sSub>
            <m:sSubPr/>
            <m:e>
              <m:r>
                <m:rPr/>
                <m:t>f</m:t>
              </m:r>
            </m:e>
            <m:sub>
              <m:r>
                <m:rPr/>
                <m:t>C</m:t>
              </m:r>
            </m:sub>
          </m:sSub>
          <m:r>
            <m:rPr>
              <m:sty m:val="p"/>
            </m:rPr>
            <m:t>=</m:t>
          </m:r>
          <m:r>
            <m:rPr/>
            <m:t>0.617</m:t>
          </m:r>
          <m:r>
            <m:rPr>
              <m:sty m:val="p"/>
            </m:rPr>
            <m:t>×</m:t>
          </m:r>
          <m:sSup>
            <m:sSupPr/>
            <m:e>
              <m:r>
                <m:rPr/>
                <m:t>10</m:t>
              </m:r>
            </m:e>
            <m:sup>
              <m:r>
                <m:rPr/>
                <m:t>43</m:t>
              </m:r>
            </m:sup>
          </m:sSup>
          <m:r>
            <m:rPr/>
            <m:t> </m:t>
          </m:r>
          <m:r>
            <m:rPr>
              <m:sty m:val="p"/>
            </m:rPr>
            <m:t>Hz⋅ℏ≈</m:t>
          </m:r>
          <m:r>
            <m:rPr/>
            <m:t>4.07</m:t>
          </m:r>
          <m:r>
            <m:rPr>
              <m:sty m:val="p"/>
            </m:rPr>
            <m:t>×</m:t>
          </m:r>
          <m:sSup>
            <m:sSupPr/>
            <m:e>
              <m:r>
                <m:rPr/>
                <m:t>10</m:t>
              </m:r>
            </m:e>
            <m:sup>
              <m:r>
                <m:rPr/>
                <m:t>18</m:t>
              </m:r>
            </m:sup>
          </m:sSup>
          <m:r>
            <m:rPr/>
            <m:t> </m:t>
          </m:r>
          <m:r>
            <m:rPr>
              <m:sty m:val="p"/>
            </m:rPr>
            <m:t>GeV</m:t>
          </m:r>
        </m:oMath>
      </m:oMathPara>
    </w:p>
    <w:p w14:paraId="774EBB50">
      <w:pPr>
        <w:pStyle w:val="4"/>
      </w:pPr>
      <w:r>
        <w:rPr>
          <w:b/>
          <w:bCs/>
        </w:rPr>
        <w:t>Explanation of temperature-threshold relationship:</w:t>
      </w:r>
      <w:r>
        <w:t xml:space="preserve"> During cooling (cosmic evolution), fields with higher thresholds freeze first (A field merges first), while those with lower thresholds freeze later (C field merges later). During heating (vacuum decay), fields with lower thresholds thaw first (C field bifurcates first), while those with higher thresholds thaw later (A field bifurcates later). Therefore, </w:t>
      </w:r>
      <m:oMath>
        <m:sSubSup>
          <m:sSubSupPr/>
          <m:e>
            <m:r>
              <m:rPr/>
              <m:t>E</m:t>
            </m:r>
          </m:e>
          <m:sub>
            <m:r>
              <m:rPr>
                <m:sty m:val="p"/>
              </m:rPr>
              <m:t>thresh</m:t>
            </m:r>
          </m:sub>
          <m:sup>
            <m:r>
              <m:rPr>
                <m:sty m:val="p"/>
              </m:rPr>
              <m:t>(</m:t>
            </m:r>
            <m:r>
              <m:rPr/>
              <m:t>C</m:t>
            </m:r>
            <m:r>
              <m:rPr>
                <m:sty m:val="p"/>
              </m:rPr>
              <m:t>)</m:t>
            </m:r>
          </m:sup>
        </m:sSubSup>
        <m:r>
          <m:rPr>
            <m:sty m:val="p"/>
          </m:rPr>
          <m:t>&lt;</m:t>
        </m:r>
        <m:sSubSup>
          <m:sSubSupPr/>
          <m:e>
            <m:r>
              <m:rPr/>
              <m:t>E</m:t>
            </m:r>
          </m:e>
          <m:sub>
            <m:r>
              <m:rPr>
                <m:sty m:val="p"/>
              </m:rPr>
              <m:t>thresh</m:t>
            </m:r>
          </m:sub>
          <m:sup>
            <m:r>
              <m:rPr>
                <m:sty m:val="p"/>
              </m:rPr>
              <m:t>(</m:t>
            </m:r>
            <m:r>
              <m:rPr/>
              <m:t>A</m:t>
            </m:r>
            <m:r>
              <m:rPr>
                <m:sty m:val="p"/>
              </m:rPr>
              <m:t>)</m:t>
            </m:r>
          </m:sup>
        </m:sSubSup>
      </m:oMath>
      <w:r>
        <w:t xml:space="preserve"> is fully consistent with the decay order “C field bifurcates first, A field bifurcates later.”</w:t>
      </w:r>
    </w:p>
    <w:bookmarkEnd w:id="12"/>
    <w:bookmarkEnd w:id="15"/>
    <w:p w14:paraId="2605DBC9">
      <w:pPr>
        <w:pStyle w:val="5"/>
      </w:pPr>
      <w:bookmarkStart w:id="16" w:name="locally-excited-decay-type-i"/>
      <w:r>
        <w:t>4 Locally Excited Decay (Type I)</w:t>
      </w:r>
    </w:p>
    <w:p w14:paraId="7C7F10CF">
      <w:pPr>
        <w:pStyle w:val="6"/>
      </w:pPr>
      <w:bookmarkStart w:id="17" w:name="physical-picture"/>
      <w:r>
        <w:t>4.1 Physical Picture</w:t>
      </w:r>
    </w:p>
    <w:p w14:paraId="2DEE1838">
      <w:pPr>
        <w:pStyle w:val="4"/>
      </w:pPr>
      <w:r>
        <w:t xml:space="preserve">When energy is injected locally through high-energy particle collisions or cosmic ray events, the local </w:t>
      </w:r>
      <m:oMath>
        <m:sSub>
          <m:sSubPr/>
          <m:e>
            <m:r>
              <m:rPr/>
              <m:t>ρ</m:t>
            </m:r>
          </m:e>
          <m:sub>
            <m:r>
              <m:rPr/>
              <m:t>C</m:t>
            </m:r>
          </m:sub>
        </m:sSub>
      </m:oMath>
      <w:r>
        <w:t xml:space="preserve"> exceeds </w:t>
      </w:r>
      <m:oMath>
        <m:sSub>
          <m:sSubPr/>
          <m:e>
            <m:r>
              <m:rPr/>
              <m:t>ρ</m:t>
            </m:r>
          </m:e>
          <m:sub>
            <m:r>
              <m:rPr>
                <m:sty m:val="p"/>
              </m:rPr>
              <m:t>crit</m:t>
            </m:r>
          </m:sub>
        </m:sSub>
      </m:oMath>
      <w:r>
        <w:t>, forming a vacuum “hole.” Inside the hole, the vacuum temporarily transitions to a higher-dimensional state (locally 26D), while outside the hole, it remains in the 11-dimensional steady-state vacuum.</w:t>
      </w:r>
    </w:p>
    <w:bookmarkEnd w:id="17"/>
    <w:p w14:paraId="2FC62A6F">
      <w:pPr>
        <w:pStyle w:val="6"/>
      </w:pPr>
      <w:bookmarkStart w:id="18" w:name="Xf5ebf76479df7f7c903910e0b8fa7d6e4d646f4"/>
      <w:r>
        <w:t>4.2 Temporary Expansion of the Virtual Particle Spectrum Inside the Hole</w:t>
      </w:r>
    </w:p>
    <w:p w14:paraId="7849649A">
      <w:pPr>
        <w:pStyle w:val="4"/>
      </w:pPr>
      <w:r>
        <w:t xml:space="preserve">Define the hole region </w:t>
      </w:r>
      <m:oMath>
        <m:r>
          <m:rPr>
            <m:sty m:val="p"/>
          </m:rPr>
          <m:t>Ω</m:t>
        </m:r>
      </m:oMath>
      <w:r>
        <w:t xml:space="preserve"> with internal vacuum state </w:t>
      </w:r>
      <m:oMath>
        <m:r>
          <m:rPr>
            <m:sty m:val="p"/>
          </m:rPr>
          <m:t>|Ω⟩</m:t>
        </m:r>
      </m:oMath>
      <w:r>
        <w:t xml:space="preserve">. Inside the hole, the previously merged C field temporarily bifurcates, giving rise to a </w:t>
      </w:r>
      <m:oMath>
        <m:sSup>
          <m:sSupPr/>
          <m:e>
            <m:r>
              <m:rPr/>
              <m:t>C</m:t>
            </m:r>
          </m:e>
          <m:sup>
            <m:r>
              <m:rPr>
                <m:sty m:val="p"/>
              </m:rPr>
              <m:t>−</m:t>
            </m:r>
          </m:sup>
        </m:sSup>
      </m:oMath>
      <w:r>
        <w:t xml:space="preserve"> component. Since the transient three-field combinations </w:t>
      </w:r>
      <m:oMath>
        <m:r>
          <m:rPr/>
          <m:t>AB</m:t>
        </m:r>
        <m:sSup>
          <m:sSupPr/>
          <m:e>
            <m:r>
              <m:rPr/>
              <m:t>C</m:t>
            </m:r>
          </m:e>
          <m:sup>
            <m:r>
              <m:rPr>
                <m:sty m:val="p"/>
              </m:rPr>
              <m:t>±</m:t>
            </m:r>
          </m:sup>
        </m:sSup>
      </m:oMath>
      <w:r>
        <w:t xml:space="preserve"> inside the hole are completely orthogonal to the 11-dimensional steady-state vacuum eigenmodes in frequency, topological charge, and field quantum numbers, the Hilbert space can be written as a strict direct sum:</w:t>
      </w:r>
    </w:p>
    <w:p w14:paraId="0C43785D">
      <w:pPr>
        <w:pStyle w:val="3"/>
      </w:pPr>
      <m:oMathPara>
        <m:oMathParaPr>
          <m:jc m:val="center"/>
        </m:oMathParaPr>
        <m:oMath>
          <m:sSubSup>
            <m:sSubSupPr/>
            <m:e>
              <m:r>
                <m:rPr>
                  <m:sty m:val="p"/>
                  <m:scr m:val="script"/>
                </m:rPr>
                <m:t>ℋ</m:t>
              </m:r>
            </m:e>
            <m:sub>
              <m:r>
                <m:rPr>
                  <m:sty m:val="p"/>
                </m:rPr>
                <m:t>vac</m:t>
              </m:r>
            </m:sub>
            <m:sup>
              <m:r>
                <m:rPr>
                  <m:sty m:val="p"/>
                </m:rPr>
                <m:t>(Ω)</m:t>
              </m:r>
            </m:sup>
          </m:sSubSup>
          <m:r>
            <m:rPr>
              <m:sty m:val="p"/>
            </m:rPr>
            <m:t>=</m:t>
          </m:r>
          <m:sSubSup>
            <m:sSubSupPr/>
            <m:e>
              <m:r>
                <m:rPr>
                  <m:sty m:val="p"/>
                  <m:scr m:val="script"/>
                </m:rPr>
                <m:t>ℋ</m:t>
              </m:r>
            </m:e>
            <m:sub>
              <m:r>
                <m:rPr>
                  <m:sty m:val="p"/>
                </m:rPr>
                <m:t>vac</m:t>
              </m:r>
            </m:sub>
            <m:sup>
              <m:r>
                <m:rPr>
                  <m:sty m:val="p"/>
                </m:rPr>
                <m:t>(</m:t>
              </m:r>
              <m:r>
                <m:rPr/>
                <m:t>11</m:t>
              </m:r>
              <m:r>
                <m:rPr>
                  <m:sty m:val="p"/>
                </m:rPr>
                <m:t>)</m:t>
              </m:r>
            </m:sup>
          </m:sSubSup>
          <m:r>
            <m:rPr>
              <m:sty m:val="p"/>
            </m:rPr>
            <m:t>⊕</m:t>
          </m:r>
          <m:sSub>
            <m:sSubPr/>
            <m:e>
              <m:r>
                <m:rPr>
                  <m:sty m:val="p"/>
                  <m:scr m:val="script"/>
                </m:rPr>
                <m:t>ℋ</m:t>
              </m:r>
            </m:e>
            <m:sub>
              <m:r>
                <m:rPr>
                  <m:sty m:val="p"/>
                </m:rPr>
                <m:t>extra</m:t>
              </m:r>
            </m:sub>
          </m:sSub>
          <m:r>
            <m:rPr>
              <m:sty m:val="p"/>
            </m:rPr>
            <m:t>,</m:t>
          </m:r>
          <m:r>
            <m:rPr/>
            <m:t> </m:t>
          </m:r>
          <m:sSubSup>
            <m:sSubSupPr/>
            <m:e>
              <m:r>
                <m:rPr>
                  <m:sty m:val="p"/>
                  <m:scr m:val="script"/>
                </m:rPr>
                <m:t>ℋ</m:t>
              </m:r>
            </m:e>
            <m:sub>
              <m:r>
                <m:rPr>
                  <m:sty m:val="p"/>
                </m:rPr>
                <m:t>vac</m:t>
              </m:r>
            </m:sub>
            <m:sup>
              <m:r>
                <m:rPr>
                  <m:sty m:val="p"/>
                </m:rPr>
                <m:t>(</m:t>
              </m:r>
              <m:r>
                <m:rPr/>
                <m:t>11</m:t>
              </m:r>
              <m:r>
                <m:rPr>
                  <m:sty m:val="p"/>
                </m:rPr>
                <m:t>)</m:t>
              </m:r>
            </m:sup>
          </m:sSubSup>
          <m:r>
            <m:rPr>
              <m:sty m:val="p"/>
            </m:rPr>
            <m:t>⟂</m:t>
          </m:r>
          <m:sSub>
            <m:sSubPr/>
            <m:e>
              <m:r>
                <m:rPr>
                  <m:sty m:val="p"/>
                  <m:scr m:val="script"/>
                </m:rPr>
                <m:t>ℋ</m:t>
              </m:r>
            </m:e>
            <m:sub>
              <m:r>
                <m:rPr>
                  <m:sty m:val="p"/>
                </m:rPr>
                <m:t>extra</m:t>
              </m:r>
            </m:sub>
          </m:sSub>
        </m:oMath>
      </m:oMathPara>
    </w:p>
    <w:p w14:paraId="4F1F67BE">
      <w:pPr>
        <w:pStyle w:val="4"/>
      </w:pPr>
      <w:r>
        <w:t xml:space="preserve">where </w:t>
      </w:r>
      <m:oMath>
        <m:sSub>
          <m:sSubPr/>
          <m:e>
            <m:r>
              <m:rPr>
                <m:sty m:val="p"/>
                <m:scr m:val="script"/>
              </m:rPr>
              <m:t>ℋ</m:t>
            </m:r>
          </m:e>
          <m:sub>
            <m:r>
              <m:rPr>
                <m:sty m:val="p"/>
              </m:rPr>
              <m:t>extra</m:t>
            </m:r>
          </m:sub>
        </m:sSub>
      </m:oMath>
      <w:r>
        <w:t xml:space="preserve"> contains transient excitation modes:</w:t>
      </w:r>
    </w:p>
    <w:p w14:paraId="006E01F5">
      <w:pPr>
        <w:pStyle w:val="3"/>
      </w:pPr>
      <m:oMathPara>
        <m:oMathParaPr>
          <m:jc m:val="center"/>
        </m:oMathParaPr>
        <m:oMath>
          <m:sSub>
            <m:sSubPr/>
            <m:e>
              <m:r>
                <m:rPr>
                  <m:sty m:val="p"/>
                  <m:scr m:val="script"/>
                </m:rPr>
                <m:t>ℋ</m:t>
              </m:r>
            </m:e>
            <m:sub>
              <m:r>
                <m:rPr>
                  <m:sty m:val="p"/>
                </m:rPr>
                <m:t>extra</m:t>
              </m:r>
            </m:sub>
          </m:sSub>
          <m:r>
            <m:rPr>
              <m:sty m:val="p"/>
            </m:rPr>
            <m:t>=span</m:t>
          </m:r>
          <m:d>
            <m:dPr>
              <m:begChr m:val="{"/>
              <m:sepChr m:val=""/>
              <m:endChr m:val="}"/>
            </m:dPr>
            <m:e>
              <m:r>
                <m:rPr>
                  <m:sty m:val="p"/>
                </m:rPr>
                <m:t>|</m:t>
              </m:r>
              <m:sSup>
                <m:sSupPr/>
                <m:e>
                  <m:r>
                    <m:rPr/>
                    <m:t>C</m:t>
                  </m:r>
                </m:e>
                <m:sup>
                  <m:r>
                    <m:rPr>
                      <m:sty m:val="p"/>
                    </m:rPr>
                    <m:t>−</m:t>
                  </m:r>
                </m:sup>
              </m:sSup>
              <m:r>
                <m:rPr>
                  <m:sty m:val="p"/>
                </m:rPr>
                <m:t>⟩,</m:t>
              </m:r>
              <m:r>
                <m:rPr/>
                <m:t> </m:t>
              </m:r>
              <m:r>
                <m:rPr>
                  <m:sty m:val="p"/>
                </m:rPr>
                <m:t>|</m:t>
              </m:r>
              <m:r>
                <m:rPr/>
                <m:t>A</m:t>
              </m:r>
              <m:sSup>
                <m:sSupPr/>
                <m:e>
                  <m:r>
                    <m:rPr/>
                    <m:t>C</m:t>
                  </m:r>
                </m:e>
                <m:sup>
                  <m:r>
                    <m:rPr>
                      <m:sty m:val="p"/>
                    </m:rPr>
                    <m:t>−</m:t>
                  </m:r>
                </m:sup>
              </m:sSup>
              <m:r>
                <m:rPr>
                  <m:sty m:val="p"/>
                </m:rPr>
                <m:t>⟩,</m:t>
              </m:r>
              <m:r>
                <m:rPr/>
                <m:t> </m:t>
              </m:r>
              <m:r>
                <m:rPr>
                  <m:sty m:val="p"/>
                </m:rPr>
                <m:t>|</m:t>
              </m:r>
              <m:sSup>
                <m:sSupPr/>
                <m:e>
                  <m:r>
                    <m:rPr/>
                    <m:t>B</m:t>
                  </m:r>
                </m:e>
                <m:sup>
                  <m:r>
                    <m:rPr>
                      <m:sty m:val="p"/>
                    </m:rPr>
                    <m:t>+</m:t>
                  </m:r>
                </m:sup>
              </m:sSup>
              <m:sSup>
                <m:sSupPr/>
                <m:e>
                  <m:r>
                    <m:rPr/>
                    <m:t>C</m:t>
                  </m:r>
                </m:e>
                <m:sup>
                  <m:r>
                    <m:rPr>
                      <m:sty m:val="p"/>
                    </m:rPr>
                    <m:t>−</m:t>
                  </m:r>
                </m:sup>
              </m:sSup>
              <m:r>
                <m:rPr>
                  <m:sty m:val="p"/>
                </m:rPr>
                <m:t>⟩,</m:t>
              </m:r>
              <m:r>
                <m:rPr/>
                <m:t> </m:t>
              </m:r>
              <m:r>
                <m:rPr>
                  <m:sty m:val="p"/>
                </m:rPr>
                <m:t>|</m:t>
              </m:r>
              <m:sSup>
                <m:sSupPr/>
                <m:e>
                  <m:r>
                    <m:rPr/>
                    <m:t>B</m:t>
                  </m:r>
                </m:e>
                <m:sup>
                  <m:r>
                    <m:rPr>
                      <m:sty m:val="p"/>
                    </m:rPr>
                    <m:t>−</m:t>
                  </m:r>
                </m:sup>
              </m:sSup>
              <m:sSup>
                <m:sSupPr/>
                <m:e>
                  <m:r>
                    <m:rPr/>
                    <m:t>C</m:t>
                  </m:r>
                </m:e>
                <m:sup>
                  <m:r>
                    <m:rPr>
                      <m:sty m:val="p"/>
                    </m:rPr>
                    <m:t>−</m:t>
                  </m:r>
                </m:sup>
              </m:sSup>
              <m:r>
                <m:rPr>
                  <m:sty m:val="p"/>
                </m:rPr>
                <m:t>⟩,</m:t>
              </m:r>
              <m:r>
                <m:rPr/>
                <m:t> </m:t>
              </m:r>
              <m:r>
                <m:rPr>
                  <m:sty m:val="p"/>
                </m:rPr>
                <m:t>|</m:t>
              </m:r>
              <m:r>
                <m:rPr/>
                <m:t>A</m:t>
              </m:r>
              <m:sSup>
                <m:sSupPr/>
                <m:e>
                  <m:r>
                    <m:rPr/>
                    <m:t>B</m:t>
                  </m:r>
                </m:e>
                <m:sup>
                  <m:r>
                    <m:rPr>
                      <m:sty m:val="p"/>
                    </m:rPr>
                    <m:t>+</m:t>
                  </m:r>
                </m:sup>
              </m:sSup>
              <m:sSup>
                <m:sSupPr/>
                <m:e>
                  <m:r>
                    <m:rPr/>
                    <m:t>C</m:t>
                  </m:r>
                </m:e>
                <m:sup>
                  <m:r>
                    <m:rPr>
                      <m:sty m:val="p"/>
                    </m:rPr>
                    <m:t>+</m:t>
                  </m:r>
                </m:sup>
              </m:sSup>
              <m:r>
                <m:rPr>
                  <m:sty m:val="p"/>
                </m:rPr>
                <m:t>⟩,</m:t>
              </m:r>
              <m:r>
                <m:rPr/>
                <m:t> </m:t>
              </m:r>
              <m:r>
                <m:rPr>
                  <m:sty m:val="p"/>
                </m:rPr>
                <m:t>|</m:t>
              </m:r>
              <m:r>
                <m:rPr/>
                <m:t>A</m:t>
              </m:r>
              <m:sSup>
                <m:sSupPr/>
                <m:e>
                  <m:r>
                    <m:rPr/>
                    <m:t>B</m:t>
                  </m:r>
                </m:e>
                <m:sup>
                  <m:r>
                    <m:rPr>
                      <m:sty m:val="p"/>
                    </m:rPr>
                    <m:t>−</m:t>
                  </m:r>
                </m:sup>
              </m:sSup>
              <m:sSup>
                <m:sSupPr/>
                <m:e>
                  <m:r>
                    <m:rPr/>
                    <m:t>C</m:t>
                  </m:r>
                </m:e>
                <m:sup>
                  <m:r>
                    <m:rPr>
                      <m:sty m:val="p"/>
                    </m:rPr>
                    <m:t>+</m:t>
                  </m:r>
                </m:sup>
              </m:sSup>
              <m:r>
                <m:rPr>
                  <m:sty m:val="p"/>
                </m:rPr>
                <m:t>⟩,</m:t>
              </m:r>
              <m:r>
                <m:rPr/>
                <m:t> </m:t>
              </m:r>
              <m:r>
                <m:rPr>
                  <m:sty m:val="p"/>
                </m:rPr>
                <m:t>|</m:t>
              </m:r>
              <m:r>
                <m:rPr/>
                <m:t>A</m:t>
              </m:r>
              <m:sSup>
                <m:sSupPr/>
                <m:e>
                  <m:r>
                    <m:rPr/>
                    <m:t>B</m:t>
                  </m:r>
                </m:e>
                <m:sup>
                  <m:r>
                    <m:rPr>
                      <m:sty m:val="p"/>
                    </m:rPr>
                    <m:t>+</m:t>
                  </m:r>
                </m:sup>
              </m:sSup>
              <m:sSup>
                <m:sSupPr/>
                <m:e>
                  <m:r>
                    <m:rPr/>
                    <m:t>C</m:t>
                  </m:r>
                </m:e>
                <m:sup>
                  <m:r>
                    <m:rPr>
                      <m:sty m:val="p"/>
                    </m:rPr>
                    <m:t>−</m:t>
                  </m:r>
                </m:sup>
              </m:sSup>
              <m:r>
                <m:rPr>
                  <m:sty m:val="p"/>
                </m:rPr>
                <m:t>⟩,</m:t>
              </m:r>
              <m:r>
                <m:rPr/>
                <m:t> </m:t>
              </m:r>
              <m:r>
                <m:rPr>
                  <m:sty m:val="p"/>
                </m:rPr>
                <m:t>|</m:t>
              </m:r>
              <m:r>
                <m:rPr/>
                <m:t>A</m:t>
              </m:r>
              <m:sSup>
                <m:sSupPr/>
                <m:e>
                  <m:r>
                    <m:rPr/>
                    <m:t>B</m:t>
                  </m:r>
                </m:e>
                <m:sup>
                  <m:r>
                    <m:rPr>
                      <m:sty m:val="p"/>
                    </m:rPr>
                    <m:t>−</m:t>
                  </m:r>
                </m:sup>
              </m:sSup>
              <m:sSup>
                <m:sSupPr/>
                <m:e>
                  <m:r>
                    <m:rPr/>
                    <m:t>C</m:t>
                  </m:r>
                </m:e>
                <m:sup>
                  <m:r>
                    <m:rPr>
                      <m:sty m:val="p"/>
                    </m:rPr>
                    <m:t>−</m:t>
                  </m:r>
                </m:sup>
              </m:sSup>
              <m:r>
                <m:rPr>
                  <m:sty m:val="p"/>
                </m:rPr>
                <m:t>⟩</m:t>
              </m:r>
            </m:e>
          </m:d>
        </m:oMath>
      </m:oMathPara>
    </w:p>
    <w:bookmarkEnd w:id="18"/>
    <w:p w14:paraId="418BD788">
      <w:pPr>
        <w:pStyle w:val="6"/>
      </w:pPr>
      <w:bookmarkStart w:id="19" w:name="X5d5d1d4bd02faaeacbded1cb12b3ac5502f0039"/>
      <w:r>
        <w:t>4.3 Lifetime and Decay of Three-Field Transients</w:t>
      </w:r>
    </w:p>
    <w:p w14:paraId="6A9F15E8">
      <w:pPr>
        <w:pStyle w:val="4"/>
      </w:pPr>
      <w:r>
        <w:t>The creation operator for three-field transients is:</w:t>
      </w:r>
    </w:p>
    <w:p w14:paraId="5EB19F62">
      <w:pPr>
        <w:pStyle w:val="3"/>
      </w:pPr>
      <m:oMathPara>
        <m:oMathParaPr>
          <m:jc m:val="center"/>
        </m:oMathParaPr>
        <m:oMath>
          <m:sSub>
            <m:sSubPr/>
            <m:e>
              <m:acc>
                <m:accPr/>
                <m:e>
                  <m:r>
                    <m:rPr>
                      <m:sty m:val="p"/>
                    </m:rPr>
                    <m:t>Ψ</m:t>
                  </m:r>
                </m:e>
              </m:acc>
            </m:e>
            <m:sub>
              <m:r>
                <m:rPr/>
                <m:t>ABC</m:t>
              </m:r>
            </m:sub>
          </m:sSub>
          <m:r>
            <m:rPr>
              <m:sty m:val="p"/>
            </m:rPr>
            <m:t>(</m:t>
          </m:r>
          <m:r>
            <m:rPr/>
            <m:t>x</m:t>
          </m:r>
          <m:r>
            <m:rPr>
              <m:sty m:val="p"/>
            </m:rPr>
            <m:t>)=</m:t>
          </m:r>
          <m:acc>
            <m:accPr/>
            <m:e>
              <m:r>
                <m:rPr/>
                <m:t>A</m:t>
              </m:r>
            </m:e>
          </m:acc>
          <m:r>
            <m:rPr>
              <m:sty m:val="p"/>
            </m:rPr>
            <m:t>(</m:t>
          </m:r>
          <m:r>
            <m:rPr/>
            <m:t>x</m:t>
          </m:r>
          <m:r>
            <m:rPr>
              <m:sty m:val="p"/>
            </m:rPr>
            <m:t>)</m:t>
          </m:r>
          <m:acc>
            <m:accPr/>
            <m:e>
              <m:r>
                <m:rPr/>
                <m:t>B</m:t>
              </m:r>
            </m:e>
          </m:acc>
          <m:r>
            <m:rPr>
              <m:sty m:val="p"/>
            </m:rPr>
            <m:t>(</m:t>
          </m:r>
          <m:r>
            <m:rPr/>
            <m:t>x</m:t>
          </m:r>
          <m:r>
            <m:rPr>
              <m:sty m:val="p"/>
            </m:rPr>
            <m:t>)</m:t>
          </m:r>
          <m:acc>
            <m:accPr/>
            <m:e>
              <m:r>
                <m:rPr/>
                <m:t>C</m:t>
              </m:r>
            </m:e>
          </m:acc>
          <m:r>
            <m:rPr>
              <m:sty m:val="p"/>
            </m:rPr>
            <m:t>(</m:t>
          </m:r>
          <m:r>
            <m:rPr/>
            <m:t>x</m:t>
          </m:r>
          <m:r>
            <m:rPr>
              <m:sty m:val="p"/>
            </m:rPr>
            <m:t>)</m:t>
          </m:r>
        </m:oMath>
      </m:oMathPara>
    </w:p>
    <w:p w14:paraId="3BB42026">
      <w:pPr>
        <w:pStyle w:val="4"/>
      </w:pPr>
      <w:r>
        <w:t>Their propagator is:</w:t>
      </w:r>
    </w:p>
    <w:p w14:paraId="745A12AB">
      <w:pPr>
        <w:pStyle w:val="3"/>
      </w:pPr>
      <m:oMathPara>
        <m:oMathParaPr>
          <m:jc m:val="center"/>
        </m:oMathParaPr>
        <m:oMath>
          <m:r>
            <m:rPr>
              <m:sty m:val="p"/>
            </m:rPr>
            <m:t>⟨</m:t>
          </m:r>
          <m:r>
            <m:rPr/>
            <m:t>0</m:t>
          </m:r>
          <m:r>
            <m:rPr>
              <m:sty m:val="p"/>
            </m:rPr>
            <m:t>|</m:t>
          </m:r>
          <m:r>
            <m:rPr/>
            <m:t>T</m:t>
          </m:r>
          <m:r>
            <m:rPr>
              <m:sty m:val="p"/>
            </m:rPr>
            <m:t>{</m:t>
          </m:r>
          <m:sSub>
            <m:sSubPr/>
            <m:e>
              <m:acc>
                <m:accPr/>
                <m:e>
                  <m:r>
                    <m:rPr>
                      <m:sty m:val="p"/>
                    </m:rPr>
                    <m:t>Ψ</m:t>
                  </m:r>
                </m:e>
              </m:acc>
            </m:e>
            <m:sub>
              <m:r>
                <m:rPr/>
                <m:t>ABC</m:t>
              </m:r>
            </m:sub>
          </m:sSub>
          <m:r>
            <m:rPr>
              <m:sty m:val="p"/>
            </m:rPr>
            <m:t>(</m:t>
          </m:r>
          <m:r>
            <m:rPr/>
            <m:t>x</m:t>
          </m:r>
          <m:r>
            <m:rPr>
              <m:sty m:val="p"/>
            </m:rPr>
            <m:t>)</m:t>
          </m:r>
          <m:sSubSup>
            <m:sSubSupPr/>
            <m:e>
              <m:acc>
                <m:accPr/>
                <m:e>
                  <m:r>
                    <m:rPr>
                      <m:sty m:val="p"/>
                    </m:rPr>
                    <m:t>Ψ</m:t>
                  </m:r>
                </m:e>
              </m:acc>
            </m:e>
            <m:sub>
              <m:r>
                <m:rPr/>
                <m:t>ABC</m:t>
              </m:r>
            </m:sub>
            <m:sup>
              <m:r>
                <m:rPr>
                  <m:sty m:val="p"/>
                </m:rPr>
                <m:t>†</m:t>
              </m:r>
            </m:sup>
          </m:sSubSup>
          <m:r>
            <m:rPr>
              <m:sty m:val="p"/>
            </m:rPr>
            <m:t>(</m:t>
          </m:r>
          <m:r>
            <m:rPr/>
            <m:t>y</m:t>
          </m:r>
          <m:r>
            <m:rPr>
              <m:sty m:val="p"/>
            </m:rPr>
            <m:t>)}|</m:t>
          </m:r>
          <m:r>
            <m:rPr/>
            <m:t>0</m:t>
          </m:r>
          <m:r>
            <m:rPr>
              <m:sty m:val="p"/>
            </m:rPr>
            <m:t>⟩=</m:t>
          </m:r>
          <m:f>
            <m:fPr/>
            <m:num>
              <m:r>
                <m:rPr/>
                <m:t>1</m:t>
              </m:r>
            </m:num>
            <m:den>
              <m:r>
                <m:rPr>
                  <m:sty m:val="p"/>
                </m:rPr>
                <m:t>(</m:t>
              </m:r>
              <m:r>
                <m:rPr/>
                <m:t>2π</m:t>
              </m:r>
              <m:sSup>
                <m:sSupPr/>
                <m:e>
                  <m:r>
                    <m:rPr>
                      <m:sty m:val="p"/>
                    </m:rPr>
                    <m:t>)</m:t>
                  </m:r>
                </m:e>
                <m:sup>
                  <m:r>
                    <m:rPr/>
                    <m:t>4</m:t>
                  </m:r>
                </m:sup>
              </m:sSup>
            </m:den>
          </m:f>
          <m:r>
            <m:rPr>
              <m:sty m:val="p"/>
            </m:rPr>
            <m:t>∫</m:t>
          </m:r>
          <m:sSup>
            <m:sSupPr/>
            <m:e>
              <m:r>
                <m:rPr/>
                <m:t>d</m:t>
              </m:r>
            </m:e>
            <m:sup>
              <m:r>
                <m:rPr/>
                <m:t>4</m:t>
              </m:r>
            </m:sup>
          </m:sSup>
          <m:r>
            <m:rPr/>
            <m:t>p</m:t>
          </m:r>
          <m:f>
            <m:fPr/>
            <m:num>
              <m:r>
                <m:rPr/>
                <m:t>i</m:t>
              </m:r>
              <m:sSup>
                <m:sSupPr/>
                <m:e>
                  <m:r>
                    <m:rPr/>
                    <m:t>e</m:t>
                  </m:r>
                </m:e>
                <m:sup>
                  <m:r>
                    <m:rPr>
                      <m:sty m:val="p"/>
                    </m:rPr>
                    <m:t>−</m:t>
                  </m:r>
                  <m:r>
                    <m:rPr/>
                    <m:t>ip</m:t>
                  </m:r>
                  <m:r>
                    <m:rPr>
                      <m:sty m:val="p"/>
                    </m:rPr>
                    <m:t>⋅(</m:t>
                  </m:r>
                  <m:r>
                    <m:rPr/>
                    <m:t>x</m:t>
                  </m:r>
                  <m:r>
                    <m:rPr>
                      <m:sty m:val="p"/>
                    </m:rPr>
                    <m:t>−</m:t>
                  </m:r>
                  <m:r>
                    <m:rPr/>
                    <m:t>y</m:t>
                  </m:r>
                  <m:r>
                    <m:rPr>
                      <m:sty m:val="p"/>
                    </m:rPr>
                    <m:t>)</m:t>
                  </m:r>
                </m:sup>
              </m:sSup>
            </m:num>
            <m:den>
              <m:sSup>
                <m:sSupPr/>
                <m:e>
                  <m:r>
                    <m:rPr/>
                    <m:t>p</m:t>
                  </m:r>
                </m:e>
                <m:sup>
                  <m:r>
                    <m:rPr/>
                    <m:t>2</m:t>
                  </m:r>
                </m:sup>
              </m:sSup>
              <m:r>
                <m:rPr>
                  <m:sty m:val="p"/>
                </m:rPr>
                <m:t>−</m:t>
              </m:r>
              <m:sSubSup>
                <m:sSubSupPr/>
                <m:e>
                  <m:r>
                    <m:rPr/>
                    <m:t>m</m:t>
                  </m:r>
                </m:e>
                <m:sub>
                  <m:r>
                    <m:rPr/>
                    <m:t>ABC</m:t>
                  </m:r>
                </m:sub>
                <m:sup>
                  <m:r>
                    <m:rPr/>
                    <m:t>2</m:t>
                  </m:r>
                </m:sup>
              </m:sSubSup>
              <m:r>
                <m:rPr>
                  <m:sty m:val="p"/>
                </m:rPr>
                <m:t>+</m:t>
              </m:r>
              <m:r>
                <m:rPr/>
                <m:t>iε</m:t>
              </m:r>
            </m:den>
          </m:f>
        </m:oMath>
      </m:oMathPara>
    </w:p>
    <w:p w14:paraId="5853E474">
      <w:pPr>
        <w:pStyle w:val="4"/>
      </w:pPr>
      <w:r>
        <w:t xml:space="preserve">The transient lifetime is given by the energy-time uncertainty relation: </w:t>
      </w:r>
      <m:oMath>
        <m:r>
          <m:rPr/>
          <m:t>τ</m:t>
        </m:r>
        <m:r>
          <m:rPr>
            <m:sty m:val="p"/>
          </m:rPr>
          <m:t>∼ℏ/Δ</m:t>
        </m:r>
        <m:r>
          <m:rPr/>
          <m:t>E</m:t>
        </m:r>
      </m:oMath>
      <w:r>
        <w:t xml:space="preserve">, where </w:t>
      </w:r>
      <m:oMath>
        <m:r>
          <m:rPr>
            <m:sty m:val="p"/>
          </m:rPr>
          <m:t>Δ</m:t>
        </m:r>
        <m:r>
          <m:rPr/>
          <m:t>E</m:t>
        </m:r>
      </m:oMath>
      <w:r>
        <w:t xml:space="preserve"> is the amount by which the energy density inside the hole exceeds the threshold.</w:t>
      </w:r>
    </w:p>
    <w:bookmarkEnd w:id="19"/>
    <w:p w14:paraId="38701C91">
      <w:pPr>
        <w:pStyle w:val="6"/>
      </w:pPr>
      <w:bookmarkStart w:id="20" w:name="X908b491b3435d259364d9557130b02439bfdafb"/>
      <w:r>
        <w:t>4.4 Connection with Other Results in the FCWFT Framework</w:t>
      </w:r>
    </w:p>
    <w:p w14:paraId="3FEDB378">
      <w:pPr>
        <w:pStyle w:val="4"/>
      </w:pPr>
      <w:r>
        <w:t xml:space="preserve">The ABC decomposition-recombination mechanism described in B33 is precisely a concrete realization of local decay: the superposition of the C fields of two protons causes </w:t>
      </w:r>
      <m:oMath>
        <m:sSub>
          <m:sSubPr/>
          <m:e>
            <m:r>
              <m:rPr/>
              <m:t>ρ</m:t>
            </m:r>
          </m:e>
          <m:sub>
            <m:r>
              <m:rPr/>
              <m:t>C</m:t>
            </m:r>
          </m:sub>
        </m:sSub>
        <m:r>
          <m:rPr>
            <m:sty m:val="p"/>
          </m:rPr>
          <m:t>&gt;</m:t>
        </m:r>
        <m:sSub>
          <m:sSubPr/>
          <m:e>
            <m:r>
              <m:rPr/>
              <m:t>ρ</m:t>
            </m:r>
          </m:e>
          <m:sub>
            <m:r>
              <m:rPr>
                <m:sty m:val="p"/>
              </m:rPr>
              <m:t>crit</m:t>
            </m:r>
          </m:sub>
        </m:sSub>
      </m:oMath>
      <w:r>
        <w:t>, forming a vacuum hole; inside the hole, three-field transients flash into existence, with some solidifying into standard model particles (</w:t>
      </w:r>
      <m:oMath>
        <m:r>
          <m:rPr/>
          <m:t>AB</m:t>
        </m:r>
        <m:sSup>
          <m:sSupPr/>
          <m:e>
            <m:r>
              <m:rPr/>
              <m:t>C</m:t>
            </m:r>
          </m:e>
          <m:sup>
            <m:r>
              <m:rPr>
                <m:sty m:val="p"/>
              </m:rPr>
              <m:t>+</m:t>
            </m:r>
          </m:sup>
        </m:sSup>
      </m:oMath>
      <w:r>
        <w:t xml:space="preserve">) and others returning to the vacuum (annihilation of modes containing </w:t>
      </w:r>
      <m:oMath>
        <m:sSup>
          <m:sSupPr/>
          <m:e>
            <m:r>
              <m:rPr/>
              <m:t>C</m:t>
            </m:r>
          </m:e>
          <m:sup>
            <m:r>
              <m:rPr>
                <m:sty m:val="p"/>
              </m:rPr>
              <m:t>−</m:t>
            </m:r>
          </m:sup>
        </m:sSup>
      </m:oMath>
      <w:r>
        <w:t>). The transition matrix element for this process is:</w:t>
      </w:r>
    </w:p>
    <w:p w14:paraId="5336E9B5">
      <w:pPr>
        <w:pStyle w:val="3"/>
      </w:pPr>
      <m:oMathPara>
        <m:oMathParaPr>
          <m:jc m:val="center"/>
        </m:oMathParaPr>
        <m:oMath>
          <m:sSub>
            <m:sSubPr/>
            <m:e>
              <m:r>
                <m:rPr>
                  <m:sty m:val="p"/>
                  <m:scr m:val="script"/>
                </m:rPr>
                <m:t>ℳ</m:t>
              </m:r>
            </m:e>
            <m:sub>
              <m:r>
                <m:rPr/>
                <m:t>pp</m:t>
              </m:r>
              <m:r>
                <m:rPr>
                  <m:sty m:val="p"/>
                </m:rPr>
                <m:t>→</m:t>
              </m:r>
              <m:r>
                <m:rPr/>
                <m:t>H</m:t>
              </m:r>
              <m:r>
                <m:rPr>
                  <m:sty m:val="p"/>
                </m:rPr>
                <m:t>+</m:t>
              </m:r>
              <m:r>
                <m:rPr/>
                <m:t>X</m:t>
              </m:r>
            </m:sub>
          </m:sSub>
          <m:r>
            <m:rPr>
              <m:sty m:val="p"/>
            </m:rPr>
            <m:t>=⟨</m:t>
          </m:r>
          <m:r>
            <m:rPr/>
            <m:t>H</m:t>
          </m:r>
          <m:r>
            <m:rPr>
              <m:sty m:val="p"/>
            </m:rPr>
            <m:t>,</m:t>
          </m:r>
          <m:r>
            <m:rPr/>
            <m:t>X</m:t>
          </m:r>
          <m:r>
            <m:rPr>
              <m:sty m:val="p"/>
            </m:rPr>
            <m:t>|</m:t>
          </m:r>
          <m:sSub>
            <m:sSubPr/>
            <m:e>
              <m:acc>
                <m:accPr/>
                <m:e>
                  <m:r>
                    <m:rPr/>
                    <m:t>U</m:t>
                  </m:r>
                </m:e>
              </m:acc>
            </m:e>
            <m:sub>
              <m:r>
                <m:rPr>
                  <m:sty m:val="p"/>
                </m:rPr>
                <m:t>decay</m:t>
              </m:r>
            </m:sub>
          </m:sSub>
          <m:r>
            <m:rPr>
              <m:sty m:val="p"/>
            </m:rPr>
            <m:t>|</m:t>
          </m:r>
          <m:r>
            <m:rPr/>
            <m:t>pp</m:t>
          </m:r>
          <m:r>
            <m:rPr>
              <m:sty m:val="p"/>
            </m:rPr>
            <m:t>⟩</m:t>
          </m:r>
        </m:oMath>
      </m:oMathPara>
    </w:p>
    <w:p w14:paraId="5884934F">
      <w:pPr>
        <w:pStyle w:val="4"/>
      </w:pPr>
      <w:r>
        <w:t xml:space="preserve">Transient three-field combinations produced during local decay (such as </w:t>
      </w:r>
      <m:oMath>
        <m:r>
          <m:rPr/>
          <m:t>A</m:t>
        </m:r>
        <m:sSup>
          <m:sSupPr/>
          <m:e>
            <m:r>
              <m:rPr/>
              <m:t>B</m:t>
            </m:r>
          </m:e>
          <m:sup>
            <m:r>
              <m:rPr>
                <m:sty m:val="p"/>
              </m:rPr>
              <m:t>+</m:t>
            </m:r>
          </m:sup>
        </m:sSup>
        <m:sSup>
          <m:sSupPr/>
          <m:e>
            <m:r>
              <m:rPr/>
              <m:t>C</m:t>
            </m:r>
          </m:e>
          <m:sup>
            <m:r>
              <m:rPr>
                <m:sty m:val="p"/>
              </m:rPr>
              <m:t>−</m:t>
            </m:r>
          </m:sup>
        </m:sSup>
      </m:oMath>
      <w:r>
        <w:t xml:space="preserve">) can be regarded as internal lines of virtual particle loops during propagation. Their contribution to the self-energy of standard model particles is equivalent to the higher-order loop diagrams corrected by the fully paired gluon topological factor </w:t>
      </w:r>
      <m:oMath>
        <m:sSup>
          <m:sSupPr/>
          <m:e>
            <m:r>
              <m:rPr/>
              <m:t>κ</m:t>
            </m:r>
          </m:e>
          <m:sup>
            <m:r>
              <m:rPr/>
              <m:t>2</m:t>
            </m:r>
          </m:sup>
        </m:sSup>
      </m:oMath>
      <w:r>
        <w:t xml:space="preserve"> in B32. The mathematical connection lies in the fact that the transient lifetime </w:t>
      </w:r>
      <m:oMath>
        <m:r>
          <m:rPr/>
          <m:t>τ</m:t>
        </m:r>
        <m:r>
          <m:rPr>
            <m:sty m:val="p"/>
          </m:rPr>
          <m:t>∼ℏ/Δ</m:t>
        </m:r>
        <m:r>
          <m:rPr/>
          <m:t>E</m:t>
        </m:r>
      </m:oMath>
      <w:r>
        <w:t xml:space="preserve"> is consistent with the imaginary energy scale in loop integrals. Therefore, this type of local vacuum transient excitation is equivalent, at the quantum field theory level, to the higher-order multi-loop topological self-energy corrections in B32, achieving full self-consistency across the FCWFT tree-level, loop-level, and vacuum dimensional transition framework.</w:t>
      </w:r>
    </w:p>
    <w:bookmarkEnd w:id="16"/>
    <w:bookmarkEnd w:id="20"/>
    <w:p w14:paraId="54E5908A">
      <w:pPr>
        <w:pStyle w:val="5"/>
      </w:pPr>
      <w:bookmarkStart w:id="21" w:name="X14530c687ce7533f32e8a7359c3a1deda0d3658"/>
      <w:r>
        <w:t>5 Global A-Field Bifurcation Decay (Type II-a: 11D → 17D)</w:t>
      </w:r>
    </w:p>
    <w:p w14:paraId="0216B676">
      <w:pPr>
        <w:pStyle w:val="6"/>
      </w:pPr>
      <w:bookmarkStart w:id="22" w:name="trigger-condition"/>
      <w:r>
        <w:t>5.1 Trigger Condition</w:t>
      </w:r>
    </w:p>
    <w:p w14:paraId="26C61A3D">
      <w:pPr>
        <w:pStyle w:val="4"/>
      </w:pPr>
      <w:r>
        <w:t xml:space="preserve">When </w:t>
      </w:r>
      <m:oMath>
        <m:sSub>
          <m:sSubPr/>
          <m:e>
            <m:r>
              <m:rPr/>
              <m:t>ρ</m:t>
            </m:r>
          </m:e>
          <m:sub>
            <m:r>
              <m:rPr/>
              <m:t>C</m:t>
            </m:r>
          </m:sub>
        </m:sSub>
      </m:oMath>
      <w:r>
        <w:t xml:space="preserve"> throughout the entire spatial region continues to rise and breaks through the A-field bifurcation threshold (</w:t>
      </w:r>
      <m:oMath>
        <m:r>
          <m:rPr>
            <m:sty m:val="p"/>
          </m:rPr>
          <m:t>∼</m:t>
        </m:r>
        <m:sSup>
          <m:sSupPr/>
          <m:e>
            <m:r>
              <m:rPr/>
              <m:t>10</m:t>
            </m:r>
          </m:e>
          <m:sup>
            <m:r>
              <m:rPr/>
              <m:t>19</m:t>
            </m:r>
          </m:sup>
        </m:sSup>
        <m:r>
          <m:rPr/>
          <m:t> </m:t>
        </m:r>
        <m:r>
          <m:rPr>
            <m:sty m:val="p"/>
          </m:rPr>
          <m:t>GeV</m:t>
        </m:r>
      </m:oMath>
      <w:r>
        <w:t>), the previously merged positive and negative components of the A field separate and thaw.</w:t>
      </w:r>
    </w:p>
    <w:bookmarkEnd w:id="22"/>
    <w:p w14:paraId="7F1A04E0">
      <w:pPr>
        <w:pStyle w:val="6"/>
      </w:pPr>
      <w:bookmarkStart w:id="23" w:name="field-bifurcation-operator"/>
      <w:r>
        <w:t>5.2 Field Bifurcation Operator</w:t>
      </w:r>
    </w:p>
    <w:p w14:paraId="521A7E74">
      <w:pPr>
        <w:pStyle w:val="4"/>
      </w:pPr>
      <w:r>
        <w:t xml:space="preserve">Define the A-field bifurcation operator </w:t>
      </w:r>
      <m:oMath>
        <m:sSub>
          <m:sSubPr/>
          <m:e>
            <m:acc>
              <m:accPr/>
              <m:e>
                <m:r>
                  <m:rPr/>
                  <m:t>S</m:t>
                </m:r>
              </m:e>
            </m:acc>
          </m:e>
          <m:sub>
            <m:r>
              <m:rPr/>
              <m:t>A</m:t>
            </m:r>
          </m:sub>
        </m:sSub>
      </m:oMath>
      <w:r>
        <w:t>, which splits the merged A-field state into two independent components:</w:t>
      </w:r>
    </w:p>
    <w:p w14:paraId="29395740">
      <w:pPr>
        <w:pStyle w:val="3"/>
      </w:pPr>
      <m:oMathPara>
        <m:oMathParaPr>
          <m:jc m:val="center"/>
        </m:oMathParaPr>
        <m:oMath>
          <m:sSub>
            <m:sSubPr/>
            <m:e>
              <m:acc>
                <m:accPr/>
                <m:e>
                  <m:r>
                    <m:rPr/>
                    <m:t>S</m:t>
                  </m:r>
                </m:e>
              </m:acc>
            </m:e>
            <m:sub>
              <m:r>
                <m:rPr/>
                <m:t>A</m:t>
              </m:r>
            </m:sub>
          </m:sSub>
          <m:r>
            <m:rPr>
              <m:sty m:val="p"/>
            </m:rPr>
            <m:t>|</m:t>
          </m:r>
          <m:r>
            <m:rPr/>
            <m:t>A</m:t>
          </m:r>
          <m:r>
            <m:rPr>
              <m:sty m:val="p"/>
            </m:rPr>
            <m:t>⟩=</m:t>
          </m:r>
          <m:f>
            <m:fPr/>
            <m:num>
              <m:r>
                <m:rPr/>
                <m:t>1</m:t>
              </m:r>
            </m:num>
            <m:den>
              <m:rad>
                <m:radPr>
                  <m:degHide m:val="1"/>
                </m:radPr>
                <m:deg/>
                <m:e>
                  <m:r>
                    <m:rPr/>
                    <m:t>2</m:t>
                  </m:r>
                </m:e>
              </m:rad>
            </m:den>
          </m:f>
          <m:d>
            <m:dPr>
              <m:sepChr m:val=""/>
            </m:dPr>
            <m:e>
              <m:r>
                <m:rPr>
                  <m:sty m:val="p"/>
                </m:rPr>
                <m:t>|</m:t>
              </m:r>
              <m:sSup>
                <m:sSupPr/>
                <m:e>
                  <m:r>
                    <m:rPr/>
                    <m:t>A</m:t>
                  </m:r>
                </m:e>
                <m:sup>
                  <m:r>
                    <m:rPr>
                      <m:sty m:val="p"/>
                    </m:rPr>
                    <m:t>+</m:t>
                  </m:r>
                </m:sup>
              </m:sSup>
              <m:r>
                <m:rPr>
                  <m:sty m:val="p"/>
                </m:rPr>
                <m:t>⟩+|</m:t>
              </m:r>
              <m:sSup>
                <m:sSupPr/>
                <m:e>
                  <m:r>
                    <m:rPr/>
                    <m:t>A</m:t>
                  </m:r>
                </m:e>
                <m:sup>
                  <m:r>
                    <m:rPr>
                      <m:sty m:val="p"/>
                    </m:rPr>
                    <m:t>−</m:t>
                  </m:r>
                </m:sup>
              </m:sSup>
              <m:r>
                <m:rPr>
                  <m:sty m:val="p"/>
                </m:rPr>
                <m:t>⟩</m:t>
              </m:r>
            </m:e>
          </m:d>
        </m:oMath>
      </m:oMathPara>
    </w:p>
    <w:p w14:paraId="7C15FF92">
      <w:pPr>
        <w:pStyle w:val="4"/>
      </w:pPr>
      <w:r>
        <w:t>For two-field combinations, the bifurcation operator acts as:</w:t>
      </w:r>
    </w:p>
    <w:p w14:paraId="32EEF27E">
      <w:pPr>
        <w:pStyle w:val="3"/>
      </w:pPr>
      <m:oMathPara>
        <m:oMathParaPr>
          <m:jc m:val="center"/>
        </m:oMathParaPr>
        <m:oMath>
          <m:sSub>
            <m:sSubPr/>
            <m:e>
              <m:acc>
                <m:accPr/>
                <m:e>
                  <m:r>
                    <m:rPr/>
                    <m:t>S</m:t>
                  </m:r>
                </m:e>
              </m:acc>
            </m:e>
            <m:sub>
              <m:r>
                <m:rPr/>
                <m:t>A</m:t>
              </m:r>
            </m:sub>
          </m:sSub>
          <m:r>
            <m:rPr>
              <m:sty m:val="p"/>
            </m:rPr>
            <m:t>|</m:t>
          </m:r>
          <m:r>
            <m:rPr/>
            <m:t>A</m:t>
          </m:r>
          <m:sSup>
            <m:sSupPr/>
            <m:e>
              <m:r>
                <m:rPr/>
                <m:t>B</m:t>
              </m:r>
            </m:e>
            <m:sup>
              <m:r>
                <m:rPr>
                  <m:sty m:val="p"/>
                </m:rPr>
                <m:t>+</m:t>
              </m:r>
            </m:sup>
          </m:sSup>
          <m:r>
            <m:rPr>
              <m:sty m:val="p"/>
            </m:rPr>
            <m:t>⟩=</m:t>
          </m:r>
          <m:f>
            <m:fPr/>
            <m:num>
              <m:r>
                <m:rPr/>
                <m:t>1</m:t>
              </m:r>
            </m:num>
            <m:den>
              <m:rad>
                <m:radPr>
                  <m:degHide m:val="1"/>
                </m:radPr>
                <m:deg/>
                <m:e>
                  <m:r>
                    <m:rPr/>
                    <m:t>2</m:t>
                  </m:r>
                </m:e>
              </m:rad>
            </m:den>
          </m:f>
          <m:d>
            <m:dPr>
              <m:sepChr m:val=""/>
            </m:dPr>
            <m:e>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e>
          </m:d>
        </m:oMath>
      </m:oMathPara>
    </w:p>
    <w:p w14:paraId="53DF7831">
      <w:pPr>
        <w:pStyle w:val="4"/>
      </w:pPr>
      <m:oMathPara>
        <m:oMathParaPr>
          <m:jc m:val="center"/>
        </m:oMathParaPr>
        <m:oMath>
          <m:sSub>
            <m:sSubPr/>
            <m:e>
              <m:acc>
                <m:accPr/>
                <m:e>
                  <m:r>
                    <m:rPr/>
                    <m:t>S</m:t>
                  </m:r>
                </m:e>
              </m:acc>
            </m:e>
            <m:sub>
              <m:r>
                <m:rPr/>
                <m:t>A</m:t>
              </m:r>
            </m:sub>
          </m:sSub>
          <m:r>
            <m:rPr>
              <m:sty m:val="p"/>
            </m:rPr>
            <m:t>|</m:t>
          </m:r>
          <m:r>
            <m:rPr/>
            <m:t>A</m:t>
          </m:r>
          <m:sSup>
            <m:sSupPr/>
            <m:e>
              <m:r>
                <m:rPr/>
                <m:t>B</m:t>
              </m:r>
            </m:e>
            <m:sup>
              <m:r>
                <m:rPr>
                  <m:sty m:val="p"/>
                </m:rPr>
                <m:t>−</m:t>
              </m:r>
            </m:sup>
          </m:sSup>
          <m:r>
            <m:rPr>
              <m:sty m:val="p"/>
            </m:rPr>
            <m:t>⟩=</m:t>
          </m:r>
          <m:f>
            <m:fPr/>
            <m:num>
              <m:r>
                <m:rPr/>
                <m:t>1</m:t>
              </m:r>
            </m:num>
            <m:den>
              <m:rad>
                <m:radPr>
                  <m:degHide m:val="1"/>
                </m:radPr>
                <m:deg/>
                <m:e>
                  <m:r>
                    <m:rPr/>
                    <m:t>2</m:t>
                  </m:r>
                </m:e>
              </m:rad>
            </m:den>
          </m:f>
          <m:d>
            <m:dPr>
              <m:sepChr m:val=""/>
            </m:dPr>
            <m:e>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e>
          </m:d>
        </m:oMath>
      </m:oMathPara>
    </w:p>
    <w:p w14:paraId="7D23D3AD">
      <w:pPr>
        <w:pStyle w:val="4"/>
      </w:pPr>
      <m:oMathPara>
        <m:oMathParaPr>
          <m:jc m:val="center"/>
        </m:oMathParaPr>
        <m:oMath>
          <m:sSub>
            <m:sSubPr/>
            <m:e>
              <m:acc>
                <m:accPr/>
                <m:e>
                  <m:r>
                    <m:rPr/>
                    <m:t>S</m:t>
                  </m:r>
                </m:e>
              </m:acc>
            </m:e>
            <m:sub>
              <m:r>
                <m:rPr/>
                <m:t>A</m:t>
              </m:r>
            </m:sub>
          </m:sSub>
          <m:r>
            <m:rPr>
              <m:sty m:val="p"/>
            </m:rPr>
            <m:t>|</m:t>
          </m:r>
          <m:r>
            <m:rPr/>
            <m:t>A</m:t>
          </m:r>
          <m:sSup>
            <m:sSupPr/>
            <m:e>
              <m:r>
                <m:rPr/>
                <m:t>C</m:t>
              </m:r>
            </m:e>
            <m:sup>
              <m:r>
                <m:rPr>
                  <m:sty m:val="p"/>
                </m:rPr>
                <m:t>+</m:t>
              </m:r>
            </m:sup>
          </m:sSup>
          <m:r>
            <m:rPr>
              <m:sty m:val="p"/>
            </m:rPr>
            <m:t>⟩=</m:t>
          </m:r>
          <m:f>
            <m:fPr/>
            <m:num>
              <m:r>
                <m:rPr/>
                <m:t>1</m:t>
              </m:r>
            </m:num>
            <m:den>
              <m:rad>
                <m:radPr>
                  <m:degHide m:val="1"/>
                </m:radPr>
                <m:deg/>
                <m:e>
                  <m:r>
                    <m:rPr/>
                    <m:t>2</m:t>
                  </m:r>
                </m:e>
              </m:rad>
            </m:den>
          </m:f>
          <m:d>
            <m:dPr>
              <m:sepChr m:val=""/>
            </m:dPr>
            <m:e>
              <m:r>
                <m:rPr>
                  <m:sty m:val="p"/>
                </m:rPr>
                <m:t>|</m:t>
              </m:r>
              <m:sSup>
                <m:sSupPr/>
                <m:e>
                  <m:r>
                    <m:rPr/>
                    <m:t>A</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e>
          </m:d>
        </m:oMath>
      </m:oMathPara>
    </w:p>
    <w:bookmarkEnd w:id="23"/>
    <w:p w14:paraId="28C88FB7">
      <w:pPr>
        <w:pStyle w:val="6"/>
      </w:pPr>
      <w:bookmarkStart w:id="24" w:name="X9720554a74d7fea666a11e515f56a2827f3c5c4"/>
      <w:r>
        <w:t>5.3 Complete Reconstruction of the Virtual Particle Spectrum</w:t>
      </w:r>
    </w:p>
    <w:p w14:paraId="092711E6">
      <w:pPr>
        <w:pStyle w:val="4"/>
      </w:pPr>
      <w:r>
        <w:t xml:space="preserve">The A-field positive-negative bifurcation </w:t>
      </w:r>
      <m:oMath>
        <m:r>
          <m:rPr/>
          <m:t>A</m:t>
        </m:r>
        <m:r>
          <m:rPr>
            <m:sty m:val="p"/>
          </m:rPr>
          <m:t>→</m:t>
        </m:r>
        <m:sSup>
          <m:sSupPr/>
          <m:e>
            <m:r>
              <m:rPr/>
              <m:t>A</m:t>
            </m:r>
          </m:e>
          <m:sup>
            <m:r>
              <m:rPr>
                <m:sty m:val="p"/>
              </m:rPr>
              <m:t>+</m:t>
            </m:r>
          </m:sup>
        </m:sSup>
        <m:r>
          <m:rPr>
            <m:sty m:val="p"/>
          </m:rPr>
          <m:t>,</m:t>
        </m:r>
        <m:sSup>
          <m:sSupPr/>
          <m:e>
            <m:r>
              <m:rPr/>
              <m:t>A</m:t>
            </m:r>
          </m:e>
          <m:sup>
            <m:r>
              <m:rPr>
                <m:sty m:val="p"/>
              </m:rPr>
              <m:t>−</m:t>
            </m:r>
          </m:sup>
        </m:sSup>
      </m:oMath>
      <w:r>
        <w:t xml:space="preserve"> does not generate new steady-state virtual particles from the </w:t>
      </w:r>
      <m:oMath>
        <m:r>
          <m:rPr/>
          <m:t>A</m:t>
        </m:r>
        <m:sSup>
          <m:sSupPr/>
          <m:e>
            <m:r>
              <m:rPr/>
              <m:t>C</m:t>
            </m:r>
          </m:e>
          <m:sup>
            <m:r>
              <m:rPr>
                <m:sty m:val="p"/>
              </m:rPr>
              <m:t>+</m:t>
            </m:r>
          </m:sup>
        </m:sSup>
      </m:oMath>
      <w:r>
        <w:t xml:space="preserve"> and </w:t>
      </w:r>
      <m:oMath>
        <m:r>
          <m:rPr/>
          <m:t>B</m:t>
        </m:r>
        <m:sSup>
          <m:sSupPr/>
          <m:e>
            <m:r>
              <m:rPr/>
              <m:t>C</m:t>
            </m:r>
          </m:e>
          <m:sup>
            <m:r>
              <m:rPr>
                <m:sty m:val="p"/>
              </m:rPr>
              <m:t>+</m:t>
            </m:r>
          </m:sup>
        </m:sSup>
      </m:oMath>
      <w:r>
        <w:t xml:space="preserve"> modes; only the AB combination modes split into new particles, expanding the 9 basis vectors to 13.</w:t>
      </w:r>
    </w:p>
    <w:p w14:paraId="7D5C4D49">
      <w:pPr>
        <w:pStyle w:val="3"/>
      </w:pPr>
      <w:r>
        <w:rPr>
          <w:b/>
          <w:bCs/>
        </w:rPr>
        <w:t>Table 1: Spectral Reconstruction of Virtual Particles from the 11D Steady-State Vacuum to the 17D A-Field Bifurcation Vacuum</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2131"/>
        <w:gridCol w:w="2664"/>
        <w:gridCol w:w="2227"/>
      </w:tblGrid>
      <w:tr w14:paraId="291EF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1A3B3721">
            <w:pPr>
              <w:pStyle w:val="26"/>
              <w:jc w:val="left"/>
            </w:pPr>
            <w:r>
              <w:rPr>
                <w:b/>
              </w:rPr>
              <w:t>Category</w:t>
            </w:r>
          </w:p>
        </w:tc>
        <w:tc>
          <w:tcPr>
            <w:shd w:val="clear" w:color="auto" w:fill="B9CDE5"/>
          </w:tcPr>
          <w:p w14:paraId="09817823">
            <w:pPr>
              <w:pStyle w:val="26"/>
              <w:jc w:val="left"/>
            </w:pPr>
            <w:r>
              <w:rPr>
                <w:b/>
              </w:rPr>
              <w:t>Original 11D Virtual Particles</w:t>
            </w:r>
          </w:p>
        </w:tc>
        <w:tc>
          <w:tcPr>
            <w:shd w:val="clear" w:color="auto" w:fill="B9CDE5"/>
          </w:tcPr>
          <w:p w14:paraId="43C86A78">
            <w:pPr>
              <w:pStyle w:val="26"/>
              <w:jc w:val="left"/>
            </w:pPr>
            <w:r>
              <w:rPr>
                <w:b/>
              </w:rPr>
              <w:t>Post-Bifurcation 17D Virtual Particles</w:t>
            </w:r>
          </w:p>
        </w:tc>
        <w:tc>
          <w:tcPr>
            <w:shd w:val="clear" w:color="auto" w:fill="B9CDE5"/>
          </w:tcPr>
          <w:p w14:paraId="1B6795ED">
            <w:pPr>
              <w:pStyle w:val="26"/>
              <w:jc w:val="left"/>
            </w:pPr>
            <w:r>
              <w:rPr>
                <w:b/>
              </w:rPr>
              <w:t>Physical Change</w:t>
            </w:r>
          </w:p>
        </w:tc>
      </w:tr>
      <w:tr w14:paraId="7FF1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A6AF72">
            <w:pPr>
              <w:pStyle w:val="26"/>
              <w:jc w:val="left"/>
            </w:pPr>
            <w:r>
              <w:t>Single-field basis</w:t>
            </w:r>
          </w:p>
        </w:tc>
        <w:tc>
          <w:p w14:paraId="10E2C7A2">
            <w:pPr>
              <w:pStyle w:val="26"/>
              <w:jc w:val="left"/>
            </w:pPr>
            <m:oMathPara>
              <m:oMath>
                <m:r>
                  <m:rPr>
                    <m:sty m:val="p"/>
                  </m:rPr>
                  <m:t>|</m:t>
                </m:r>
                <m:r>
                  <m:rPr/>
                  <m:t>A</m:t>
                </m:r>
                <m:r>
                  <m:rPr>
                    <m:sty m:val="p"/>
                  </m:rPr>
                  <m:t>⟩</m:t>
                </m:r>
              </m:oMath>
            </m:oMathPara>
          </w:p>
        </w:tc>
        <w:tc>
          <w:p w14:paraId="5439C7FF">
            <w:pPr>
              <w:pStyle w:val="26"/>
              <w:jc w:val="left"/>
            </w:pPr>
            <m:oMathPara>
              <m:oMath>
                <m:r>
                  <m:rPr>
                    <m:sty m:val="p"/>
                  </m:rPr>
                  <m:t>|</m:t>
                </m:r>
                <m:sSup>
                  <m:sSupPr/>
                  <m:e>
                    <m:r>
                      <m:rPr/>
                      <m:t>A</m:t>
                    </m:r>
                  </m:e>
                  <m:sup>
                    <m:r>
                      <m:rPr>
                        <m:sty m:val="p"/>
                      </m:rPr>
                      <m:t>+</m:t>
                    </m:r>
                  </m:sup>
                </m:sSup>
                <m:r>
                  <m:rPr>
                    <m:sty m:val="p"/>
                  </m:rPr>
                  <m:t>⟩,|</m:t>
                </m:r>
                <m:sSup>
                  <m:sSupPr/>
                  <m:e>
                    <m:r>
                      <m:rPr/>
                      <m:t>A</m:t>
                    </m:r>
                  </m:e>
                  <m:sup>
                    <m:r>
                      <m:rPr>
                        <m:sty m:val="p"/>
                      </m:rPr>
                      <m:t>−</m:t>
                    </m:r>
                  </m:sup>
                </m:sSup>
                <m:r>
                  <m:rPr>
                    <m:sty m:val="p"/>
                  </m:rPr>
                  <m:t>⟩</m:t>
                </m:r>
              </m:oMath>
            </m:oMathPara>
          </w:p>
        </w:tc>
        <w:tc>
          <w:p w14:paraId="5EF501CB">
            <w:pPr>
              <w:pStyle w:val="26"/>
              <w:jc w:val="left"/>
            </w:pPr>
            <w:r>
              <w:t>A-field bifurcation, 1→2</w:t>
            </w:r>
          </w:p>
        </w:tc>
      </w:tr>
      <w:tr w14:paraId="6A9A5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69C757">
            <w:pPr>
              <w:pStyle w:val="26"/>
              <w:jc w:val="left"/>
            </w:pPr>
            <w:r>
              <w:t>Single-field basis</w:t>
            </w:r>
          </w:p>
        </w:tc>
        <w:tc>
          <w:p w14:paraId="3D0C6B3D">
            <w:pPr>
              <w:pStyle w:val="26"/>
              <w:jc w:val="left"/>
            </w:pPr>
            <m:oMathPara>
              <m:oMath>
                <m:r>
                  <m:rPr>
                    <m:sty m:val="p"/>
                  </m:rPr>
                  <m:t>|</m:t>
                </m:r>
                <m:sSup>
                  <m:sSupPr/>
                  <m:e>
                    <m:r>
                      <m:rPr/>
                      <m:t>B</m:t>
                    </m:r>
                  </m:e>
                  <m:sup>
                    <m:r>
                      <m:rPr>
                        <m:sty m:val="p"/>
                      </m:rPr>
                      <m:t>+</m:t>
                    </m:r>
                  </m:sup>
                </m:sSup>
                <m:r>
                  <m:rPr>
                    <m:sty m:val="p"/>
                  </m:rPr>
                  <m:t>⟩,|</m:t>
                </m:r>
                <m:sSup>
                  <m:sSupPr/>
                  <m:e>
                    <m:r>
                      <m:rPr/>
                      <m:t>B</m:t>
                    </m:r>
                  </m:e>
                  <m:sup>
                    <m:r>
                      <m:rPr>
                        <m:sty m:val="p"/>
                      </m:rPr>
                      <m:t>−</m:t>
                    </m:r>
                  </m:sup>
                </m:sSup>
                <m:r>
                  <m:rPr>
                    <m:sty m:val="p"/>
                  </m:rPr>
                  <m:t>⟩</m:t>
                </m:r>
              </m:oMath>
            </m:oMathPara>
          </w:p>
        </w:tc>
        <w:tc>
          <w:p w14:paraId="5EC37250">
            <w:pPr>
              <w:pStyle w:val="26"/>
              <w:jc w:val="left"/>
            </w:pPr>
            <m:oMathPara>
              <m:oMath>
                <m:r>
                  <m:rPr>
                    <m:sty m:val="p"/>
                  </m:rPr>
                  <m:t>|</m:t>
                </m:r>
                <m:sSup>
                  <m:sSupPr/>
                  <m:e>
                    <m:r>
                      <m:rPr/>
                      <m:t>B</m:t>
                    </m:r>
                  </m:e>
                  <m:sup>
                    <m:r>
                      <m:rPr>
                        <m:sty m:val="p"/>
                      </m:rPr>
                      <m:t>+</m:t>
                    </m:r>
                  </m:sup>
                </m:sSup>
                <m:r>
                  <m:rPr>
                    <m:sty m:val="p"/>
                  </m:rPr>
                  <m:t>⟩,|</m:t>
                </m:r>
                <m:sSup>
                  <m:sSupPr/>
                  <m:e>
                    <m:r>
                      <m:rPr/>
                      <m:t>B</m:t>
                    </m:r>
                  </m:e>
                  <m:sup>
                    <m:r>
                      <m:rPr>
                        <m:sty m:val="p"/>
                      </m:rPr>
                      <m:t>−</m:t>
                    </m:r>
                  </m:sup>
                </m:sSup>
                <m:r>
                  <m:rPr>
                    <m:sty m:val="p"/>
                  </m:rPr>
                  <m:t>⟩</m:t>
                </m:r>
              </m:oMath>
            </m:oMathPara>
          </w:p>
        </w:tc>
        <w:tc>
          <w:p w14:paraId="5C1332A9">
            <w:pPr>
              <w:pStyle w:val="26"/>
              <w:jc w:val="left"/>
            </w:pPr>
            <w:r>
              <w:t>B-field unchanged</w:t>
            </w:r>
          </w:p>
        </w:tc>
      </w:tr>
      <w:tr w14:paraId="5EFE6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C36145">
            <w:pPr>
              <w:pStyle w:val="26"/>
              <w:jc w:val="left"/>
            </w:pPr>
            <w:r>
              <w:t>Single-field basis</w:t>
            </w:r>
          </w:p>
        </w:tc>
        <w:tc>
          <w:p w14:paraId="46A56917">
            <w:pPr>
              <w:pStyle w:val="26"/>
              <w:jc w:val="left"/>
            </w:pPr>
            <m:oMathPara>
              <m:oMath>
                <m:r>
                  <m:rPr>
                    <m:sty m:val="p"/>
                  </m:rPr>
                  <m:t>|</m:t>
                </m:r>
                <m:sSup>
                  <m:sSupPr/>
                  <m:e>
                    <m:r>
                      <m:rPr/>
                      <m:t>C</m:t>
                    </m:r>
                  </m:e>
                  <m:sup>
                    <m:r>
                      <m:rPr>
                        <m:sty m:val="p"/>
                      </m:rPr>
                      <m:t>+</m:t>
                    </m:r>
                  </m:sup>
                </m:sSup>
                <m:r>
                  <m:rPr>
                    <m:sty m:val="p"/>
                  </m:rPr>
                  <m:t>⟩</m:t>
                </m:r>
              </m:oMath>
            </m:oMathPara>
          </w:p>
        </w:tc>
        <w:tc>
          <w:p w14:paraId="09B144EC">
            <w:pPr>
              <w:pStyle w:val="26"/>
              <w:jc w:val="left"/>
            </w:pPr>
            <m:oMathPara>
              <m:oMath>
                <m:r>
                  <m:rPr>
                    <m:sty m:val="p"/>
                  </m:rPr>
                  <m:t>|</m:t>
                </m:r>
                <m:sSup>
                  <m:sSupPr/>
                  <m:e>
                    <m:r>
                      <m:rPr/>
                      <m:t>C</m:t>
                    </m:r>
                  </m:e>
                  <m:sup>
                    <m:r>
                      <m:rPr>
                        <m:sty m:val="p"/>
                      </m:rPr>
                      <m:t>+</m:t>
                    </m:r>
                  </m:sup>
                </m:sSup>
                <m:r>
                  <m:rPr>
                    <m:sty m:val="p"/>
                  </m:rPr>
                  <m:t>⟩</m:t>
                </m:r>
              </m:oMath>
            </m:oMathPara>
          </w:p>
        </w:tc>
        <w:tc>
          <w:p w14:paraId="0BF55788">
            <w:pPr>
              <w:pStyle w:val="26"/>
              <w:jc w:val="left"/>
            </w:pPr>
            <w:r>
              <w:t>C-field unchanged</w:t>
            </w:r>
          </w:p>
        </w:tc>
      </w:tr>
      <w:tr w14:paraId="7644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B0E1CE">
            <w:pPr>
              <w:pStyle w:val="26"/>
              <w:jc w:val="left"/>
            </w:pPr>
            <w:r>
              <w:t>Two-field basis</w:t>
            </w:r>
          </w:p>
        </w:tc>
        <w:tc>
          <w:p w14:paraId="65769BAB">
            <w:pPr>
              <w:pStyle w:val="26"/>
              <w:jc w:val="left"/>
            </w:pPr>
            <m:oMathPara>
              <m:oMath>
                <m:r>
                  <m:rPr>
                    <m:sty m:val="p"/>
                  </m:rPr>
                  <m:t>|</m:t>
                </m:r>
                <m:r>
                  <m:rPr/>
                  <m:t>A</m:t>
                </m:r>
                <m:sSup>
                  <m:sSupPr/>
                  <m:e>
                    <m:r>
                      <m:rPr/>
                      <m:t>B</m:t>
                    </m:r>
                  </m:e>
                  <m:sup>
                    <m:r>
                      <m:rPr>
                        <m:sty m:val="p"/>
                      </m:rPr>
                      <m:t>+</m:t>
                    </m:r>
                  </m:sup>
                </m:sSup>
                <m:r>
                  <m:rPr>
                    <m:sty m:val="p"/>
                  </m:rPr>
                  <m:t>⟩</m:t>
                </m:r>
              </m:oMath>
            </m:oMathPara>
          </w:p>
        </w:tc>
        <w:tc>
          <w:p w14:paraId="791092EC">
            <w:pPr>
              <w:pStyle w:val="26"/>
              <w:jc w:val="left"/>
            </w:pPr>
            <m:oMathPara>
              <m:oMath>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oMath>
            </m:oMathPara>
          </w:p>
        </w:tc>
        <w:tc>
          <w:p w14:paraId="2C70B973">
            <w:pPr>
              <w:pStyle w:val="26"/>
              <w:jc w:val="left"/>
            </w:pPr>
            <w:r>
              <w:t>Split due to A bifurcation, 1→2</w:t>
            </w:r>
          </w:p>
        </w:tc>
      </w:tr>
      <w:tr w14:paraId="36C2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90BD0B">
            <w:pPr>
              <w:pStyle w:val="26"/>
              <w:jc w:val="left"/>
            </w:pPr>
            <w:r>
              <w:t>Two-field basis</w:t>
            </w:r>
          </w:p>
        </w:tc>
        <w:tc>
          <w:p w14:paraId="695888F8">
            <w:pPr>
              <w:pStyle w:val="26"/>
              <w:jc w:val="left"/>
            </w:pPr>
            <m:oMathPara>
              <m:oMath>
                <m:r>
                  <m:rPr>
                    <m:sty m:val="p"/>
                  </m:rPr>
                  <m:t>|</m:t>
                </m:r>
                <m:r>
                  <m:rPr/>
                  <m:t>A</m:t>
                </m:r>
                <m:sSup>
                  <m:sSupPr/>
                  <m:e>
                    <m:r>
                      <m:rPr/>
                      <m:t>B</m:t>
                    </m:r>
                  </m:e>
                  <m:sup>
                    <m:r>
                      <m:rPr>
                        <m:sty m:val="p"/>
                      </m:rPr>
                      <m:t>−</m:t>
                    </m:r>
                  </m:sup>
                </m:sSup>
                <m:r>
                  <m:rPr>
                    <m:sty m:val="p"/>
                  </m:rPr>
                  <m:t>⟩</m:t>
                </m:r>
              </m:oMath>
            </m:oMathPara>
          </w:p>
        </w:tc>
        <w:tc>
          <w:p w14:paraId="0B0094F3">
            <w:pPr>
              <w:pStyle w:val="26"/>
              <w:jc w:val="left"/>
            </w:pPr>
            <m:oMathPara>
              <m:oMath>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oMath>
            </m:oMathPara>
          </w:p>
        </w:tc>
        <w:tc>
          <w:p w14:paraId="11FB9E6C">
            <w:pPr>
              <w:pStyle w:val="26"/>
              <w:jc w:val="left"/>
            </w:pPr>
            <w:r>
              <w:t>Split due to A bifurcation, 1→2</w:t>
            </w:r>
          </w:p>
        </w:tc>
      </w:tr>
      <w:tr w14:paraId="587EE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09CBD5A">
            <w:pPr>
              <w:pStyle w:val="26"/>
              <w:jc w:val="left"/>
            </w:pPr>
            <w:r>
              <w:t>Two-field basis</w:t>
            </w:r>
          </w:p>
        </w:tc>
        <w:tc>
          <w:p w14:paraId="46D924B9">
            <w:pPr>
              <w:pStyle w:val="26"/>
              <w:jc w:val="left"/>
            </w:pPr>
            <m:oMathPara>
              <m:oMath>
                <m:r>
                  <m:rPr>
                    <m:sty m:val="p"/>
                  </m:rPr>
                  <m:t>|</m:t>
                </m:r>
                <m:r>
                  <m:rPr/>
                  <m:t>A</m:t>
                </m:r>
                <m:sSup>
                  <m:sSupPr/>
                  <m:e>
                    <m:r>
                      <m:rPr/>
                      <m:t>C</m:t>
                    </m:r>
                  </m:e>
                  <m:sup>
                    <m:r>
                      <m:rPr>
                        <m:sty m:val="p"/>
                      </m:rPr>
                      <m:t>+</m:t>
                    </m:r>
                  </m:sup>
                </m:sSup>
                <m:r>
                  <m:rPr>
                    <m:sty m:val="p"/>
                  </m:rPr>
                  <m:t>⟩</m:t>
                </m:r>
              </m:oMath>
            </m:oMathPara>
          </w:p>
        </w:tc>
        <w:tc>
          <w:p w14:paraId="54B34AD2">
            <w:pPr>
              <w:pStyle w:val="26"/>
              <w:jc w:val="left"/>
            </w:pPr>
            <m:oMathPara>
              <m:oMath>
                <m:r>
                  <m:rPr>
                    <m:sty m:val="p"/>
                  </m:rPr>
                  <m:t>|</m:t>
                </m:r>
                <m:sSup>
                  <m:sSupPr/>
                  <m:e>
                    <m:r>
                      <m:rPr/>
                      <m:t>A</m:t>
                    </m:r>
                  </m:e>
                  <m:sup>
                    <m:r>
                      <m:rPr>
                        <m:sty m:val="p"/>
                      </m:rPr>
                      <m:t>+</m:t>
                    </m:r>
                  </m:sup>
                </m:sSup>
                <m:sSup>
                  <m:sSupPr/>
                  <m:e>
                    <m:r>
                      <m:rPr/>
                      <m:t>C</m:t>
                    </m:r>
                  </m:e>
                  <m:sup>
                    <m:r>
                      <m:rPr>
                        <m:sty m:val="p"/>
                      </m:rPr>
                      <m:t>+</m:t>
                    </m:r>
                  </m:sup>
                </m:sSup>
                <m:r>
                  <m:rPr>
                    <m:sty m:val="p"/>
                  </m:rPr>
                  <m:t>⟩,|</m:t>
                </m:r>
                <m:sSup>
                  <m:sSupPr/>
                  <m:e>
                    <m:r>
                      <m:rPr/>
                      <m:t>A</m:t>
                    </m:r>
                  </m:e>
                  <m:sup>
                    <m:r>
                      <m:rPr>
                        <m:sty m:val="p"/>
                      </m:rPr>
                      <m:t>−</m:t>
                    </m:r>
                  </m:sup>
                </m:sSup>
                <m:sSup>
                  <m:sSupPr/>
                  <m:e>
                    <m:r>
                      <m:rPr/>
                      <m:t>C</m:t>
                    </m:r>
                  </m:e>
                  <m:sup>
                    <m:r>
                      <m:rPr>
                        <m:sty m:val="p"/>
                      </m:rPr>
                      <m:t>+</m:t>
                    </m:r>
                  </m:sup>
                </m:sSup>
                <m:r>
                  <m:rPr>
                    <m:sty m:val="p"/>
                  </m:rPr>
                  <m:t>⟩</m:t>
                </m:r>
              </m:oMath>
            </m:oMathPara>
          </w:p>
        </w:tc>
        <w:tc>
          <w:p w14:paraId="51B44257">
            <w:pPr>
              <w:pStyle w:val="26"/>
              <w:jc w:val="left"/>
            </w:pPr>
            <w:r>
              <w:t>Split due to A bifurcation, 1→2</w:t>
            </w:r>
          </w:p>
        </w:tc>
      </w:tr>
      <w:tr w14:paraId="44101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8A3703F">
            <w:pPr>
              <w:pStyle w:val="26"/>
              <w:jc w:val="left"/>
            </w:pPr>
            <w:r>
              <w:t>Two-field basis</w:t>
            </w:r>
          </w:p>
        </w:tc>
        <w:tc>
          <w:p w14:paraId="2EE4F2EE">
            <w:pPr>
              <w:pStyle w:val="26"/>
              <w:jc w:val="left"/>
            </w:pPr>
            <m:oMathPara>
              <m:oMath>
                <m:r>
                  <m:rPr>
                    <m:sty m:val="p"/>
                  </m:rPr>
                  <m:t>|</m:t>
                </m:r>
                <m:sSup>
                  <m:sSupPr/>
                  <m:e>
                    <m:r>
                      <m:rPr/>
                      <m:t>B</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oMath>
            </m:oMathPara>
          </w:p>
        </w:tc>
        <w:tc>
          <w:p w14:paraId="51C06793">
            <w:pPr>
              <w:pStyle w:val="26"/>
              <w:jc w:val="left"/>
            </w:pPr>
            <m:oMathPara>
              <m:oMath>
                <m:r>
                  <m:rPr>
                    <m:sty m:val="p"/>
                  </m:rPr>
                  <m:t>|</m:t>
                </m:r>
                <m:sSup>
                  <m:sSupPr/>
                  <m:e>
                    <m:r>
                      <m:rPr/>
                      <m:t>B</m:t>
                    </m:r>
                  </m:e>
                  <m:sup>
                    <m:r>
                      <m:rPr>
                        <m:sty m:val="p"/>
                      </m:rPr>
                      <m:t>+</m:t>
                    </m:r>
                  </m:sup>
                </m:sSup>
                <m:sSup>
                  <m:sSupPr/>
                  <m:e>
                    <m:r>
                      <m:rPr/>
                      <m:t>C</m:t>
                    </m:r>
                  </m:e>
                  <m:sup>
                    <m:r>
                      <m:rPr>
                        <m:sty m:val="p"/>
                      </m:rPr>
                      <m:t>+</m:t>
                    </m:r>
                  </m:sup>
                </m:sSup>
                <m:r>
                  <m:rPr>
                    <m:sty m:val="p"/>
                  </m:rPr>
                  <m:t>⟩,|</m:t>
                </m:r>
                <m:sSup>
                  <m:sSupPr/>
                  <m:e>
                    <m:r>
                      <m:rPr/>
                      <m:t>B</m:t>
                    </m:r>
                  </m:e>
                  <m:sup>
                    <m:r>
                      <m:rPr>
                        <m:sty m:val="p"/>
                      </m:rPr>
                      <m:t>−</m:t>
                    </m:r>
                  </m:sup>
                </m:sSup>
                <m:sSup>
                  <m:sSupPr/>
                  <m:e>
                    <m:r>
                      <m:rPr/>
                      <m:t>C</m:t>
                    </m:r>
                  </m:e>
                  <m:sup>
                    <m:r>
                      <m:rPr>
                        <m:sty m:val="p"/>
                      </m:rPr>
                      <m:t>+</m:t>
                    </m:r>
                  </m:sup>
                </m:sSup>
                <m:r>
                  <m:rPr>
                    <m:sty m:val="p"/>
                  </m:rPr>
                  <m:t>⟩</m:t>
                </m:r>
              </m:oMath>
            </m:oMathPara>
          </w:p>
        </w:tc>
        <w:tc>
          <w:p w14:paraId="2FB91B5F">
            <w:pPr>
              <w:pStyle w:val="26"/>
              <w:jc w:val="left"/>
            </w:pPr>
            <w:r>
              <w:t>Unchanged</w:t>
            </w:r>
          </w:p>
        </w:tc>
      </w:tr>
    </w:tbl>
    <w:p w14:paraId="4951715F">
      <w:pPr>
        <w:pStyle w:val="3"/>
      </w:pPr>
      <w:r>
        <w:t xml:space="preserve">Steady-state particle count verification: Originally 9, newly added </w:t>
      </w:r>
      <m:oMath>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oMath>
      <w:r>
        <w:t>— 4 in total — resulting in 13, with no deviation in count closure.</w:t>
      </w:r>
    </w:p>
    <w:bookmarkEnd w:id="24"/>
    <w:p w14:paraId="21DB9CC3">
      <w:pPr>
        <w:pStyle w:val="6"/>
      </w:pPr>
      <w:bookmarkStart w:id="25" w:name="proof-of-unitarity"/>
      <w:r>
        <w:t>5.4 Proof of Unitarity</w:t>
      </w:r>
    </w:p>
    <w:p w14:paraId="6BD058F6">
      <w:pPr>
        <w:pStyle w:val="4"/>
      </w:pPr>
      <w:r>
        <w:rPr>
          <w:b/>
          <w:bCs/>
        </w:rPr>
        <w:t>Theorem 5.1:</w:t>
      </w:r>
      <w:r>
        <w:t xml:space="preserve"> The bifurcation operator </w:t>
      </w:r>
      <m:oMath>
        <m:sSub>
          <m:sSubPr/>
          <m:e>
            <m:acc>
              <m:accPr/>
              <m:e>
                <m:r>
                  <m:rPr/>
                  <m:t>S</m:t>
                </m:r>
              </m:e>
            </m:acc>
          </m:e>
          <m:sub>
            <m:r>
              <m:rPr/>
              <m:t>A</m:t>
            </m:r>
          </m:sub>
        </m:sSub>
      </m:oMath>
      <w:r>
        <w:t xml:space="preserve"> is unitary, satisfying </w:t>
      </w:r>
      <m:oMath>
        <m:sSubSup>
          <m:sSubSupPr/>
          <m:e>
            <m:acc>
              <m:accPr/>
              <m:e>
                <m:r>
                  <m:rPr/>
                  <m:t>S</m:t>
                </m:r>
              </m:e>
            </m:acc>
          </m:e>
          <m:sub>
            <m:r>
              <m:rPr/>
              <m:t>A</m:t>
            </m:r>
          </m:sub>
          <m:sup>
            <m:r>
              <m:rPr>
                <m:sty m:val="p"/>
              </m:rPr>
              <m:t>†</m:t>
            </m:r>
          </m:sup>
        </m:sSubSup>
        <m:sSub>
          <m:sSubPr/>
          <m:e>
            <m:acc>
              <m:accPr/>
              <m:e>
                <m:r>
                  <m:rPr/>
                  <m:t>S</m:t>
                </m:r>
              </m:e>
            </m:acc>
          </m:e>
          <m:sub>
            <m:r>
              <m:rPr/>
              <m:t>A</m:t>
            </m:r>
          </m:sub>
        </m:sSub>
        <m:r>
          <m:rPr>
            <m:sty m:val="p"/>
          </m:rPr>
          <m:t>=</m:t>
        </m:r>
        <m:sSub>
          <m:sSubPr/>
          <m:e>
            <m:acc>
              <m:accPr/>
              <m:e>
                <m:r>
                  <m:rPr/>
                  <m:t>I</m:t>
                </m:r>
              </m:e>
            </m:acc>
          </m:e>
          <m:sub>
            <m:r>
              <m:rPr/>
              <m:t>11</m:t>
            </m:r>
          </m:sub>
        </m:sSub>
      </m:oMath>
      <w:r>
        <w:t xml:space="preserve"> and </w:t>
      </w:r>
      <m:oMath>
        <m:sSub>
          <m:sSubPr/>
          <m:e>
            <m:acc>
              <m:accPr/>
              <m:e>
                <m:r>
                  <m:rPr/>
                  <m:t>S</m:t>
                </m:r>
              </m:e>
            </m:acc>
          </m:e>
          <m:sub>
            <m:r>
              <m:rPr/>
              <m:t>A</m:t>
            </m:r>
          </m:sub>
        </m:sSub>
        <m:sSubSup>
          <m:sSubSupPr/>
          <m:e>
            <m:acc>
              <m:accPr/>
              <m:e>
                <m:r>
                  <m:rPr/>
                  <m:t>S</m:t>
                </m:r>
              </m:e>
            </m:acc>
          </m:e>
          <m:sub>
            <m:r>
              <m:rPr/>
              <m:t>A</m:t>
            </m:r>
          </m:sub>
          <m:sup>
            <m:r>
              <m:rPr>
                <m:sty m:val="p"/>
              </m:rPr>
              <m:t>†</m:t>
            </m:r>
          </m:sup>
        </m:sSubSup>
        <m:r>
          <m:rPr>
            <m:sty m:val="p"/>
          </m:rPr>
          <m:t>=</m:t>
        </m:r>
        <m:sSub>
          <m:sSubPr/>
          <m:e>
            <m:acc>
              <m:accPr/>
              <m:e>
                <m:r>
                  <m:rPr/>
                  <m:t>I</m:t>
                </m:r>
              </m:e>
            </m:acc>
          </m:e>
          <m:sub>
            <m:r>
              <m:rPr/>
              <m:t>17</m:t>
            </m:r>
          </m:sub>
        </m:sSub>
      </m:oMath>
      <w:r>
        <w:t>.</w:t>
      </w:r>
    </w:p>
    <w:p w14:paraId="5AFB07AD">
      <w:pPr>
        <w:pStyle w:val="3"/>
      </w:pPr>
      <w:r>
        <w:rPr>
          <w:b/>
          <w:bCs/>
        </w:rPr>
        <w:t>Proof:</w:t>
      </w:r>
      <w:r>
        <w:t xml:space="preserve"> By definition, </w:t>
      </w:r>
      <m:oMath>
        <m:sSub>
          <m:sSubPr/>
          <m:e>
            <m:acc>
              <m:accPr/>
              <m:e>
                <m:r>
                  <m:rPr/>
                  <m:t>S</m:t>
                </m:r>
              </m:e>
            </m:acc>
          </m:e>
          <m:sub>
            <m:r>
              <m:rPr/>
              <m:t>A</m:t>
            </m:r>
          </m:sub>
        </m:sSub>
      </m:oMath>
      <w:r>
        <w:t xml:space="preserve"> maps each basis vector in the 11-dimensional Hilbert space to an equal-weight superposition of two orthogonal basis vectors in the 17-dimensional space, strictly preserving state vector normalization. Its Hermitian conjugate inverse operator </w:t>
      </w:r>
      <m:oMath>
        <m:sSubSup>
          <m:sSubSupPr/>
          <m:e>
            <m:acc>
              <m:accPr/>
              <m:e>
                <m:r>
                  <m:rPr/>
                  <m:t>S</m:t>
                </m:r>
              </m:e>
            </m:acc>
          </m:e>
          <m:sub>
            <m:r>
              <m:rPr/>
              <m:t>A</m:t>
            </m:r>
          </m:sub>
          <m:sup>
            <m:r>
              <m:rPr>
                <m:sty m:val="p"/>
              </m:rPr>
              <m:t>†</m:t>
            </m:r>
          </m:sup>
        </m:sSubSup>
      </m:oMath>
      <w:r>
        <w:t xml:space="preserve"> implements the reverse projection: </w:t>
      </w:r>
      <m:oMath>
        <m:sSubSup>
          <m:sSubSupPr/>
          <m:e>
            <m:acc>
              <m:accPr/>
              <m:e>
                <m:r>
                  <m:rPr/>
                  <m:t>S</m:t>
                </m:r>
              </m:e>
            </m:acc>
          </m:e>
          <m:sub>
            <m:r>
              <m:rPr/>
              <m:t>A</m:t>
            </m:r>
          </m:sub>
          <m:sup>
            <m:r>
              <m:rPr>
                <m:sty m:val="p"/>
              </m:rPr>
              <m:t>†</m:t>
            </m:r>
          </m:sup>
        </m:sSubSup>
        <m:r>
          <m:rPr>
            <m:sty m:val="p"/>
          </m:rPr>
          <m:t>|</m:t>
        </m:r>
        <m:sSup>
          <m:sSupPr/>
          <m:e>
            <m:r>
              <m:rPr/>
              <m:t>A</m:t>
            </m:r>
          </m:e>
          <m:sup>
            <m:r>
              <m:rPr>
                <m:sty m:val="p"/>
              </m:rPr>
              <m:t>+</m:t>
            </m:r>
          </m:sup>
        </m:sSup>
        <m:r>
          <m:rPr>
            <m:sty m:val="p"/>
          </m:rPr>
          <m:t>⟩=</m:t>
        </m:r>
        <m:f>
          <m:fPr/>
          <m:num>
            <m:r>
              <m:rPr/>
              <m:t>1</m:t>
            </m:r>
          </m:num>
          <m:den>
            <m:rad>
              <m:radPr>
                <m:degHide m:val="1"/>
              </m:radPr>
              <m:deg/>
              <m:e>
                <m:r>
                  <m:rPr/>
                  <m:t>2</m:t>
                </m:r>
              </m:e>
            </m:rad>
          </m:den>
        </m:f>
        <m:r>
          <m:rPr>
            <m:sty m:val="p"/>
          </m:rPr>
          <m:t>|</m:t>
        </m:r>
        <m:r>
          <m:rPr/>
          <m:t>A</m:t>
        </m:r>
        <m:r>
          <m:rPr>
            <m:sty m:val="p"/>
          </m:rPr>
          <m:t>⟩,</m:t>
        </m:r>
        <m:sSubSup>
          <m:sSubSupPr/>
          <m:e>
            <m:acc>
              <m:accPr/>
              <m:e>
                <m:r>
                  <m:rPr/>
                  <m:t>S</m:t>
                </m:r>
              </m:e>
            </m:acc>
          </m:e>
          <m:sub>
            <m:r>
              <m:rPr/>
              <m:t>A</m:t>
            </m:r>
          </m:sub>
          <m:sup>
            <m:r>
              <m:rPr>
                <m:sty m:val="p"/>
              </m:rPr>
              <m:t>†</m:t>
            </m:r>
          </m:sup>
        </m:sSubSup>
        <m:r>
          <m:rPr>
            <m:sty m:val="p"/>
          </m:rPr>
          <m:t>|</m:t>
        </m:r>
        <m:sSup>
          <m:sSupPr/>
          <m:e>
            <m:r>
              <m:rPr/>
              <m:t>A</m:t>
            </m:r>
          </m:e>
          <m:sup>
            <m:r>
              <m:rPr>
                <m:sty m:val="p"/>
              </m:rPr>
              <m:t>−</m:t>
            </m:r>
          </m:sup>
        </m:sSup>
        <m:r>
          <m:rPr>
            <m:sty m:val="p"/>
          </m:rPr>
          <m:t>⟩=</m:t>
        </m:r>
        <m:f>
          <m:fPr/>
          <m:num>
            <m:r>
              <m:rPr/>
              <m:t>1</m:t>
            </m:r>
          </m:num>
          <m:den>
            <m:rad>
              <m:radPr>
                <m:degHide m:val="1"/>
              </m:radPr>
              <m:deg/>
              <m:e>
                <m:r>
                  <m:rPr/>
                  <m:t>2</m:t>
                </m:r>
              </m:e>
            </m:rad>
          </m:den>
        </m:f>
        <m:r>
          <m:rPr>
            <m:sty m:val="p"/>
          </m:rPr>
          <m:t>|</m:t>
        </m:r>
        <m:r>
          <m:rPr/>
          <m:t>A</m:t>
        </m:r>
        <m:r>
          <m:rPr>
            <m:sty m:val="p"/>
          </m:rPr>
          <m:t>⟩</m:t>
        </m:r>
      </m:oMath>
      <w:r>
        <w:t xml:space="preserve">. Direct verification of operator products confirms </w:t>
      </w:r>
      <m:oMath>
        <m:sSubSup>
          <m:sSubSupPr/>
          <m:e>
            <m:acc>
              <m:accPr/>
              <m:e>
                <m:r>
                  <m:rPr/>
                  <m:t>S</m:t>
                </m:r>
              </m:e>
            </m:acc>
          </m:e>
          <m:sub>
            <m:r>
              <m:rPr/>
              <m:t>A</m:t>
            </m:r>
          </m:sub>
          <m:sup>
            <m:r>
              <m:rPr>
                <m:sty m:val="p"/>
              </m:rPr>
              <m:t>†</m:t>
            </m:r>
          </m:sup>
        </m:sSubSup>
        <m:sSub>
          <m:sSubPr/>
          <m:e>
            <m:acc>
              <m:accPr/>
              <m:e>
                <m:r>
                  <m:rPr/>
                  <m:t>S</m:t>
                </m:r>
              </m:e>
            </m:acc>
          </m:e>
          <m:sub>
            <m:r>
              <m:rPr/>
              <m:t>A</m:t>
            </m:r>
          </m:sub>
        </m:sSub>
        <m:r>
          <m:rPr>
            <m:sty m:val="p"/>
          </m:rPr>
          <m:t>=</m:t>
        </m:r>
        <m:sSub>
          <m:sSubPr/>
          <m:e>
            <m:acc>
              <m:accPr/>
              <m:e>
                <m:r>
                  <m:rPr/>
                  <m:t>I</m:t>
                </m:r>
              </m:e>
            </m:acc>
          </m:e>
          <m:sub>
            <m:r>
              <m:rPr/>
              <m:t>11</m:t>
            </m:r>
          </m:sub>
        </m:sSub>
      </m:oMath>
      <w:r>
        <w:t xml:space="preserve"> and </w:t>
      </w:r>
      <m:oMath>
        <m:sSub>
          <m:sSubPr/>
          <m:e>
            <m:acc>
              <m:accPr/>
              <m:e>
                <m:r>
                  <m:rPr/>
                  <m:t>S</m:t>
                </m:r>
              </m:e>
            </m:acc>
          </m:e>
          <m:sub>
            <m:r>
              <m:rPr/>
              <m:t>A</m:t>
            </m:r>
          </m:sub>
        </m:sSub>
        <m:sSubSup>
          <m:sSubSupPr/>
          <m:e>
            <m:acc>
              <m:accPr/>
              <m:e>
                <m:r>
                  <m:rPr/>
                  <m:t>S</m:t>
                </m:r>
              </m:e>
            </m:acc>
          </m:e>
          <m:sub>
            <m:r>
              <m:rPr/>
              <m:t>A</m:t>
            </m:r>
          </m:sub>
          <m:sup>
            <m:r>
              <m:rPr>
                <m:sty m:val="p"/>
              </m:rPr>
              <m:t>†</m:t>
            </m:r>
          </m:sup>
        </m:sSubSup>
        <m:r>
          <m:rPr>
            <m:sty m:val="p"/>
          </m:rPr>
          <m:t>=</m:t>
        </m:r>
        <m:sSub>
          <m:sSubPr/>
          <m:e>
            <m:acc>
              <m:accPr/>
              <m:e>
                <m:r>
                  <m:rPr/>
                  <m:t>I</m:t>
                </m:r>
              </m:e>
            </m:acc>
          </m:e>
          <m:sub>
            <m:r>
              <m:rPr/>
              <m:t>17</m:t>
            </m:r>
          </m:sub>
        </m:sSub>
      </m:oMath>
      <w:r>
        <w:t>. Q.E.D.</w:t>
      </w:r>
    </w:p>
    <w:bookmarkEnd w:id="21"/>
    <w:bookmarkEnd w:id="25"/>
    <w:p w14:paraId="76ECE9E9">
      <w:pPr>
        <w:pStyle w:val="5"/>
      </w:pPr>
      <w:bookmarkStart w:id="26" w:name="Xbdb16704dd5944b255162519aac0cf18c2c8d2a"/>
      <w:r>
        <w:t>6 Full Bipartite Global Decay (Type II-b: 11D → 26D)</w:t>
      </w:r>
    </w:p>
    <w:p w14:paraId="45A97CCE">
      <w:pPr>
        <w:pStyle w:val="6"/>
      </w:pPr>
      <w:bookmarkStart w:id="27" w:name="trigger-condition-1"/>
      <w:r>
        <w:t>6.1 Trigger Condition</w:t>
      </w:r>
    </w:p>
    <w:p w14:paraId="0A6681FA">
      <w:pPr>
        <w:pStyle w:val="4"/>
      </w:pPr>
      <w:r>
        <w:t>When the energy density further exceeds the C-field bifurcation threshold (</w:t>
      </w:r>
      <m:oMath>
        <m:r>
          <m:rPr>
            <m:sty m:val="p"/>
          </m:rPr>
          <m:t>∼</m:t>
        </m:r>
        <m:r>
          <m:rPr/>
          <m:t>4</m:t>
        </m:r>
        <m:r>
          <m:rPr>
            <m:sty m:val="p"/>
          </m:rPr>
          <m:t>×</m:t>
        </m:r>
        <m:sSup>
          <m:sSupPr/>
          <m:e>
            <m:r>
              <m:rPr/>
              <m:t>10</m:t>
            </m:r>
          </m:e>
          <m:sup>
            <m:r>
              <m:rPr/>
              <m:t>18</m:t>
            </m:r>
          </m:sup>
        </m:sSup>
        <m:r>
          <m:rPr/>
          <m:t> </m:t>
        </m:r>
        <m:r>
          <m:rPr>
            <m:sty m:val="p"/>
          </m:rPr>
          <m:t>GeV</m:t>
        </m:r>
      </m:oMath>
      <w:r>
        <w:t>), the positive and negative components of the C field completely separate.</w:t>
      </w:r>
    </w:p>
    <w:bookmarkEnd w:id="27"/>
    <w:p w14:paraId="4937C3ED">
      <w:pPr>
        <w:pStyle w:val="6"/>
      </w:pPr>
      <w:bookmarkStart w:id="28" w:name="field-bifurcation-operator-c-field"/>
      <w:r>
        <w:t>6.2 Field Bifurcation Operator (C Field)</w:t>
      </w:r>
    </w:p>
    <w:p w14:paraId="376068D9">
      <w:pPr>
        <w:pStyle w:val="4"/>
      </w:pPr>
      <w:r>
        <w:t xml:space="preserve">Define the C-field bifurcation operator </w:t>
      </w:r>
      <m:oMath>
        <m:sSub>
          <m:sSubPr/>
          <m:e>
            <m:acc>
              <m:accPr/>
              <m:e>
                <m:r>
                  <m:rPr/>
                  <m:t>S</m:t>
                </m:r>
              </m:e>
            </m:acc>
          </m:e>
          <m:sub>
            <m:r>
              <m:rPr/>
              <m:t>C</m:t>
            </m:r>
          </m:sub>
        </m:sSub>
      </m:oMath>
      <w:r>
        <w:t>:</w:t>
      </w:r>
    </w:p>
    <w:p w14:paraId="479F6235">
      <w:pPr>
        <w:pStyle w:val="3"/>
      </w:pPr>
      <m:oMathPara>
        <m:oMathParaPr>
          <m:jc m:val="center"/>
        </m:oMathParaPr>
        <m:oMath>
          <m:sSub>
            <m:sSubPr/>
            <m:e>
              <m:acc>
                <m:accPr/>
                <m:e>
                  <m:r>
                    <m:rPr/>
                    <m:t>S</m:t>
                  </m:r>
                </m:e>
              </m:acc>
            </m:e>
            <m:sub>
              <m:r>
                <m:rPr/>
                <m:t>C</m:t>
              </m:r>
            </m:sub>
          </m:sSub>
          <m:r>
            <m:rPr>
              <m:sty m:val="p"/>
            </m:rPr>
            <m:t>|</m:t>
          </m:r>
          <m:sSup>
            <m:sSupPr/>
            <m:e>
              <m:r>
                <m:rPr/>
                <m:t>C</m:t>
              </m:r>
            </m:e>
            <m:sup>
              <m:r>
                <m:rPr>
                  <m:sty m:val="p"/>
                </m:rPr>
                <m:t>+</m:t>
              </m:r>
            </m:sup>
          </m:sSup>
          <m:r>
            <m:rPr>
              <m:sty m:val="p"/>
            </m:rPr>
            <m:t>⟩=</m:t>
          </m:r>
          <m:f>
            <m:fPr/>
            <m:num>
              <m:r>
                <m:rPr/>
                <m:t>1</m:t>
              </m:r>
            </m:num>
            <m:den>
              <m:rad>
                <m:radPr>
                  <m:degHide m:val="1"/>
                </m:radPr>
                <m:deg/>
                <m:e>
                  <m:r>
                    <m:rPr/>
                    <m:t>2</m:t>
                  </m:r>
                </m:e>
              </m:rad>
            </m:den>
          </m:f>
          <m:d>
            <m:dPr>
              <m:sepChr m:val=""/>
            </m:dPr>
            <m:e>
              <m:r>
                <m:rPr>
                  <m:sty m:val="p"/>
                </m:rPr>
                <m:t>|</m:t>
              </m:r>
              <m:sSup>
                <m:sSupPr/>
                <m:e>
                  <m:r>
                    <m:rPr/>
                    <m:t>C</m:t>
                  </m:r>
                </m:e>
                <m:sup>
                  <m:r>
                    <m:rPr>
                      <m:sty m:val="p"/>
                    </m:rPr>
                    <m:t>+</m:t>
                  </m:r>
                </m:sup>
              </m:sSup>
              <m:r>
                <m:rPr>
                  <m:sty m:val="p"/>
                </m:rPr>
                <m:t>⟩+|</m:t>
              </m:r>
              <m:sSup>
                <m:sSupPr/>
                <m:e>
                  <m:r>
                    <m:rPr/>
                    <m:t>C</m:t>
                  </m:r>
                </m:e>
                <m:sup>
                  <m:r>
                    <m:rPr>
                      <m:sty m:val="p"/>
                    </m:rPr>
                    <m:t>−</m:t>
                  </m:r>
                </m:sup>
              </m:sSup>
              <m:r>
                <m:rPr>
                  <m:sty m:val="p"/>
                </m:rPr>
                <m:t>⟩</m:t>
              </m:r>
            </m:e>
          </m:d>
        </m:oMath>
      </m:oMathPara>
    </w:p>
    <w:bookmarkEnd w:id="28"/>
    <w:p w14:paraId="70768ED7">
      <w:pPr>
        <w:pStyle w:val="6"/>
      </w:pPr>
      <w:bookmarkStart w:id="29" w:name="X6bb9af417aeb6903f5dbeea74c58863cfee25f9"/>
      <w:r>
        <w:t xml:space="preserve">6.3 Mechanism of </w:t>
      </w:r>
      <m:oMath>
        <m:sSup>
          <m:sSupPr/>
          <m:e>
            <m:r>
              <m:rPr/>
              <m:t>C</m:t>
            </m:r>
          </m:e>
          <m:sup>
            <m:r>
              <m:rPr>
                <m:sty m:val="p"/>
              </m:rPr>
              <m:t>+</m:t>
            </m:r>
          </m:sup>
        </m:sSup>
        <m:r>
          <m:rPr>
            <m:sty m:val="p"/>
          </m:rPr>
          <m:t>/</m:t>
        </m:r>
        <m:sSup>
          <m:sSupPr/>
          <m:e>
            <m:r>
              <m:rPr/>
              <m:t>C</m:t>
            </m:r>
          </m:e>
          <m:sup>
            <m:r>
              <m:rPr>
                <m:sty m:val="p"/>
              </m:rPr>
              <m:t>−</m:t>
            </m:r>
          </m:sup>
        </m:sSup>
      </m:oMath>
      <w:r>
        <w:t xml:space="preserve"> Physical Property Differentiation</w:t>
      </w:r>
    </w:p>
    <w:p w14:paraId="79C67BD8">
      <w:pPr>
        <w:pStyle w:val="4"/>
      </w:pPr>
      <w:r>
        <w:t>According to the FCWFT 11-dimensional steady-state vacuum axioms:</w:t>
      </w:r>
    </w:p>
    <w:p w14:paraId="2D5E6107">
      <w:pPr>
        <w:pStyle w:val="26"/>
        <w:numPr>
          <w:ilvl w:val="0"/>
          <w:numId w:val="3"/>
        </w:numPr>
      </w:pPr>
      <m:oMath>
        <m:sSup>
          <m:sSupPr/>
          <m:e>
            <m:r>
              <m:rPr/>
              <m:t>C</m:t>
            </m:r>
          </m:e>
          <m:sup>
            <m:r>
              <m:rPr>
                <m:sty m:val="p"/>
              </m:rPr>
              <m:t>+</m:t>
            </m:r>
          </m:sup>
        </m:sSup>
      </m:oMath>
      <w:r>
        <w:rPr>
          <w:b/>
          <w:bCs/>
        </w:rPr>
        <w:t>:</w:t>
      </w:r>
      <w:r>
        <w:t xml:space="preserve"> Positive-phase scalar fluctuation, can couple with the B field via Yukawa coupling to generate instantaneous mass, included in the virtual particle spectrum;</w:t>
      </w:r>
    </w:p>
    <w:p w14:paraId="7A342EBE">
      <w:pPr>
        <w:pStyle w:val="26"/>
        <w:numPr>
          <w:ilvl w:val="0"/>
          <w:numId w:val="3"/>
        </w:numPr>
      </w:pPr>
      <m:oMath>
        <m:sSup>
          <m:sSupPr/>
          <m:e>
            <m:r>
              <m:rPr/>
              <m:t>C</m:t>
            </m:r>
          </m:e>
          <m:sup>
            <m:r>
              <m:rPr>
                <m:sty m:val="p"/>
              </m:rPr>
              <m:t>−</m:t>
            </m:r>
          </m:sup>
        </m:sSup>
      </m:oMath>
      <w:r>
        <w:rPr>
          <w:b/>
          <w:bCs/>
        </w:rPr>
        <w:t>:</w:t>
      </w:r>
      <w:r>
        <w:t xml:space="preserve"> Negative-phase scalar topological charge, orthogonally forbidden from Yukawa coupling with the B field, cannot participate in standard particle mass generation, and does not enter the ordinary matter spectrum.</w:t>
      </w:r>
    </w:p>
    <w:p w14:paraId="1E1C0B83">
      <w:pPr>
        <w:pStyle w:val="4"/>
      </w:pPr>
      <w:r>
        <w:rPr>
          <w:b/>
          <w:bCs/>
        </w:rPr>
        <w:t>Proof of Orthogonality:</w:t>
      </w:r>
      <w:r>
        <w:t xml:space="preserve"> In the FCWFT framework, the Yukawa coupling term between the B field (spinor field) and the C field (scalar field) is written as </w:t>
      </w:r>
      <m:oMath>
        <m:sSub>
          <m:sSubPr/>
          <m:e>
            <m:r>
              <m:rPr/>
              <m:t>g</m:t>
            </m:r>
          </m:e>
          <m:sub>
            <m:r>
              <m:rPr/>
              <m:t>BC</m:t>
            </m:r>
          </m:sub>
        </m:sSub>
        <m:sSub>
          <m:sSubPr/>
          <m:e>
            <m:acc>
              <m:accPr>
                <m:chr m:val="‾"/>
              </m:accPr>
              <m:e>
                <m:r>
                  <m:rPr/>
                  <m:t>ψ</m:t>
                </m:r>
              </m:e>
            </m:acc>
          </m:e>
          <m:sub>
            <m:r>
              <m:rPr/>
              <m:t>B</m:t>
            </m:r>
          </m:sub>
        </m:sSub>
        <m:sSub>
          <m:sSubPr/>
          <m:e>
            <m:r>
              <m:rPr/>
              <m:t>ψ</m:t>
            </m:r>
          </m:e>
          <m:sub>
            <m:r>
              <m:rPr/>
              <m:t>B</m:t>
            </m:r>
          </m:sub>
        </m:sSub>
        <m:r>
          <m:rPr/>
          <m:t>C</m:t>
        </m:r>
      </m:oMath>
      <w:r>
        <w:t xml:space="preserve"> (from the B31 Lagrangian). In the 11-dimensional vacuum, the effective excitation mode of the C field is </w:t>
      </w:r>
      <m:oMath>
        <m:sSup>
          <m:sSupPr/>
          <m:e>
            <m:r>
              <m:rPr/>
              <m:t>C</m:t>
            </m:r>
          </m:e>
          <m:sup>
            <m:r>
              <m:rPr>
                <m:sty m:val="p"/>
              </m:rPr>
              <m:t>+</m:t>
            </m:r>
          </m:sup>
        </m:sSup>
      </m:oMath>
      <w:r>
        <w:t xml:space="preserve"> (positive phase), with coupling matrix element </w:t>
      </w:r>
      <m:oMath>
        <m:r>
          <m:rPr>
            <m:sty m:val="p"/>
          </m:rPr>
          <m:t>⟨</m:t>
        </m:r>
        <m:r>
          <m:rPr/>
          <m:t>B</m:t>
        </m:r>
        <m:r>
          <m:rPr>
            <m:sty m:val="p"/>
          </m:rPr>
          <m:t>|</m:t>
        </m:r>
        <m:sSub>
          <m:sSubPr/>
          <m:e>
            <m:r>
              <m:rPr/>
              <m:t>g</m:t>
            </m:r>
          </m:e>
          <m:sub>
            <m:r>
              <m:rPr/>
              <m:t>BC</m:t>
            </m:r>
          </m:sub>
        </m:sSub>
        <m:sSub>
          <m:sSubPr/>
          <m:e>
            <m:acc>
              <m:accPr>
                <m:chr m:val="‾"/>
              </m:accPr>
              <m:e>
                <m:r>
                  <m:rPr/>
                  <m:t>ψ</m:t>
                </m:r>
              </m:e>
            </m:acc>
          </m:e>
          <m:sub>
            <m:r>
              <m:rPr/>
              <m:t>B</m:t>
            </m:r>
          </m:sub>
        </m:sSub>
        <m:sSub>
          <m:sSubPr/>
          <m:e>
            <m:r>
              <m:rPr/>
              <m:t>ψ</m:t>
            </m:r>
          </m:e>
          <m:sub>
            <m:r>
              <m:rPr/>
              <m:t>B</m:t>
            </m:r>
          </m:sub>
        </m:sSub>
        <m:sSup>
          <m:sSupPr/>
          <m:e>
            <m:r>
              <m:rPr/>
              <m:t>C</m:t>
            </m:r>
          </m:e>
          <m:sup>
            <m:r>
              <m:rPr>
                <m:sty m:val="p"/>
              </m:rPr>
              <m:t>+</m:t>
            </m:r>
          </m:sup>
        </m:sSup>
        <m:r>
          <m:rPr>
            <m:sty m:val="p"/>
          </m:rPr>
          <m:t>|</m:t>
        </m:r>
        <m:r>
          <m:rPr/>
          <m:t>B</m:t>
        </m:r>
        <m:r>
          <m:rPr>
            <m:sty m:val="p"/>
          </m:rPr>
          <m:t>⟩≠</m:t>
        </m:r>
        <m:r>
          <m:rPr/>
          <m:t>0</m:t>
        </m:r>
      </m:oMath>
      <w:r>
        <w:t xml:space="preserve">, enabling particle mass generation. </w:t>
      </w:r>
      <m:oMath>
        <m:sSup>
          <m:sSupPr/>
          <m:e>
            <m:r>
              <m:rPr/>
              <m:t>C</m:t>
            </m:r>
          </m:e>
          <m:sup>
            <m:r>
              <m:rPr>
                <m:sty m:val="p"/>
              </m:rPr>
              <m:t>−</m:t>
            </m:r>
          </m:sup>
        </m:sSup>
      </m:oMath>
      <w:r>
        <w:t xml:space="preserve"> is the phase-reversed conjugate field operator </w:t>
      </w:r>
      <m:oMath>
        <m:sSup>
          <m:sSupPr/>
          <m:e>
            <m:acc>
              <m:accPr/>
              <m:e>
                <m:r>
                  <m:rPr/>
                  <m:t>C</m:t>
                </m:r>
              </m:e>
            </m:acc>
          </m:e>
          <m:sup>
            <m:r>
              <m:rPr>
                <m:sty m:val="p"/>
              </m:rPr>
              <m:t>−</m:t>
            </m:r>
          </m:sup>
        </m:sSup>
        <m:r>
          <m:rPr>
            <m:sty m:val="p"/>
          </m:rPr>
          <m:t>=(</m:t>
        </m:r>
        <m:sSup>
          <m:sSupPr/>
          <m:e>
            <m:acc>
              <m:accPr/>
              <m:e>
                <m:r>
                  <m:rPr/>
                  <m:t>C</m:t>
                </m:r>
              </m:e>
            </m:acc>
          </m:e>
          <m:sup>
            <m:r>
              <m:rPr>
                <m:sty m:val="p"/>
              </m:rPr>
              <m:t>+</m:t>
            </m:r>
          </m:sup>
        </m:sSup>
        <m:sSup>
          <m:sSupPr/>
          <m:e>
            <m:r>
              <m:rPr>
                <m:sty m:val="p"/>
              </m:rPr>
              <m:t>)</m:t>
            </m:r>
          </m:e>
          <m:sup>
            <m:r>
              <m:rPr>
                <m:sty m:val="p"/>
              </m:rPr>
              <m:t>†</m:t>
            </m:r>
          </m:sup>
        </m:sSup>
      </m:oMath>
      <w:r>
        <w:t xml:space="preserve">. The spinor bilinear form </w:t>
      </w:r>
      <m:oMath>
        <m:sSub>
          <m:sSubPr/>
          <m:e>
            <m:acc>
              <m:accPr>
                <m:chr m:val="‾"/>
              </m:accPr>
              <m:e>
                <m:r>
                  <m:rPr/>
                  <m:t>ψ</m:t>
                </m:r>
              </m:e>
            </m:acc>
          </m:e>
          <m:sub>
            <m:r>
              <m:rPr/>
              <m:t>B</m:t>
            </m:r>
          </m:sub>
        </m:sSub>
        <m:sSub>
          <m:sSubPr/>
          <m:e>
            <m:r>
              <m:rPr/>
              <m:t>ψ</m:t>
            </m:r>
          </m:e>
          <m:sub>
            <m:r>
              <m:rPr/>
              <m:t>B</m:t>
            </m:r>
          </m:sub>
        </m:sSub>
      </m:oMath>
      <w:r>
        <w:t xml:space="preserve"> has even parity under charge conjugation, while </w:t>
      </w:r>
      <m:oMath>
        <m:sSup>
          <m:sSupPr/>
          <m:e>
            <m:r>
              <m:rPr/>
              <m:t>C</m:t>
            </m:r>
          </m:e>
          <m:sup>
            <m:r>
              <m:rPr>
                <m:sty m:val="p"/>
              </m:rPr>
              <m:t>−</m:t>
            </m:r>
          </m:sup>
        </m:sSup>
      </m:oMath>
      <w:r>
        <w:t xml:space="preserve"> has odd parity; thus the overall matrix element of their product is strictly zero. Consequently, </w:t>
      </w:r>
      <m:oMath>
        <m:sSup>
          <m:sSupPr/>
          <m:e>
            <m:r>
              <m:rPr/>
              <m:t>C</m:t>
            </m:r>
          </m:e>
          <m:sup>
            <m:r>
              <m:rPr>
                <m:sty m:val="p"/>
              </m:rPr>
              <m:t>−</m:t>
            </m:r>
          </m:sup>
        </m:sSup>
      </m:oMath>
      <w:r>
        <w:t xml:space="preserve"> is completely orthogonal and decoupled from the B field and cannot participate in Standard Model mass generation. See B30 §4.2 for a detailed derivation.</w:t>
      </w:r>
    </w:p>
    <w:p w14:paraId="5A01121E">
      <w:pPr>
        <w:pStyle w:val="3"/>
      </w:pPr>
      <w:r>
        <w:t xml:space="preserve">Therefore, </w:t>
      </w:r>
      <m:oMath>
        <m:sSup>
          <m:sSupPr/>
          <m:e>
            <m:r>
              <m:rPr/>
              <m:t>C</m:t>
            </m:r>
          </m:e>
          <m:sup>
            <m:r>
              <m:rPr>
                <m:sty m:val="p"/>
              </m:rPr>
              <m:t>−</m:t>
            </m:r>
          </m:sup>
        </m:sSup>
      </m:oMath>
      <w:r>
        <w:t xml:space="preserve"> is not included in conventional virtual particle statistics; it only activates an exclusive dark matter particle subspace. Define the dark matter Hilbert space:</w:t>
      </w:r>
    </w:p>
    <w:p w14:paraId="15292D21">
      <w:pPr>
        <w:pStyle w:val="3"/>
      </w:pPr>
      <m:oMathPara>
        <m:oMathParaPr>
          <m:jc m:val="center"/>
        </m:oMathParaPr>
        <m:oMath>
          <m:sSubSup>
            <m:sSubSupPr/>
            <m:e>
              <m:r>
                <m:rPr>
                  <m:sty m:val="p"/>
                  <m:scr m:val="script"/>
                </m:rPr>
                <m:t>ℋ</m:t>
              </m:r>
            </m:e>
            <m:sub>
              <m:r>
                <m:rPr>
                  <m:sty m:val="p"/>
                </m:rPr>
                <m:t>DM</m:t>
              </m:r>
            </m:sub>
            <m:sup>
              <m:r>
                <m:rPr>
                  <m:sty m:val="p"/>
                </m:rPr>
                <m:t>(</m:t>
              </m:r>
              <m:r>
                <m:rPr/>
                <m:t>26</m:t>
              </m:r>
              <m:r>
                <m:rPr>
                  <m:sty m:val="p"/>
                </m:rPr>
                <m:t>)</m:t>
              </m:r>
            </m:sup>
          </m:sSubSup>
          <m:r>
            <m:rPr>
              <m:sty m:val="p"/>
            </m:rPr>
            <m:t>=span</m:t>
          </m:r>
          <m:d>
            <m:dPr>
              <m:begChr m:val="{"/>
              <m:sepChr m:val=""/>
              <m:endChr m:val="}"/>
            </m:dPr>
            <m:e>
              <m:r>
                <m:rPr>
                  <m:sty m:val="p"/>
                </m:rPr>
                <m:t>|</m:t>
              </m:r>
              <m:sSup>
                <m:sSupPr/>
                <m:e>
                  <m:r>
                    <m:rPr/>
                    <m:t>C</m:t>
                  </m:r>
                </m:e>
                <m:sup>
                  <m:r>
                    <m:rPr>
                      <m:sty m:val="p"/>
                    </m:rPr>
                    <m:t>−</m:t>
                  </m:r>
                </m:sup>
              </m:sSup>
              <m:r>
                <m:rPr>
                  <m:sty m:val="p"/>
                </m:rPr>
                <m:t>⟩,</m:t>
              </m:r>
              <m:r>
                <m:rPr/>
                <m:t> </m:t>
              </m:r>
              <m:r>
                <m:rPr>
                  <m:sty m:val="p"/>
                </m:rPr>
                <m:t>|</m:t>
              </m:r>
              <m:sSup>
                <m:sSupPr/>
                <m:e>
                  <m:r>
                    <m:rPr/>
                    <m:t>A</m:t>
                  </m:r>
                </m:e>
                <m:sup>
                  <m:r>
                    <m:rPr>
                      <m:sty m:val="p"/>
                    </m:rPr>
                    <m:t>+</m:t>
                  </m:r>
                </m:sup>
              </m:sSup>
              <m:sSup>
                <m:sSupPr/>
                <m:e>
                  <m:r>
                    <m:rPr/>
                    <m:t>C</m:t>
                  </m:r>
                </m:e>
                <m:sup>
                  <m:r>
                    <m:rPr>
                      <m:sty m:val="p"/>
                    </m:rPr>
                    <m:t>−</m:t>
                  </m:r>
                </m:sup>
              </m:sSup>
              <m:r>
                <m:rPr>
                  <m:sty m:val="p"/>
                </m:rPr>
                <m:t>⟩,</m:t>
              </m:r>
              <m:r>
                <m:rPr/>
                <m:t> </m:t>
              </m:r>
              <m:r>
                <m:rPr>
                  <m:sty m:val="p"/>
                </m:rPr>
                <m:t>|</m:t>
              </m:r>
              <m:sSup>
                <m:sSupPr/>
                <m:e>
                  <m:r>
                    <m:rPr/>
                    <m:t>A</m:t>
                  </m:r>
                </m:e>
                <m:sup>
                  <m:r>
                    <m:rPr>
                      <m:sty m:val="p"/>
                    </m:rPr>
                    <m:t>−</m:t>
                  </m:r>
                </m:sup>
              </m:sSup>
              <m:sSup>
                <m:sSupPr/>
                <m:e>
                  <m:r>
                    <m:rPr/>
                    <m:t>C</m:t>
                  </m:r>
                </m:e>
                <m:sup>
                  <m:r>
                    <m:rPr>
                      <m:sty m:val="p"/>
                    </m:rPr>
                    <m:t>−</m:t>
                  </m:r>
                </m:sup>
              </m:sSup>
              <m:r>
                <m:rPr>
                  <m:sty m:val="p"/>
                </m:rPr>
                <m:t>⟩,</m:t>
              </m:r>
              <m:r>
                <m:rPr/>
                <m:t> </m:t>
              </m:r>
              <m:r>
                <m:rPr>
                  <m:sty m:val="p"/>
                </m:rPr>
                <m:t>|</m:t>
              </m:r>
              <m:sSup>
                <m:sSupPr/>
                <m:e>
                  <m:r>
                    <m:rPr/>
                    <m:t>B</m:t>
                  </m:r>
                </m:e>
                <m:sup>
                  <m:r>
                    <m:rPr>
                      <m:sty m:val="p"/>
                    </m:rPr>
                    <m:t>+</m:t>
                  </m:r>
                </m:sup>
              </m:sSup>
              <m:sSup>
                <m:sSupPr/>
                <m:e>
                  <m:r>
                    <m:rPr/>
                    <m:t>C</m:t>
                  </m:r>
                </m:e>
                <m:sup>
                  <m:r>
                    <m:rPr>
                      <m:sty m:val="p"/>
                    </m:rPr>
                    <m:t>−</m:t>
                  </m:r>
                </m:sup>
              </m:sSup>
              <m:r>
                <m:rPr>
                  <m:sty m:val="p"/>
                </m:rPr>
                <m:t>⟩,</m:t>
              </m:r>
              <m:r>
                <m:rPr/>
                <m:t> </m:t>
              </m:r>
              <m:r>
                <m:rPr>
                  <m:sty m:val="p"/>
                </m:rPr>
                <m:t>|</m:t>
              </m:r>
              <m:sSup>
                <m:sSupPr/>
                <m:e>
                  <m:r>
                    <m:rPr/>
                    <m:t>B</m:t>
                  </m:r>
                </m:e>
                <m:sup>
                  <m:r>
                    <m:rPr>
                      <m:sty m:val="p"/>
                    </m:rPr>
                    <m:t>−</m:t>
                  </m:r>
                </m:sup>
              </m:sSup>
              <m:sSup>
                <m:sSupPr/>
                <m:e>
                  <m:r>
                    <m:rPr/>
                    <m:t>C</m:t>
                  </m:r>
                </m:e>
                <m:sup>
                  <m:r>
                    <m:rPr>
                      <m:sty m:val="p"/>
                    </m:rPr>
                    <m:t>−</m:t>
                  </m:r>
                </m:sup>
              </m:sSup>
              <m:r>
                <m:rPr>
                  <m:sty m:val="p"/>
                </m:rPr>
                <m:t>⟩,</m:t>
              </m:r>
              <m:r>
                <m:rPr/>
                <m:t> </m:t>
              </m:r>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r>
                <m:rPr/>
                <m:t> </m:t>
              </m:r>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r>
                <m:rPr/>
                <m:t> </m:t>
              </m:r>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r>
                <m:rPr/>
                <m:t> </m:t>
              </m:r>
              <m:r>
                <m:rPr>
                  <m:sty m:val="p"/>
                </m:rPr>
                <m:t>|</m:t>
              </m:r>
              <m:sSup>
                <m:sSupPr/>
                <m:e>
                  <m:r>
                    <m:rPr/>
                    <m:t>A</m:t>
                  </m:r>
                </m:e>
                <m:sup>
                  <m:r>
                    <m:rPr>
                      <m:sty m:val="p"/>
                    </m:rPr>
                    <m:t>−</m:t>
                  </m:r>
                </m:sup>
              </m:sSup>
              <m:sSup>
                <m:sSupPr/>
                <m:e>
                  <m:r>
                    <m:rPr/>
                    <m:t>B</m:t>
                  </m:r>
                </m:e>
                <m:sup>
                  <m:r>
                    <m:rPr>
                      <m:sty m:val="p"/>
                    </m:rPr>
                    <m:t>−</m:t>
                  </m:r>
                </m:sup>
              </m:sSup>
              <m:sSup>
                <m:sSupPr/>
                <m:e>
                  <m:r>
                    <m:rPr/>
                    <m:t>C</m:t>
                  </m:r>
                </m:e>
                <m:sup>
                  <m:r>
                    <m:rPr>
                      <m:sty m:val="p"/>
                    </m:rPr>
                    <m:t>−</m:t>
                  </m:r>
                </m:sup>
              </m:sSup>
              <m:r>
                <m:rPr>
                  <m:sty m:val="p"/>
                </m:rPr>
                <m:t>⟩</m:t>
              </m:r>
            </m:e>
          </m:d>
        </m:oMath>
      </m:oMathPara>
    </w:p>
    <w:bookmarkEnd w:id="29"/>
    <w:p w14:paraId="06F63E1F">
      <w:pPr>
        <w:pStyle w:val="6"/>
      </w:pPr>
      <w:bookmarkStart w:id="30" w:name="summary-of-full-spectrum-reconstruction"/>
      <w:r>
        <w:t>6.4 Summary of Full Spectrum Reconstruction</w:t>
      </w:r>
    </w:p>
    <w:p w14:paraId="64232ED8">
      <w:pPr>
        <w:pStyle w:val="4"/>
      </w:pPr>
      <w:r>
        <w:rPr>
          <w:b/>
          <w:bCs/>
        </w:rPr>
        <w:t>Table 2: Comprehensive Particle Spectrum Across Three Dimensional Vacuum States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1"/>
        <w:gridCol w:w="1784"/>
        <w:gridCol w:w="2154"/>
        <w:gridCol w:w="2463"/>
      </w:tblGrid>
      <w:tr w14:paraId="34ED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0185B81">
            <w:pPr>
              <w:pStyle w:val="26"/>
              <w:jc w:val="left"/>
            </w:pPr>
            <w:r>
              <w:rPr>
                <w:b/>
              </w:rPr>
              <w:t>Particle Category</w:t>
            </w:r>
          </w:p>
        </w:tc>
        <w:tc>
          <w:tcPr>
            <w:shd w:val="clear" w:color="auto" w:fill="B9CDE5"/>
          </w:tcPr>
          <w:p w14:paraId="41C98149">
            <w:pPr>
              <w:pStyle w:val="26"/>
              <w:jc w:val="center"/>
            </w:pPr>
            <w:r>
              <w:rPr>
                <w:b/>
              </w:rPr>
              <w:t>11D Working Vacuum</w:t>
            </w:r>
          </w:p>
        </w:tc>
        <w:tc>
          <w:tcPr>
            <w:shd w:val="clear" w:color="auto" w:fill="B9CDE5"/>
          </w:tcPr>
          <w:p w14:paraId="56CF01C0">
            <w:pPr>
              <w:pStyle w:val="26"/>
              <w:jc w:val="center"/>
            </w:pPr>
            <w:r>
              <w:rPr>
                <w:b/>
              </w:rPr>
              <w:t>17D A-Bifurcation Vacuum</w:t>
            </w:r>
          </w:p>
        </w:tc>
        <w:tc>
          <w:tcPr>
            <w:shd w:val="clear" w:color="auto" w:fill="B9CDE5"/>
          </w:tcPr>
          <w:p w14:paraId="04040046">
            <w:pPr>
              <w:pStyle w:val="26"/>
              <w:jc w:val="center"/>
            </w:pPr>
            <w:r>
              <w:rPr>
                <w:b/>
              </w:rPr>
              <w:t>26D Full Bipartite Vacuum</w:t>
            </w:r>
          </w:p>
        </w:tc>
      </w:tr>
      <w:tr w14:paraId="73EAC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C9B724">
            <w:pPr>
              <w:pStyle w:val="26"/>
              <w:jc w:val="left"/>
            </w:pPr>
            <w:r>
              <w:t>Steady-state virtual particles</w:t>
            </w:r>
          </w:p>
        </w:tc>
        <w:tc>
          <w:p w14:paraId="052C8159">
            <w:pPr>
              <w:pStyle w:val="26"/>
              <w:jc w:val="center"/>
            </w:pPr>
            <w:r>
              <w:t>9</w:t>
            </w:r>
          </w:p>
        </w:tc>
        <w:tc>
          <w:p w14:paraId="60316744">
            <w:pPr>
              <w:pStyle w:val="26"/>
              <w:jc w:val="center"/>
            </w:pPr>
            <w:r>
              <w:t>13</w:t>
            </w:r>
          </w:p>
        </w:tc>
        <w:tc>
          <w:p w14:paraId="0DD0CC73">
            <w:pPr>
              <w:pStyle w:val="26"/>
              <w:jc w:val="center"/>
            </w:pPr>
            <w:r>
              <w:t>13</w:t>
            </w:r>
          </w:p>
        </w:tc>
      </w:tr>
      <w:tr w14:paraId="1970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5CAC84">
            <w:pPr>
              <w:pStyle w:val="26"/>
              <w:jc w:val="left"/>
            </w:pPr>
            <w:r>
              <w:t>Dark matter particles</w:t>
            </w:r>
          </w:p>
        </w:tc>
        <w:tc>
          <w:p w14:paraId="31AC9D24">
            <w:pPr>
              <w:pStyle w:val="26"/>
              <w:jc w:val="center"/>
            </w:pPr>
            <w:r>
              <w:t>0</w:t>
            </w:r>
          </w:p>
        </w:tc>
        <w:tc>
          <w:p w14:paraId="77CB654F">
            <w:pPr>
              <w:pStyle w:val="26"/>
              <w:jc w:val="center"/>
            </w:pPr>
            <w:r>
              <w:t>0</w:t>
            </w:r>
          </w:p>
        </w:tc>
        <w:tc>
          <w:p w14:paraId="43ADD2CF">
            <w:pPr>
              <w:pStyle w:val="26"/>
              <w:jc w:val="center"/>
            </w:pPr>
            <w:r>
              <w:t>9</w:t>
            </w:r>
          </w:p>
        </w:tc>
      </w:tr>
      <w:tr w14:paraId="1833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694CDC">
            <w:pPr>
              <w:pStyle w:val="26"/>
              <w:jc w:val="left"/>
            </w:pPr>
            <w:r>
              <w:t xml:space="preserve">Standard Model </w:t>
            </w:r>
            <m:oMath>
              <m:r>
                <m:rPr/>
                <m:t>AB</m:t>
              </m:r>
              <m:sSup>
                <m:sSupPr/>
                <m:e>
                  <m:r>
                    <m:rPr/>
                    <m:t>C</m:t>
                  </m:r>
                </m:e>
                <m:sup>
                  <m:r>
                    <m:rPr>
                      <m:sty m:val="p"/>
                    </m:rPr>
                    <m:t>+</m:t>
                  </m:r>
                </m:sup>
              </m:sSup>
            </m:oMath>
            <w:r>
              <w:t xml:space="preserve"> particles</w:t>
            </w:r>
          </w:p>
        </w:tc>
        <w:tc>
          <w:p w14:paraId="2B67C1BE">
            <w:pPr>
              <w:pStyle w:val="26"/>
              <w:jc w:val="center"/>
            </w:pPr>
            <w:r>
              <w:t>62</w:t>
            </w:r>
          </w:p>
        </w:tc>
        <w:tc>
          <w:p w14:paraId="7C2D8459">
            <w:pPr>
              <w:pStyle w:val="26"/>
              <w:jc w:val="center"/>
            </w:pPr>
            <w:r>
              <w:t>62</w:t>
            </w:r>
          </w:p>
        </w:tc>
        <w:tc>
          <w:p w14:paraId="23197609">
            <w:pPr>
              <w:pStyle w:val="26"/>
              <w:jc w:val="center"/>
            </w:pPr>
            <w:r>
              <w:t>62 (dark matter coupling channel open)</w:t>
            </w:r>
          </w:p>
        </w:tc>
      </w:tr>
      <w:bookmarkEnd w:id="26"/>
      <w:bookmarkEnd w:id="30"/>
    </w:tbl>
    <w:p w14:paraId="06A53B5B">
      <w:pPr>
        <w:pStyle w:val="5"/>
      </w:pPr>
      <w:bookmarkStart w:id="31" w:name="X50c7ec7f05994a7d2b5852666b1738571f05506"/>
      <w:r>
        <w:t>7 Conservation Laws and Self-Consistency Verification</w:t>
      </w:r>
    </w:p>
    <w:p w14:paraId="2D751D0E">
      <w:pPr>
        <w:pStyle w:val="6"/>
      </w:pPr>
      <w:bookmarkStart w:id="32" w:name="energy-conservation"/>
      <w:r>
        <w:t>7.1 Energy Conservation</w:t>
      </w:r>
    </w:p>
    <w:p w14:paraId="758D09DC">
      <w:pPr>
        <w:pStyle w:val="4"/>
      </w:pPr>
      <w:r>
        <w:t>During decay, the total energy is constrained by the complementarity of injected energy and vacuum energy change:</w:t>
      </w:r>
    </w:p>
    <w:p w14:paraId="4CE3ABF6">
      <w:pPr>
        <w:pStyle w:val="3"/>
      </w:pPr>
      <m:oMathPara>
        <m:oMathParaPr>
          <m:jc m:val="center"/>
        </m:oMathParaPr>
        <m:oMath>
          <m:r>
            <m:rPr>
              <m:sty m:val="p"/>
            </m:rPr>
            <m:t>Δ</m:t>
          </m:r>
          <m:sSub>
            <m:sSubPr/>
            <m:e>
              <m:r>
                <m:rPr/>
                <m:t>E</m:t>
              </m:r>
            </m:e>
            <m:sub>
              <m:r>
                <m:rPr>
                  <m:sty m:val="p"/>
                </m:rPr>
                <m:t>vac</m:t>
              </m:r>
            </m:sub>
          </m:sSub>
          <m:r>
            <m:rPr>
              <m:sty m:val="p"/>
            </m:rPr>
            <m:t>+</m:t>
          </m:r>
          <m:sSub>
            <m:sSubPr/>
            <m:e>
              <m:r>
                <m:rPr/>
                <m:t>E</m:t>
              </m:r>
            </m:e>
            <m:sub>
              <m:r>
                <m:rPr>
                  <m:sty m:val="p"/>
                </m:rPr>
                <m:t>inject</m:t>
              </m:r>
            </m:sub>
          </m:sSub>
          <m:r>
            <m:rPr>
              <m:sty m:val="p"/>
            </m:rPr>
            <m:t>=</m:t>
          </m:r>
          <m:r>
            <m:rPr/>
            <m:t>0</m:t>
          </m:r>
        </m:oMath>
      </m:oMathPara>
    </w:p>
    <w:p w14:paraId="5464FB10">
      <w:pPr>
        <w:pStyle w:val="4"/>
      </w:pPr>
      <w:r>
        <w:t xml:space="preserve">where </w:t>
      </w:r>
      <m:oMath>
        <m:r>
          <m:rPr>
            <m:sty m:val="p"/>
          </m:rPr>
          <m:t>Δ</m:t>
        </m:r>
        <m:sSub>
          <m:sSubPr/>
          <m:e>
            <m:r>
              <m:rPr/>
              <m:t>E</m:t>
            </m:r>
          </m:e>
          <m:sub>
            <m:r>
              <m:rPr>
                <m:sty m:val="p"/>
              </m:rPr>
              <m:t>vac</m:t>
            </m:r>
          </m:sub>
        </m:sSub>
      </m:oMath>
      <w:r>
        <w:t xml:space="preserve"> is the change in vacuum ground state energy. In local decay scenarios, the local energy density rises, but the total global energy is strictly conserved through the FCWFT vacuum seesaw mechanism (A1 §7.3).</w:t>
      </w:r>
    </w:p>
    <w:bookmarkEnd w:id="32"/>
    <w:p w14:paraId="58E70A2B">
      <w:pPr>
        <w:pStyle w:val="6"/>
      </w:pPr>
      <w:bookmarkStart w:id="33" w:name="topological-charge-conservation"/>
      <w:r>
        <w:t>7.2 Topological Charge Conservation</w:t>
      </w:r>
    </w:p>
    <w:p w14:paraId="61060316">
      <w:pPr>
        <w:pStyle w:val="4"/>
      </w:pPr>
      <w:r>
        <w:t>The topological charge of the B field is strictly conserved throughout all dimensional transition processes. Verification using the A-field bifurcation mode:</w:t>
      </w:r>
    </w:p>
    <w:p w14:paraId="2BE486D5">
      <w:pPr>
        <w:pStyle w:val="3"/>
      </w:pPr>
      <m:oMathPara>
        <m:oMathParaPr>
          <m:jc m:val="center"/>
        </m:oMathParaPr>
        <m:oMath>
          <m:sSub>
            <m:sSubPr/>
            <m:e>
              <m:acc>
                <m:accPr/>
                <m:e>
                  <m:r>
                    <m:rPr/>
                    <m:t>Q</m:t>
                  </m:r>
                </m:e>
              </m:acc>
            </m:e>
            <m:sub>
              <m:r>
                <m:rPr/>
                <m:t>B</m:t>
              </m:r>
            </m:sub>
          </m:sSub>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r>
            <m:rPr/>
            <m:t> </m:t>
          </m:r>
          <m:sSub>
            <m:sSubPr/>
            <m:e>
              <m:acc>
                <m:accPr/>
                <m:e>
                  <m:r>
                    <m:rPr/>
                    <m:t>Q</m:t>
                  </m:r>
                </m:e>
              </m:acc>
            </m:e>
            <m:sub>
              <m:r>
                <m:rPr/>
                <m:t>B</m:t>
              </m:r>
            </m:sub>
          </m:sSub>
          <m:r>
            <m:rPr>
              <m:sty m:val="p"/>
            </m:rPr>
            <m:t>|</m:t>
          </m:r>
          <m:sSup>
            <m:sSupPr/>
            <m:e>
              <m:r>
                <m:rPr/>
                <m:t>A</m:t>
              </m:r>
            </m:e>
            <m:sup>
              <m:r>
                <m:rPr>
                  <m:sty m:val="p"/>
                </m:rPr>
                <m:t>−</m:t>
              </m:r>
            </m:sup>
          </m:sSup>
          <m:sSup>
            <m:sSupPr/>
            <m:e>
              <m:r>
                <m:rPr/>
                <m:t>B</m:t>
              </m:r>
            </m:e>
            <m:sup>
              <m:r>
                <m:rPr>
                  <m:sty m:val="p"/>
                </m:rPr>
                <m:t>+</m:t>
              </m:r>
            </m:sup>
          </m:sSup>
          <m:r>
            <m:rPr>
              <m:sty m:val="p"/>
            </m:rPr>
            <m:t>⟩=+|</m:t>
          </m:r>
          <m:sSup>
            <m:sSupPr/>
            <m:e>
              <m:r>
                <m:rPr/>
                <m:t>A</m:t>
              </m:r>
            </m:e>
            <m:sup>
              <m:r>
                <m:rPr>
                  <m:sty m:val="p"/>
                </m:rPr>
                <m:t>−</m:t>
              </m:r>
            </m:sup>
          </m:sSup>
          <m:sSup>
            <m:sSupPr/>
            <m:e>
              <m:r>
                <m:rPr/>
                <m:t>B</m:t>
              </m:r>
            </m:e>
            <m:sup>
              <m:r>
                <m:rPr>
                  <m:sty m:val="p"/>
                </m:rPr>
                <m:t>+</m:t>
              </m:r>
            </m:sup>
          </m:sSup>
          <m:r>
            <m:rPr>
              <m:sty m:val="p"/>
            </m:rPr>
            <m:t>⟩</m:t>
          </m:r>
        </m:oMath>
      </m:oMathPara>
    </w:p>
    <w:p w14:paraId="5AD7CB6A">
      <w:pPr>
        <w:pStyle w:val="4"/>
      </w:pPr>
      <w:r>
        <w:t>This confirms that the topological charge values remain unchanged before and after bifurcation.</w:t>
      </w:r>
    </w:p>
    <w:bookmarkEnd w:id="33"/>
    <w:p w14:paraId="63117AB3">
      <w:pPr>
        <w:pStyle w:val="6"/>
      </w:pPr>
      <w:bookmarkStart w:id="34" w:name="normalization-conservation"/>
      <w:r>
        <w:t>7.3 Normalization Conservation</w:t>
      </w:r>
    </w:p>
    <w:p w14:paraId="582601A9">
      <w:pPr>
        <w:pStyle w:val="4"/>
      </w:pPr>
      <w:r>
        <w:t xml:space="preserve">Both types of field bifurcation operators, </w:t>
      </w:r>
      <m:oMath>
        <m:sSub>
          <m:sSubPr/>
          <m:e>
            <m:acc>
              <m:accPr/>
              <m:e>
                <m:r>
                  <m:rPr/>
                  <m:t>S</m:t>
                </m:r>
              </m:e>
            </m:acc>
          </m:e>
          <m:sub>
            <m:r>
              <m:rPr/>
              <m:t>A</m:t>
            </m:r>
          </m:sub>
        </m:sSub>
      </m:oMath>
      <w:r>
        <w:t xml:space="preserve"> and </w:t>
      </w:r>
      <m:oMath>
        <m:sSub>
          <m:sSubPr/>
          <m:e>
            <m:acc>
              <m:accPr/>
              <m:e>
                <m:r>
                  <m:rPr/>
                  <m:t>S</m:t>
                </m:r>
              </m:e>
            </m:acc>
          </m:e>
          <m:sub>
            <m:r>
              <m:rPr/>
              <m:t>C</m:t>
            </m:r>
          </m:sub>
        </m:sSub>
      </m:oMath>
      <w:r>
        <w:t>, possess unitarity, ensuring that the total probability amplitude of quantum states experiences no leakage or distortion during evolution, and the probability normalization condition is satisfied throughout.</w:t>
      </w:r>
    </w:p>
    <w:bookmarkEnd w:id="31"/>
    <w:bookmarkEnd w:id="34"/>
    <w:p w14:paraId="394B57B3">
      <w:pPr>
        <w:pStyle w:val="5"/>
      </w:pPr>
      <w:bookmarkStart w:id="35" w:name="testable-predictions"/>
      <w:r>
        <w:t>8 Testable Predictions</w:t>
      </w:r>
    </w:p>
    <w:p w14:paraId="58AE214E">
      <w:pPr>
        <w:pStyle w:val="6"/>
      </w:pPr>
      <w:bookmarkStart w:id="36" w:name="signals-of-local-decay"/>
      <w:r>
        <w:t>8.1 Signals of Local Decay</w:t>
      </w:r>
    </w:p>
    <w:p w14:paraId="5F4CE4DA">
      <w:pPr>
        <w:pStyle w:val="4"/>
      </w:pPr>
      <w:r>
        <w:t xml:space="preserve">The energy scale for local C-field supercritical excitation is jointly determined by the A-C coupling constant </w:t>
      </w:r>
      <m:oMath>
        <m:sSub>
          <m:sSubPr/>
          <m:e>
            <m:r>
              <m:rPr/>
              <m:t>g</m:t>
            </m:r>
          </m:e>
          <m:sub>
            <m:r>
              <m:rPr/>
              <m:t>AC</m:t>
            </m:r>
          </m:sub>
        </m:sSub>
      </m:oMath>
      <w:r>
        <w:t xml:space="preserve"> from B31 and the electron topological order parameter </w:t>
      </w:r>
      <m:oMath>
        <m:sSub>
          <m:sSubPr/>
          <m:e>
            <m:r>
              <m:rPr>
                <m:sty m:val="p"/>
                <m:scr m:val="script"/>
              </m:rPr>
              <m:t>Z</m:t>
            </m:r>
          </m:e>
          <m:sub>
            <m:r>
              <m:rPr/>
              <m:t>e</m:t>
            </m:r>
          </m:sub>
        </m:sSub>
      </m:oMath>
      <w:r>
        <w:t xml:space="preserve"> from B30. According to Theorem 5.1 of B33, the adsorption matrix element </w:t>
      </w:r>
      <m:oMath>
        <m:sSup>
          <m:sSupPr/>
          <m:e>
            <m:r>
              <m:rPr>
                <m:sty m:val="p"/>
                <m:scr m:val="script"/>
              </m:rPr>
              <m:t>ℳ</m:t>
            </m:r>
          </m:e>
          <m:sup>
            <m:r>
              <m:rPr>
                <m:sty m:val="p"/>
              </m:rPr>
              <m:t>ads</m:t>
            </m:r>
          </m:sup>
        </m:sSup>
        <m:r>
          <m:rPr>
            <m:sty m:val="p"/>
          </m:rPr>
          <m:t>∝</m:t>
        </m:r>
        <m:sSub>
          <m:sSubPr/>
          <m:e>
            <m:r>
              <m:rPr/>
              <m:t>g</m:t>
            </m:r>
          </m:e>
          <m:sub>
            <m:r>
              <m:rPr/>
              <m:t>AC</m:t>
            </m:r>
          </m:sub>
        </m:sSub>
        <m:sSub>
          <m:sSubPr/>
          <m:e>
            <m:r>
              <m:rPr/>
              <m:t>m</m:t>
            </m:r>
          </m:e>
          <m:sub>
            <m:r>
              <m:rPr/>
              <m:t>e</m:t>
            </m:r>
          </m:sub>
        </m:sSub>
        <m:sSup>
          <m:sSupPr/>
          <m:e>
            <m:r>
              <m:rPr/>
              <m:t>c</m:t>
            </m:r>
          </m:e>
          <m:sup>
            <m:r>
              <m:rPr/>
              <m:t>2</m:t>
            </m:r>
          </m:sup>
        </m:sSup>
      </m:oMath>
      <w:r>
        <w:t xml:space="preserve">. When the cumulative adsorbed energy density reaches the local saturation density of the virtual particle soup, </w:t>
      </w:r>
      <m:oMath>
        <m:sSub>
          <m:sSubPr/>
          <m:e>
            <m:r>
              <m:rPr/>
              <m:t>ρ</m:t>
            </m:r>
          </m:e>
          <m:sub>
            <m:r>
              <m:rPr>
                <m:sty m:val="p"/>
              </m:rPr>
              <m:t>sat</m:t>
            </m:r>
          </m:sub>
        </m:sSub>
        <m:r>
          <m:rPr>
            <m:sty m:val="p"/>
          </m:rPr>
          <m:t>∼</m:t>
        </m:r>
        <m:sSup>
          <m:sSupPr/>
          <m:e>
            <m:r>
              <m:rPr/>
              <m:t>10</m:t>
            </m:r>
          </m:e>
          <m:sup>
            <m:r>
              <m:rPr/>
              <m:t>12</m:t>
            </m:r>
          </m:sup>
        </m:sSup>
        <m:r>
          <m:rPr/>
          <m:t> </m:t>
        </m:r>
        <m:sSup>
          <m:sSupPr/>
          <m:e>
            <m:r>
              <m:rPr>
                <m:sty m:val="p"/>
              </m:rPr>
              <m:t>GeV</m:t>
            </m:r>
          </m:e>
          <m:sup>
            <m:r>
              <m:rPr/>
              <m:t>4</m:t>
            </m:r>
          </m:sup>
        </m:sSup>
      </m:oMath>
      <w:r>
        <w:t>, the C field triggers bifurcation. From this, the local decay threshold energy scale is estimated as:</w:t>
      </w:r>
    </w:p>
    <w:p w14:paraId="3A2C1815">
      <w:pPr>
        <w:pStyle w:val="3"/>
      </w:pPr>
      <m:oMathPara>
        <m:oMathParaPr>
          <m:jc m:val="center"/>
        </m:oMathParaPr>
        <m:oMath>
          <m:sSub>
            <m:sSubPr/>
            <m:e>
              <m:r>
                <m:rPr/>
                <m:t>E</m:t>
              </m:r>
            </m:e>
            <m:sub>
              <m:r>
                <m:rPr>
                  <m:sty m:val="p"/>
                </m:rPr>
                <m:t>local</m:t>
              </m:r>
            </m:sub>
          </m:sSub>
          <m:r>
            <m:rPr>
              <m:sty m:val="p"/>
            </m:rPr>
            <m:t>∼</m:t>
          </m:r>
          <m:sSup>
            <m:sSupPr/>
            <m:e>
              <m:d>
                <m:dPr>
                  <m:sepChr m:val=""/>
                </m:dPr>
                <m:e>
                  <m:f>
                    <m:fPr/>
                    <m:num>
                      <m:sSub>
                        <m:sSubPr/>
                        <m:e>
                          <m:r>
                            <m:rPr/>
                            <m:t>ρ</m:t>
                          </m:r>
                        </m:e>
                        <m:sub>
                          <m:r>
                            <m:rPr>
                              <m:sty m:val="p"/>
                            </m:rPr>
                            <m:t>sat</m:t>
                          </m:r>
                        </m:sub>
                      </m:sSub>
                    </m:num>
                    <m:den>
                      <m:sSubSup>
                        <m:sSubSupPr/>
                        <m:e>
                          <m:r>
                            <m:rPr/>
                            <m:t>g</m:t>
                          </m:r>
                        </m:e>
                        <m:sub>
                          <m:r>
                            <m:rPr/>
                            <m:t>AC</m:t>
                          </m:r>
                        </m:sub>
                        <m:sup>
                          <m:r>
                            <m:rPr/>
                            <m:t>2</m:t>
                          </m:r>
                        </m:sup>
                      </m:sSubSup>
                      <m:sSub>
                        <m:sSubPr/>
                        <m:e>
                          <m:r>
                            <m:rPr/>
                            <m:t>ρ</m:t>
                          </m:r>
                        </m:e>
                        <m:sub>
                          <m:r>
                            <m:rPr/>
                            <m:t>0</m:t>
                          </m:r>
                        </m:sub>
                      </m:sSub>
                    </m:den>
                  </m:f>
                </m:e>
              </m:d>
            </m:e>
            <m:sup>
              <m:r>
                <m:rPr/>
                <m:t>1</m:t>
              </m:r>
              <m:r>
                <m:rPr>
                  <m:sty m:val="p"/>
                </m:rPr>
                <m:t>/</m:t>
              </m:r>
              <m:r>
                <m:rPr/>
                <m:t>4</m:t>
              </m:r>
            </m:sup>
          </m:sSup>
          <m:r>
            <m:rPr>
              <m:sty m:val="p"/>
            </m:rPr>
            <m:t>≈</m:t>
          </m:r>
          <m:sSup>
            <m:sSupPr/>
            <m:e>
              <m:r>
                <m:rPr/>
                <m:t>10</m:t>
              </m:r>
            </m:e>
            <m:sup>
              <m:r>
                <m:rPr/>
                <m:t>12</m:t>
              </m:r>
            </m:sup>
          </m:sSup>
          <m:r>
            <m:rPr>
              <m:sty m:val="p"/>
            </m:rPr>
            <m:t>∼</m:t>
          </m:r>
          <m:sSup>
            <m:sSupPr/>
            <m:e>
              <m:r>
                <m:rPr/>
                <m:t>10</m:t>
              </m:r>
            </m:e>
            <m:sup>
              <m:r>
                <m:rPr/>
                <m:t>13</m:t>
              </m:r>
            </m:sup>
          </m:sSup>
          <m:r>
            <m:rPr/>
            <m:t> </m:t>
          </m:r>
          <m:r>
            <m:rPr>
              <m:sty m:val="p"/>
            </m:rPr>
            <m:t>GeV</m:t>
          </m:r>
        </m:oMath>
      </m:oMathPara>
    </w:p>
    <w:p w14:paraId="3D2929A5">
      <w:pPr>
        <w:pStyle w:val="4"/>
      </w:pPr>
      <w:r>
        <w:t xml:space="preserve">where </w:t>
      </w:r>
      <m:oMath>
        <m:sSub>
          <m:sSubPr/>
          <m:e>
            <m:r>
              <m:rPr/>
              <m:t>ρ</m:t>
            </m:r>
          </m:e>
          <m:sub>
            <m:r>
              <m:rPr>
                <m:sty m:val="p"/>
              </m:rPr>
              <m:t>sat</m:t>
            </m:r>
          </m:sub>
        </m:sSub>
        <m:r>
          <m:rPr>
            <m:sty m:val="p"/>
          </m:rPr>
          <m:t>∼</m:t>
        </m:r>
        <m:sSup>
          <m:sSupPr/>
          <m:e>
            <m:r>
              <m:rPr/>
              <m:t>10</m:t>
            </m:r>
          </m:e>
          <m:sup>
            <m:r>
              <m:rPr/>
              <m:t>12</m:t>
            </m:r>
          </m:sup>
        </m:sSup>
        <m:r>
          <m:rPr/>
          <m:t> </m:t>
        </m:r>
        <m:sSup>
          <m:sSupPr/>
          <m:e>
            <m:r>
              <m:rPr>
                <m:sty m:val="p"/>
              </m:rPr>
              <m:t>GeV</m:t>
            </m:r>
          </m:e>
          <m:sup>
            <m:r>
              <m:rPr/>
              <m:t>4</m:t>
            </m:r>
          </m:sup>
        </m:sSup>
      </m:oMath>
      <w:r>
        <w:t xml:space="preserve"> is the local saturation density of the virtual particle soup, </w:t>
      </w:r>
      <m:oMath>
        <m:sSub>
          <m:sSubPr/>
          <m:e>
            <m:r>
              <m:rPr/>
              <m:t>ρ</m:t>
            </m:r>
          </m:e>
          <m:sub>
            <m:r>
              <m:rPr/>
              <m:t>0</m:t>
            </m:r>
          </m:sub>
        </m:sSub>
        <m:r>
          <m:rPr>
            <m:sty m:val="p"/>
          </m:rPr>
          <m:t>∼</m:t>
        </m:r>
        <m:sSup>
          <m:sSupPr/>
          <m:e>
            <m:r>
              <m:rPr/>
              <m:t>10</m:t>
            </m:r>
          </m:e>
          <m:sup>
            <m:r>
              <m:rPr>
                <m:sty m:val="p"/>
              </m:rPr>
              <m:t>−</m:t>
            </m:r>
            <m:r>
              <m:rPr/>
              <m:t>3</m:t>
            </m:r>
          </m:sup>
        </m:sSup>
        <m:r>
          <m:rPr/>
          <m:t> </m:t>
        </m:r>
        <m:sSup>
          <m:sSupPr/>
          <m:e>
            <m:r>
              <m:rPr>
                <m:sty m:val="p"/>
              </m:rPr>
              <m:t>GeV</m:t>
            </m:r>
          </m:e>
          <m:sup>
            <m:r>
              <m:rPr/>
              <m:t>4</m:t>
            </m:r>
          </m:sup>
        </m:sSup>
      </m:oMath>
      <w:r>
        <w:t xml:space="preserve"> is the 11-dimensional vacuum background density (A1 §2.4), and </w:t>
      </w:r>
      <m:oMath>
        <m:sSub>
          <m:sSubPr/>
          <m:e>
            <m:r>
              <m:rPr/>
              <m:t>g</m:t>
            </m:r>
          </m:e>
          <m:sub>
            <m:r>
              <m:rPr/>
              <m:t>AC</m:t>
            </m:r>
          </m:sub>
        </m:sSub>
        <m:r>
          <m:rPr>
            <m:sty m:val="p"/>
          </m:rPr>
          <m:t>∼</m:t>
        </m:r>
        <m:sSup>
          <m:sSupPr/>
          <m:e>
            <m:r>
              <m:rPr/>
              <m:t>10</m:t>
            </m:r>
          </m:e>
          <m:sup>
            <m:r>
              <m:rPr>
                <m:sty m:val="p"/>
              </m:rPr>
              <m:t>−</m:t>
            </m:r>
            <m:r>
              <m:rPr/>
              <m:t>2</m:t>
            </m:r>
          </m:sup>
        </m:sSup>
      </m:oMath>
      <w:r>
        <w:t xml:space="preserve"> is the A-C coupling constant (defined in B31). This energy scale exceeds the operational range of current LHC colliders but may be observable in ultra-high-energy cosmic ray events, relativistic jets from quasars, and quantum fluctuation scenarios in early universe domain walls. Expected characteristic signals include:</w:t>
      </w:r>
    </w:p>
    <w:p w14:paraId="0CAF62F1">
      <w:pPr>
        <w:pStyle w:val="26"/>
        <w:numPr>
          <w:ilvl w:val="0"/>
          <w:numId w:val="1"/>
        </w:numPr>
      </w:pPr>
      <w:r>
        <w:t xml:space="preserve">Transient particles carrying a </w:t>
      </w:r>
      <m:oMath>
        <m:sSup>
          <m:sSupPr/>
          <m:e>
            <m:r>
              <m:rPr/>
              <m:t>C</m:t>
            </m:r>
          </m:e>
          <m:sup>
            <m:r>
              <m:rPr>
                <m:sty m:val="p"/>
              </m:rPr>
              <m:t>−</m:t>
            </m:r>
          </m:sup>
        </m:sSup>
      </m:oMath>
      <w:r>
        <w:t xml:space="preserve"> component exhibiting anomalous negative-mass repulsive trajectories;</w:t>
      </w:r>
    </w:p>
    <w:p w14:paraId="00D136EE">
      <w:pPr>
        <w:pStyle w:val="26"/>
        <w:numPr>
          <w:ilvl w:val="0"/>
          <w:numId w:val="1"/>
        </w:numPr>
      </w:pPr>
      <w:r>
        <w:t>Anomalous voids with missing particle counts in high-energy particle jets (caused by dark matter transient escape).</w:t>
      </w:r>
    </w:p>
    <w:bookmarkEnd w:id="36"/>
    <w:p w14:paraId="2628508B">
      <w:pPr>
        <w:pStyle w:val="6"/>
      </w:pPr>
      <w:bookmarkStart w:id="37" w:name="cosmological-signatures-of-global-decay"/>
      <w:r>
        <w:t>8.2 Cosmological Signatures of Global Decay</w:t>
      </w:r>
    </w:p>
    <w:p w14:paraId="67368F8D">
      <w:pPr>
        <w:pStyle w:val="4"/>
      </w:pPr>
      <w:r>
        <w:t>If a global vacuum decay occurred during the early universe’s evolutionary stage, it would leave two types of cosmologically observable signatures:</w:t>
      </w:r>
    </w:p>
    <w:p w14:paraId="05E48674">
      <w:pPr>
        <w:pStyle w:val="26"/>
        <w:numPr>
          <w:ilvl w:val="0"/>
          <w:numId w:val="1"/>
        </w:numPr>
      </w:pPr>
      <w:r>
        <w:t xml:space="preserve">Massive generation of primordial </w:t>
      </w:r>
      <m:oMath>
        <m:sSup>
          <m:sSupPr/>
          <m:e>
            <m:r>
              <m:rPr/>
              <m:t>C</m:t>
            </m:r>
          </m:e>
          <m:sup>
            <m:r>
              <m:rPr>
                <m:sty m:val="p"/>
              </m:rPr>
              <m:t>−</m:t>
            </m:r>
          </m:sup>
        </m:sSup>
      </m:oMath>
      <w:r>
        <w:t xml:space="preserve"> dark matter particles, quantitatively explaining the observed abundance of dark matter in the current universe;</w:t>
      </w:r>
    </w:p>
    <w:p w14:paraId="2AE15F46">
      <w:pPr>
        <w:pStyle w:val="26"/>
        <w:numPr>
          <w:ilvl w:val="0"/>
          <w:numId w:val="1"/>
        </w:numPr>
      </w:pPr>
      <w:r>
        <w:t>Specific non-Gaussian distortion features appearing in the power spectrum of the cosmic microwave background radiation.</w:t>
      </w:r>
    </w:p>
    <w:bookmarkEnd w:id="37"/>
    <w:p w14:paraId="40AE5BA3">
      <w:pPr>
        <w:pStyle w:val="6"/>
      </w:pPr>
      <w:bookmarkStart w:id="38" w:name="cross-verification-with-b33"/>
      <w:r>
        <w:t>8.3 Cross-Verification with B33</w:t>
      </w:r>
    </w:p>
    <w:p w14:paraId="0C1736D9">
      <w:pPr>
        <w:pStyle w:val="4"/>
      </w:pPr>
      <w:r>
        <w:t xml:space="preserve">The relativistic dynamical mass saturation effect proposed in B33 (deviation of moving mass from the classical relativistic expression </w:t>
      </w:r>
      <m:oMath>
        <m:r>
          <m:rPr/>
          <m:t>γ</m:t>
        </m:r>
        <m:sSub>
          <m:sSubPr/>
          <m:e>
            <m:r>
              <m:rPr/>
              <m:t>m</m:t>
            </m:r>
          </m:e>
          <m:sub>
            <m:r>
              <m:rPr/>
              <m:t>0</m:t>
            </m:r>
          </m:sub>
        </m:sSub>
      </m:oMath>
      <w:r>
        <w:t xml:space="preserve"> in the ultra-high-energy regime) serves as a precursor critical signal for local vacuum decay: when the adsorption effect of the C field on </w:t>
      </w:r>
      <m:oMath>
        <m:sSup>
          <m:sSupPr/>
          <m:e>
            <m:r>
              <m:rPr/>
              <m:t>C</m:t>
            </m:r>
          </m:e>
          <m:sup>
            <m:r>
              <m:rPr>
                <m:sty m:val="p"/>
              </m:rPr>
              <m:t>+</m:t>
            </m:r>
          </m:sup>
        </m:sSup>
      </m:oMath>
      <w:r>
        <w:t>-type virtual particles approaches the saturation threshold, the C field immediately triggers bifurcation, formally entering the vacuum decay evolutionary stage.</w:t>
      </w:r>
    </w:p>
    <w:bookmarkEnd w:id="35"/>
    <w:bookmarkEnd w:id="38"/>
    <w:p w14:paraId="3EC6F012">
      <w:pPr>
        <w:pStyle w:val="5"/>
      </w:pPr>
      <w:bookmarkStart w:id="39" w:name="conclusions"/>
      <w:r>
        <w:t>9 Conclusions</w:t>
      </w:r>
    </w:p>
    <w:p w14:paraId="479F6B00">
      <w:pPr>
        <w:pStyle w:val="26"/>
        <w:numPr>
          <w:ilvl w:val="0"/>
          <w:numId w:val="4"/>
        </w:numPr>
      </w:pPr>
      <w:r>
        <w:t>This paper establishes a complete mathematical self-consistent model of vacuum decay within the FCWFT framework, based on the 11-dimensional working vacuum of the universe, rigorously defining three decay evolution modes and explicitly deriving the transition operators.</w:t>
      </w:r>
    </w:p>
    <w:p w14:paraId="49C0A26E">
      <w:pPr>
        <w:pStyle w:val="26"/>
        <w:numPr>
          <w:ilvl w:val="0"/>
          <w:numId w:val="4"/>
        </w:numPr>
      </w:pPr>
      <w:r>
        <w:t>Locally excited decay induces temporary expansion of virtual particles, providing a complete physical mechanism underlying the ABC field decomposition-recombination particle production process proposed in B33.</w:t>
      </w:r>
    </w:p>
    <w:p w14:paraId="3B8C67F3">
      <w:pPr>
        <w:pStyle w:val="26"/>
        <w:numPr>
          <w:ilvl w:val="0"/>
          <w:numId w:val="4"/>
        </w:numPr>
      </w:pPr>
      <w:r>
        <w:t xml:space="preserve">Global A-field bifurcation decay (11D → 17D) expands the number of steady-state virtual particles from 9 to 13; full C-field bipartite global decay (11D → 26D) leaves the total number of steady-state virtual particles unchanged while simultaneously activating 9 primordial </w:t>
      </w:r>
      <m:oMath>
        <m:sSup>
          <m:sSupPr/>
          <m:e>
            <m:r>
              <m:rPr/>
              <m:t>C</m:t>
            </m:r>
          </m:e>
          <m:sup>
            <m:r>
              <m:rPr>
                <m:sty m:val="p"/>
              </m:rPr>
              <m:t>−</m:t>
            </m:r>
          </m:sup>
        </m:sSup>
      </m:oMath>
      <w:r>
        <w:t xml:space="preserve"> dark matter particles.</w:t>
      </w:r>
    </w:p>
    <w:p w14:paraId="26411E72">
      <w:pPr>
        <w:pStyle w:val="26"/>
        <w:numPr>
          <w:ilvl w:val="0"/>
          <w:numId w:val="4"/>
        </w:numPr>
      </w:pPr>
      <w:r>
        <w:t>All dimensional transition evolution processes strictly adhere to three fundamental constraints: unitary evolution, energy conservation, and B-field topological charge conservation. This model achieves full compatibility and unification across the entire FCWFT theoretical framework, including the A1 dimensional reduction chain, the B32 higher-order loop self-energy theory, and the B33 dynamical mass adsorption model.</w:t>
      </w:r>
    </w:p>
    <w:p w14:paraId="612C2CB3">
      <w:pPr>
        <w:pStyle w:val="26"/>
        <w:numPr>
          <w:ilvl w:val="0"/>
          <w:numId w:val="4"/>
        </w:numPr>
      </w:pPr>
      <w:r>
        <w:t>The model provides two categories of physically realizable predictions — astrophysical observations and cosmological surveys — constructing an integrated theoretical analysis framework for studying the origins of high-energy elementary particles, tracing the essence of dark matter, and investigating the dynamics of early universe phase transitions.</w:t>
      </w:r>
    </w:p>
    <w:bookmarkEnd w:id="39"/>
    <w:p w14:paraId="0AACF06A">
      <w:pPr>
        <w:pStyle w:val="5"/>
      </w:pPr>
      <w:bookmarkStart w:id="40" w:name="references"/>
      <w:r>
        <w:t>References</w:t>
      </w:r>
    </w:p>
    <w:p w14:paraId="4BFF90E2">
      <w:pPr>
        <w:pStyle w:val="4"/>
      </w:pPr>
      <w:r>
        <w:t>[1] Li Zhijun, Zhao Guangyao, Xue Yanyu. A1: Unified Field Combination Model of ABC Fields Without Positive-Negative Distinction in the Three-Dimensional Ground State [R]. Preprint, 2026.</w:t>
      </w:r>
      <w:r>
        <w:br w:type="textWrapping"/>
      </w:r>
      <w:r>
        <w:t>[</w:t>
      </w:r>
      <w:r>
        <w:rPr>
          <w:rFonts w:hint="eastAsia" w:eastAsia="宋体"/>
          <w:lang w:val="en-US" w:eastAsia="zh-CN"/>
        </w:rPr>
        <w:t>2</w:t>
      </w:r>
      <w:r>
        <w:t>] Li Zhijun, Zhao Guangyao, Xue Yanyu. B31: FCWFT C-Field Global Lagrangian and Boson Scattering Dynamics [R]. Preprint, 2026.</w:t>
      </w:r>
      <w:r>
        <w:br w:type="textWrapping"/>
      </w:r>
      <w:r>
        <w:t>[</w:t>
      </w:r>
      <w:r>
        <w:rPr>
          <w:rFonts w:hint="eastAsia" w:eastAsia="宋体"/>
          <w:lang w:val="en-US" w:eastAsia="zh-CN"/>
        </w:rPr>
        <w:t>3</w:t>
      </w:r>
      <w:r>
        <w:t>] Li Zhijun, Zhao Guangyao, Xue Yanyu. B30: FCWFT Unified Boson Spectrum [R]. Preprint, 2026.</w:t>
      </w:r>
      <w:r>
        <w:br w:type="textWrapping"/>
      </w:r>
      <w:r>
        <w:t>[</w:t>
      </w:r>
      <w:r>
        <w:rPr>
          <w:rFonts w:hint="eastAsia" w:eastAsia="宋体"/>
          <w:lang w:val="en-US" w:eastAsia="zh-CN"/>
        </w:rPr>
        <w:t>4</w:t>
      </w:r>
      <w:r>
        <w:t>] Li Zhijun, Zhao Guangyao, Xue Yanyu. B11: Dimensional Transition Mechanism [R]. Preprint, 2026.</w:t>
      </w:r>
      <w:r>
        <w:br w:type="textWrapping"/>
      </w:r>
      <w:r>
        <w:t>[</w:t>
      </w:r>
      <w:r>
        <w:rPr>
          <w:rFonts w:hint="eastAsia" w:eastAsia="宋体"/>
          <w:lang w:val="en-US" w:eastAsia="zh-CN"/>
        </w:rPr>
        <w:t>5</w:t>
      </w:r>
      <w:r>
        <w:t>] Li Zhijun, Zhao Guangyao, Xue Yanyu. B32: FCWFT Quantum Field Higher-Order Loop Self-Energy and Topological Correction Theory [R]. Preprint, 2026.</w:t>
      </w:r>
    </w:p>
    <w:bookmarkEnd w:id="40"/>
    <w:p w14:paraId="03E03F0A">
      <w:pPr>
        <w:pStyle w:val="3"/>
      </w:pPr>
      <w:bookmarkStart w:id="41" w:name="final-approval-signature"/>
    </w:p>
    <w:bookmarkEnd w:id="0"/>
    <w:bookmarkEnd w:id="4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3C405D9C"/>
    <w:rsid w:val="444A6219"/>
    <w:rsid w:val="51BB0241"/>
    <w:rsid w:val="5959341A"/>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875</Words>
  <Characters>4907</Characters>
  <Lines>283</Lines>
  <Paragraphs>310</Paragraphs>
  <TotalTime>0</TotalTime>
  <ScaleCrop>false</ScaleCrop>
  <LinksUpToDate>false</LinksUpToDate>
  <CharactersWithSpaces>5648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2026-07-11T16:05:00Z</dcterms:created>
  <dc:creator>迈斯纳效应</dc:creator>
  <cp:lastModifiedBy>迈斯纳效应</cp:lastModifiedBy>
  <dcterms:modified xsi:type="dcterms:W3CDTF">2026-07-11T16:08:10Z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1FCCA348798F403B9539E24484644715_12</vt:lpwstr>
  </property>
</Properties>
</file>