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6A7D4">
      <w:pPr>
        <w:pStyle w:val="2"/>
      </w:pPr>
      <w:bookmarkStart w:id="0" w:name="Xd71418c5b3c786264c15dcac6c7d6922df0fef4"/>
      <w:r>
        <w:t>B</w:t>
      </w:r>
      <w:r>
        <w:rPr>
          <w:rFonts w:hint="eastAsia"/>
          <w:lang w:val="en-US" w:eastAsia="zh-CN"/>
        </w:rPr>
        <w:t>56</w:t>
      </w:r>
      <w:bookmarkStart w:id="14" w:name="_GoBack"/>
      <w:bookmarkEnd w:id="14"/>
      <w:r>
        <w:t>: Topological Origin of Superconductivity and Superfluidity in FCWFT — First-Principles Unification of Energy Gap, Coherence Length, Flux Quantization, and Critical Temperature</w:t>
      </w:r>
    </w:p>
    <w:p w14:paraId="55547B86">
      <w:pPr>
        <w:pStyle w:val="4"/>
      </w:pPr>
      <w:r>
        <w:t>Li Zhijun¹, Zhao Guangyao², Xue Yanyu³</w:t>
      </w:r>
    </w:p>
    <w:p w14:paraId="72E25584">
      <w:pPr>
        <w:pStyle w:val="3"/>
      </w:pPr>
      <w:r>
        <w:t>¹ Shanxi Provincial Department of Agriculture and Rural Affairs, School of Animal Husbandry and Veterinary Medicine, Taiyuan, China</w:t>
      </w:r>
      <w:r>
        <w:br w:type="textWrapping"/>
      </w:r>
      <w:r>
        <w:t>² Chongqing University, College of Physics, Chongqing, China</w:t>
      </w:r>
      <w:r>
        <w:br w:type="textWrapping"/>
      </w:r>
      <w:r>
        <w:t>³ Shanxi Provincial Department of Agriculture and Rural Affairs, School of Animal Husbandry and Veterinary Medicine, Taiyuan, China</w:t>
      </w:r>
    </w:p>
    <w:p w14:paraId="60656A44">
      <w:pPr>
        <w:pStyle w:val="3"/>
      </w:pPr>
      <w:r>
        <w:t>PACS: 74.20.-z, 67.10.-j, 74.25.Uv, 03.75.Lm</w:t>
      </w:r>
      <w:r>
        <w:br w:type="textWrapping"/>
      </w:r>
      <w:r>
        <w:t>Keywords: Field Combination Wave Function Theory; Superconductivity; Superfluidity; A–C Seesaws; Energy Gap; Coherence Length; Flux Quantization; Ginzburg–Landau; Zero Parameters</w:t>
      </w:r>
    </w:p>
    <w:p w14:paraId="189A9294">
      <w:pPr>
        <w:pStyle w:val="5"/>
      </w:pPr>
      <w:bookmarkStart w:id="1" w:name="abstract"/>
      <w:r>
        <w:t>Abstract</w:t>
      </w:r>
    </w:p>
    <w:p w14:paraId="3E2E4705">
      <w:pPr>
        <w:pStyle w:val="4"/>
      </w:pPr>
      <w:r>
        <w:t xml:space="preserve">The Meissner effect, energy gap </w:t>
      </w:r>
      <m:oMath>
        <m:r>
          <m:rPr>
            <m:sty m:val="p"/>
          </m:rPr>
          <m:t>Δ</m:t>
        </m:r>
      </m:oMath>
      <w:r>
        <w:t xml:space="preserve">, flux quantization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2e</m:t>
        </m:r>
      </m:oMath>
      <w:r>
        <w:t xml:space="preserve">, coherence length </w:t>
      </w:r>
      <m:oMath>
        <m:sSub>
          <m:sSubPr/>
          <m:e>
            <m:r>
              <m:rPr/>
              <m:t>ξ</m:t>
            </m:r>
          </m:e>
          <m:sub>
            <m:r>
              <m:rPr/>
              <m:t>0</m:t>
            </m:r>
          </m:sub>
        </m:sSub>
      </m:oMath>
      <w:r>
        <w:t xml:space="preserve">, penetration depth </w:t>
      </w:r>
      <m:oMath>
        <m:sSub>
          <m:sSubPr/>
          <m:e>
            <m:r>
              <m:rPr/>
              <m:t>λ</m:t>
            </m:r>
          </m:e>
          <m:sub>
            <m:r>
              <m:rPr/>
              <m:t>L</m:t>
            </m:r>
          </m:sub>
        </m:sSub>
      </m:oMath>
      <w:r>
        <w:t xml:space="preserve"> in superconductivity, and dissipationless flow in superfluidity are described in the standard BCS/Ginzburg–Landau (GL) theory by pairing mechanisms, order-parameter effective potentials, and phenomenological GL equations, respectively. The Field Combination Wave Function Theory (FCWFT), based on the three-field axioms of A (electromagnetic vortex vector), B (color/charge/spin spinor), and C (positive/negative mass scalar) [1,3], provides their unified topological origin: the superconducting state is the spontaneous condensation of the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field near the Fermi surface (Cooper pair = self-conjugate cluster of two electron B-fields, total charge </w:t>
      </w:r>
      <m:oMath>
        <m:r>
          <m:rPr/>
          <m:t>2e</m:t>
        </m:r>
      </m:oMath>
      <w:r>
        <w:t xml:space="preserve"> locked by B36 charge quantization); the A field acts as the electromagnetic phase providing gauge connection and flux topology; the A–C seesaw [B51, B54] controls the condensation energy scale; the superfluid state is the massless C condensation of neutral atomic spinor pairs of the B field. Starting from the three-field path integral, this paper derives the order parameter, the linear scaling of the energy gap </w:t>
      </w:r>
      <m:oMath>
        <m:r>
          <m:rPr>
            <m:sty m:val="p"/>
          </m:rPr>
          <m:t>Δ=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, the topological term in the GL free energy, flux quantization </w:t>
      </w:r>
      <m:oMath>
        <m:r>
          <m:rPr>
            <m:sty m:val="p"/>
          </m:rPr>
          <m:t>Φ=(</m:t>
        </m:r>
        <m:r>
          <m:rPr/>
          <m:t>n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</m:t>
        </m:r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</m:oMath>
      <w:r>
        <w:t xml:space="preserve"> (with unit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2e</m:t>
        </m:r>
      </m:oMath>
      <w:r>
        <w:t xml:space="preserve"> strictly locked by the </w:t>
      </w:r>
      <m:oMath>
        <m:r>
          <m:rPr/>
          <m:t>2e</m:t>
        </m:r>
      </m:oMath>
      <w:r>
        <w:t xml:space="preserve"> charge quantization of the B field — FCWFT has zero deviation from experiment), and the topological critical correction to the GL parameter </w:t>
      </w:r>
      <m:oMath>
        <m:r>
          <m:rPr/>
          <m:t>κ</m:t>
        </m:r>
      </m:oMath>
      <w:r>
        <w:t xml:space="preserve">. All inputs are taken from B36 (fine-structure constant and charge quantization), B51/B54 (A–C seesaw), C10 (path integral), A1 (virtual particle table), and B35 (electron pair production), with no new free fitting parameters. Four groups of falsifiable predictions are given: linear </w:t>
      </w:r>
      <m:oMath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deviation of the energy gap from the BCS constant 1.76, </w:t>
      </w:r>
      <m:oMath>
        <m:r>
          <m:rPr/>
          <m:t>κ</m:t>
        </m:r>
      </m:oMath>
      <w:r>
        <w:t xml:space="preserve"> critical shift, negative-mass imprint of the C field in the flux vortex core, and topological upper bound of the superfluid critical velocity. This work is the first-principles reformulation of macroscopic quantum phenomena in condensed matter by FCWFT, forming a closed loop with B34 (radioactivity), B35 (pair production), and the entire book system.</w:t>
      </w:r>
    </w:p>
    <w:bookmarkEnd w:id="1"/>
    <w:p w14:paraId="41C5425C">
      <w:pPr>
        <w:pStyle w:val="5"/>
      </w:pPr>
      <w:bookmarkStart w:id="2" w:name="introduction"/>
      <w:r>
        <w:t>1 Introduction</w:t>
      </w:r>
    </w:p>
    <w:p w14:paraId="5208080F">
      <w:pPr>
        <w:pStyle w:val="4"/>
      </w:pPr>
      <w:r>
        <w:t xml:space="preserve">Since Onnes discovered superconductivity in 1911 and the BCS theory [1] explained electron–phonon pairing in 1957, the phenomenon has been completely described by the GL macroscopic theory [2], the BdG quasiparticle equation [3], the London equation, and flux quantization [4]. Superfluidity in </w:t>
      </w:r>
      <m:oMath>
        <m:sSup>
          <m:sSupPr/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4</m:t>
            </m:r>
          </m:sup>
        </m:sSup>
        <m:r>
          <m:rPr>
            <m:sty m:val="p"/>
          </m:rPr>
          <m:t>He</m:t>
        </m:r>
        <m:sSup>
          <m:sSupPr/>
          <m:e>
            <m:r>
              <m:rPr>
                <m:sty m:val="p"/>
              </m:rPr>
              <m:t>/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He</m:t>
        </m:r>
      </m:oMath>
      <w:r>
        <w:t xml:space="preserve"> and cold-atom BECs is characterized by the Bogoliubov–de Gennes and Gross–Pitaevskii equations [5]. However, the following problems still lack a first-principles topological ontological explanation: the field-theoretic identity of the order parameter </w:t>
      </w:r>
      <m:oMath>
        <m:r>
          <m:rPr>
            <m:sty m:val="p"/>
          </m:rPr>
          <m:t>Ψ</m:t>
        </m:r>
      </m:oMath>
      <w:r>
        <w:t xml:space="preserve">, the universal scaling of the energy gap with </w:t>
      </w:r>
      <m:oMath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, why the flux is quantized exactly as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2e</m:t>
        </m:r>
      </m:oMath>
      <w:r>
        <w:t xml:space="preserve">, the microscopic origin of the GL parameter </w:t>
      </w:r>
      <m:oMath>
        <m:r>
          <m:rPr/>
          <m:t>κ</m:t>
        </m:r>
      </m:oMath>
      <w:r>
        <w:t>, and whether superconductivity and superfluidity can be unified under the same three-field architecture.</w:t>
      </w:r>
    </w:p>
    <w:p w14:paraId="2CC10639">
      <w:pPr>
        <w:pStyle w:val="3"/>
      </w:pPr>
      <w:r>
        <w:t>FCWFT replaces “particle-based ontology” with three fields [E1, A1], allowing both types of macroscopic quantum states to be reconstructed as topological combinations of C-field condensation + A-field phase + B-field carriers. The goal of this paper is to unify superconductivity/superfluidity in this way and to derive testable predictions, explicitly defining the zero-parameter boundary.</w:t>
      </w:r>
    </w:p>
    <w:bookmarkEnd w:id="2"/>
    <w:p w14:paraId="3E611A8F">
      <w:pPr>
        <w:pStyle w:val="5"/>
      </w:pPr>
      <w:bookmarkStart w:id="3" w:name="Xd4846d6b45bb20ce93778e48fd890384aff3d8d"/>
      <w:r>
        <w:t>2 Three-Field Composite Representation of the Superconducting State</w:t>
      </w:r>
    </w:p>
    <w:p w14:paraId="7DF046BB">
      <w:pPr>
        <w:pStyle w:val="4"/>
      </w:pPr>
      <w:r>
        <w:t>The superconducting electron pair (Cooper pair) state is written as:</w:t>
      </w:r>
    </w:p>
    <w:p w14:paraId="6BF2DB8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|Cooper⟩=|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phase</m:t>
              </m:r>
            </m:sub>
          </m:sSub>
          <m:r>
            <m:rPr>
              <m:sty m:val="p"/>
            </m:rPr>
            <m:t>⟩⊗|</m:t>
          </m:r>
          <m:sSubSup>
            <m:sSubSupPr/>
            <m:e>
              <m:r>
                <m:rPr/>
                <m:t>B</m:t>
              </m:r>
            </m:e>
            <m:sub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  <m:sup>
              <m:r>
                <m:rPr>
                  <m:sty m:val="p"/>
                </m:rPr>
                <m:t>↑↓</m:t>
              </m:r>
            </m:sup>
          </m:sSub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⊗|</m:t>
          </m:r>
          <m:sSubSup>
            <m:sSubSupPr/>
            <m:e>
              <m:r>
                <m:rPr/>
                <m:t>C</m:t>
              </m:r>
            </m:e>
            <m:sub>
              <m:r>
                <m:rPr>
                  <m:sty m:val="p"/>
                </m:rPr>
                <m:t>cond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⟩</m:t>
          </m:r>
        </m:oMath>
      </m:oMathPara>
    </w:p>
    <w:p w14:paraId="1C9F4830">
      <w:pPr>
        <w:pStyle w:val="26"/>
        <w:numPr>
          <w:ilvl w:val="0"/>
          <w:numId w:val="1"/>
        </w:numPr>
      </w:pP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field: The electron–phonon-induced effective attraction near the Fermi surface causes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to condense, forming an s-wave (or d-wave) order parameter </w:t>
      </w:r>
      <m:oMath>
        <m:r>
          <m:rPr>
            <m:sty m:val="p"/>
          </m:rPr>
          <m:t>Ψ=⟨</m:t>
        </m:r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⟩</m:t>
        </m:r>
      </m:oMath>
      <w:r>
        <w:t xml:space="preserve">; the positive mass of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locks the effective mass of the Cooper pair, and the condensation energy density drives the energy gap. The negative-mass branch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does not participate in pairing (see B1, C1), appearing only as a topological defect background in the vortex core.</w:t>
      </w:r>
    </w:p>
    <w:p w14:paraId="3700A3F2">
      <w:pPr>
        <w:pStyle w:val="26"/>
        <w:numPr>
          <w:ilvl w:val="0"/>
          <w:numId w:val="1"/>
        </w:numPr>
      </w:pPr>
      <w:r>
        <w:t xml:space="preserve">B field: Two electron B-spinors pair to form a self-conjugate cluster with charge </w:t>
      </w:r>
      <m:oMath>
        <m:r>
          <m:rPr/>
          <m:t>2e</m:t>
        </m:r>
      </m:oMath>
      <w:r>
        <w:t xml:space="preserve"> and spin singlet; the total charge </w:t>
      </w:r>
      <m:oMath>
        <m:r>
          <m:rPr/>
          <m:t>2e</m:t>
        </m:r>
      </m:oMath>
      <w:r>
        <w:t xml:space="preserve"> is strictly derived from B36 charge quantization (integer multiples of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+ pairing cancellation), which is the source of the flux quantization unit.</w:t>
      </w:r>
    </w:p>
    <w:p w14:paraId="1AF50F09">
      <w:pPr>
        <w:pStyle w:val="26"/>
        <w:numPr>
          <w:ilvl w:val="0"/>
          <w:numId w:val="1"/>
        </w:numPr>
      </w:pPr>
      <w:r>
        <w:t xml:space="preserve">A field: The electromagnetic vortex vector field provides the phase gradient </w:t>
      </w:r>
      <m:oMath>
        <m:r>
          <m:rPr>
            <m:sty m:val="p"/>
          </m:rPr>
          <m:t>∇</m:t>
        </m:r>
        <m:r>
          <m:rPr/>
          <m:t>ϕ</m:t>
        </m:r>
      </m:oMath>
      <w:r>
        <w:t xml:space="preserve"> (superfluid velocity </w:t>
      </w:r>
      <m:oMath>
        <m:sSub>
          <m:sSubPr/>
          <m:e>
            <m:r>
              <m:rPr>
                <m:sty m:val="b"/>
              </m:rPr>
              <m:t>v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=(ℏ/</m:t>
        </m:r>
        <m:r>
          <m:rPr/>
          <m:t>2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)∇</m:t>
        </m:r>
        <m:r>
          <m:rPr/>
          <m:t>ϕ</m:t>
        </m:r>
      </m:oMath>
      <w:r>
        <w:t>) and gauge connection; its topological winding number characterizes the flux vortex.</w:t>
      </w:r>
    </w:p>
    <w:p w14:paraId="6768CAC6">
      <w:pPr>
        <w:pStyle w:val="4"/>
      </w:pPr>
      <w:r>
        <w:t>Order-parameter effective potential (spontaneous symmetry breaking of the C field, following Axiom III [E1]):</w:t>
      </w:r>
    </w:p>
    <w:p w14:paraId="7896BCAF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(Ψ)=−</m:t>
          </m:r>
          <m:r>
            <m:rPr/>
            <m:t>α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β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/>
                <m:t>4</m:t>
              </m:r>
            </m:sup>
          </m:sSup>
          <m:r>
            <m:rPr>
              <m:sty m:val="p"/>
            </m:rPr>
            <m:t>,</m:t>
          </m:r>
          <m:r>
            <m:rPr/>
            <m:t> α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0</m:t>
              </m:r>
            </m:sub>
          </m:sSub>
          <m:f>
            <m:fPr/>
            <m:num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T</m:t>
              </m:r>
            </m:num>
            <m:den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c</m:t>
                  </m:r>
                </m:sub>
              </m:sSub>
            </m:den>
          </m:f>
        </m:oMath>
      </m:oMathPara>
    </w:p>
    <w:p w14:paraId="0FD8F62B">
      <w:pPr>
        <w:pStyle w:val="4"/>
      </w:pPr>
      <w:r>
        <w:t xml:space="preserve">In FCWFT, </w:t>
      </w:r>
      <m:oMath>
        <m:sSub>
          <m:sSubPr/>
          <m:e>
            <m:r>
              <m:rPr/>
              <m:t>α</m:t>
            </m:r>
          </m:e>
          <m:sub>
            <m:r>
              <m:rPr/>
              <m:t>0</m:t>
            </m:r>
          </m:sub>
        </m:sSub>
      </m:oMath>
      <w:r>
        <w:t xml:space="preserve"> and </w:t>
      </w:r>
      <m:oMath>
        <m:r>
          <m:rPr/>
          <m:t>β</m:t>
        </m:r>
      </m:oMath>
      <w:r>
        <w:t xml:space="preserve"> are not obtained by phenomenological fitting but are expressed in terms of the C-field topological condensation stiffness and the B36 topological factor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</m:oMath>
      <w:r>
        <w:t xml:space="preserve"> (see §4).</w:t>
      </w:r>
    </w:p>
    <w:bookmarkEnd w:id="3"/>
    <w:p w14:paraId="0AA16312">
      <w:pPr>
        <w:pStyle w:val="5"/>
      </w:pPr>
      <w:bookmarkStart w:id="4" w:name="X0d88a766b5b024c6096c3ad0e82edbdb281b590"/>
      <w:r>
        <w:t>3 Linear Scaling of the Energy Gap and Critical Temperature</w:t>
      </w:r>
    </w:p>
    <w:p w14:paraId="030E2532">
      <w:pPr>
        <w:pStyle w:val="4"/>
      </w:pPr>
      <w:r>
        <w:t xml:space="preserve">Standard BCS gives the zero-temperature energy gap </w:t>
      </w:r>
      <m:oMath>
        <m:r>
          <m:rPr>
            <m:sty m:val="p"/>
          </m:rPr>
          <m:t>Δ(</m:t>
        </m:r>
        <m:r>
          <m:rPr/>
          <m:t>0</m:t>
        </m:r>
        <m:r>
          <m:rPr>
            <m:sty m:val="p"/>
          </m:rPr>
          <m:t>)≈</m:t>
        </m:r>
        <m:r>
          <m:rPr/>
          <m:t>1.76</m:t>
        </m:r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(weak coupling); strong-coupling and unconventional superconductors deviate from this ratio [1]. FCWFT derives from the A–C seesaw [B51]: the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condensation energy density </w:t>
      </w: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</m:oMath>
      <w:r>
        <w:t xml:space="preserve"> is inversely proportional to the A-field phase stiffness, and the second-order phase transition condition at </w:t>
      </w:r>
      <m:oMath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yields:</w:t>
      </w:r>
    </w:p>
    <w:p w14:paraId="5C131B4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Δ(</m:t>
          </m:r>
          <m:r>
            <m:rPr/>
            <m:t>T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/>
                <m:t>k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T</m:t>
              </m:r>
            </m:e>
            <m:sub>
              <m:r>
                <m:rPr/>
                <m:t>c</m:t>
              </m:r>
            </m:sub>
          </m:sSub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T</m:t>
                          </m:r>
                        </m:num>
                        <m:den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/>
                                <m:t>c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rad>
          <m:sSub>
            <m:sSub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sym</m:t>
              </m:r>
            </m:sub>
          </m:sSub>
        </m:oMath>
      </m:oMathPara>
    </w:p>
    <w:p w14:paraId="547954EC">
      <w:pPr>
        <w:pStyle w:val="4"/>
      </w:pPr>
      <w:r>
        <w:t xml:space="preserve">where the symmetry factor </w:t>
      </w:r>
      <m:oMath>
        <m:sSub>
          <m:sSub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sym</m:t>
            </m:r>
          </m:sub>
        </m:sSub>
      </m:oMath>
      <w:r>
        <w:t xml:space="preserve">: s-wave = 1, d-wave = </w:t>
      </w:r>
      <m:oMath>
        <m:r>
          <m:rPr/>
          <m:t>2</m:t>
        </m:r>
        <m:r>
          <m:rPr>
            <m:sty m:val="p"/>
          </m:rPr>
          <m:t>cos</m:t>
        </m:r>
        <m:r>
          <m:rPr/>
          <m:t>2θ</m:t>
        </m:r>
      </m:oMath>
      <w:r>
        <w:t xml:space="preserve"> (gap vanishes at nodes). The key scaling is:</w:t>
      </w:r>
    </w:p>
    <w:p w14:paraId="7D2BEDC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Δ(</m:t>
          </m:r>
          <m:r>
            <m:rPr/>
            <m:t>0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/>
                <m:t>k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T</m:t>
              </m:r>
            </m:e>
            <m:sub>
              <m:r>
                <m:rPr/>
                <m:t>c</m:t>
              </m:r>
            </m:sub>
          </m:sSub>
        </m:oMath>
      </m:oMathPara>
    </w:p>
    <w:p w14:paraId="25CF0247">
      <w:pPr>
        <w:pStyle w:val="4"/>
      </w:pPr>
      <w:r>
        <w:t xml:space="preserve">Substituting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t xml:space="preserve"> (B36 topological factor [B36]):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1044"/>
        <w:gridCol w:w="3044"/>
        <w:gridCol w:w="2816"/>
      </w:tblGrid>
      <w:tr w14:paraId="1AC6F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4D85C318">
            <w:pPr>
              <w:pStyle w:val="26"/>
              <w:jc w:val="center"/>
            </w:pPr>
            <w:r>
              <w:rPr>
                <w:b/>
              </w:rPr>
              <w:t>Material</w:t>
            </w:r>
          </w:p>
        </w:tc>
        <w:tc>
          <w:tcPr>
            <w:shd w:val="clear" w:color="auto" w:fill="B9CDE5"/>
            <w:vAlign w:val="center"/>
          </w:tcPr>
          <w:p w14:paraId="62CF79A4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/>
                  <m:t> </m:t>
                </m:r>
                <m:r>
                  <m:rPr>
                    <m:sty m:val="p"/>
                  </m:rPr>
                  <m:t>(K)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408E4D2B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Δ</m:t>
                    </m:r>
                  </m:e>
                  <m:sub>
                    <m:r>
                      <m:rPr>
                        <m:sty m:val="p"/>
                      </m:rPr>
                      <m:t>FCWFT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  <m:sSub>
                  <m:sSubPr/>
                  <m:e>
                    <m:r>
                      <m:rPr/>
                      <m:t>k</m:t>
                    </m:r>
                  </m:e>
                  <m:sub>
                    <m:r>
                      <m:rPr/>
                      <m:t>B</m:t>
                    </m:r>
                  </m:sub>
                </m:sSub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/>
                  <m:t> </m:t>
                </m:r>
                <m:r>
                  <m:rPr>
                    <m:sty m:val="p"/>
                  </m:rPr>
                  <m:t>(meV)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11B90B4E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BCS</m:t>
                </m:r>
                <m:r>
                  <m:rPr/>
                  <m:t>1.76</m:t>
                </m:r>
                <m:sSub>
                  <m:sSubPr/>
                  <m:e>
                    <m:r>
                      <m:rPr/>
                      <m:t>k</m:t>
                    </m:r>
                  </m:e>
                  <m:sub>
                    <m:r>
                      <m:rPr/>
                      <m:t>B</m:t>
                    </m:r>
                  </m:sub>
                </m:sSub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/>
                  <m:t> </m:t>
                </m:r>
                <m:r>
                  <m:rPr>
                    <m:sty m:val="p"/>
                  </m:rPr>
                  <m:t>(meV)</m:t>
                </m:r>
              </m:oMath>
            </m:oMathPara>
          </w:p>
        </w:tc>
      </w:tr>
      <w:tr w14:paraId="73BF7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1836B9F">
            <w:pPr>
              <w:pStyle w:val="26"/>
              <w:jc w:val="center"/>
            </w:pPr>
            <w:r>
              <w:t>Nb</w:t>
            </w:r>
          </w:p>
        </w:tc>
        <w:tc>
          <w:tcPr>
            <w:vAlign w:val="center"/>
          </w:tcPr>
          <w:p w14:paraId="58B0EEC4">
            <w:pPr>
              <w:pStyle w:val="26"/>
              <w:jc w:val="center"/>
            </w:pPr>
            <w:r>
              <w:t>7.2</w:t>
            </w:r>
          </w:p>
        </w:tc>
        <w:tc>
          <w:tcPr>
            <w:vAlign w:val="center"/>
          </w:tcPr>
          <w:p w14:paraId="148F9F4F">
            <w:pPr>
              <w:pStyle w:val="26"/>
              <w:jc w:val="center"/>
            </w:pPr>
            <w:r>
              <w:t>0.0183</w:t>
            </w:r>
          </w:p>
        </w:tc>
        <w:tc>
          <w:tcPr>
            <w:vAlign w:val="center"/>
          </w:tcPr>
          <w:p w14:paraId="4C357C73">
            <w:pPr>
              <w:pStyle w:val="26"/>
              <w:jc w:val="center"/>
            </w:pPr>
            <w:r>
              <w:t>0.0175</w:t>
            </w:r>
          </w:p>
        </w:tc>
      </w:tr>
      <w:tr w14:paraId="736EE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A187313">
            <w:pPr>
              <w:pStyle w:val="26"/>
              <w:jc w:val="center"/>
            </w:pPr>
            <w:r>
              <w:t>YBCO</w:t>
            </w:r>
          </w:p>
        </w:tc>
        <w:tc>
          <w:tcPr>
            <w:vAlign w:val="center"/>
          </w:tcPr>
          <w:p w14:paraId="43B67064">
            <w:pPr>
              <w:pStyle w:val="26"/>
              <w:jc w:val="center"/>
            </w:pPr>
            <w:r>
              <w:t>92</w:t>
            </w:r>
          </w:p>
        </w:tc>
        <w:tc>
          <w:tcPr>
            <w:vAlign w:val="center"/>
          </w:tcPr>
          <w:p w14:paraId="591D0B8B">
            <w:pPr>
              <w:pStyle w:val="26"/>
              <w:jc w:val="center"/>
            </w:pPr>
            <w:r>
              <w:t>0.234</w:t>
            </w:r>
          </w:p>
        </w:tc>
        <w:tc>
          <w:tcPr>
            <w:vAlign w:val="center"/>
          </w:tcPr>
          <w:p w14:paraId="14355B2D">
            <w:pPr>
              <w:pStyle w:val="26"/>
              <w:jc w:val="center"/>
            </w:pPr>
            <w:r>
              <w:t>0.224</w:t>
            </w:r>
          </w:p>
        </w:tc>
      </w:tr>
    </w:tbl>
    <w:p w14:paraId="21B9FFE5">
      <w:pPr>
        <w:pStyle w:val="3"/>
      </w:pPr>
      <w:r>
        <w:t xml:space="preserve">Both are of the same order of magnitude; FCWFT gives a small offset factor from the BCS constant: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r>
          <m:rPr/>
          <m:t>1.76</m:t>
        </m:r>
        <m:r>
          <m:rPr>
            <m:sty m:val="p"/>
          </m:rPr>
          <m:t>≈</m:t>
        </m:r>
        <m:r>
          <m:rPr/>
          <m:t>0.104</m:t>
        </m:r>
      </m:oMath>
      <w:r>
        <w:t xml:space="preserve"> — a measurable correction to the gap ratio. This is a zero-parameter prediction (no free fitting), since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</m:oMath>
      <w:r>
        <w:t xml:space="preserve"> has already been independently determined by B36.</w:t>
      </w:r>
    </w:p>
    <w:bookmarkEnd w:id="4"/>
    <w:p w14:paraId="14A01DC1">
      <w:pPr>
        <w:pStyle w:val="5"/>
      </w:pPr>
      <w:bookmarkStart w:id="5" w:name="gl-free-energy-and-topological-term"/>
      <w:r>
        <w:t>4 GL Free Energy and Topological Term</w:t>
      </w:r>
    </w:p>
    <w:p w14:paraId="027FBED8">
      <w:pPr>
        <w:pStyle w:val="4"/>
      </w:pPr>
      <w:r>
        <w:t>Standard GL free energy density [2]:</w:t>
      </w:r>
    </w:p>
    <w:p w14:paraId="20E12F31">
      <w:pPr>
        <w:pStyle w:val="3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=</m:t>
          </m:r>
          <m:r>
            <m:rPr/>
            <m:t>α</m:t>
          </m:r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β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/>
                <m:t>4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</m:den>
          </m:f>
          <m:r>
            <m:rPr>
              <m:sty m:val="p"/>
            </m:rPr>
            <m:t>|(−</m:t>
          </m:r>
          <m:r>
            <m:rPr/>
            <m:t>i</m:t>
          </m:r>
          <m:r>
            <m:rPr>
              <m:sty m:val="p"/>
            </m:rPr>
            <m:t>ℏ∇−</m:t>
          </m:r>
          <m:r>
            <m:rPr/>
            <m:t>2e</m:t>
          </m:r>
          <m:r>
            <m:rPr>
              <m:sty m:val="b"/>
            </m:rPr>
            <m:t>A</m:t>
          </m:r>
          <m:r>
            <m:rPr>
              <m:sty m:val="p"/>
            </m:rPr>
            <m:t>)Ψ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</m:oMath>
      </m:oMathPara>
    </w:p>
    <w:p w14:paraId="28422DFF">
      <w:pPr>
        <w:pStyle w:val="4"/>
      </w:pPr>
      <w:r>
        <w:t>FCWFT reconstruction:</w:t>
      </w:r>
    </w:p>
    <w:p w14:paraId="02440F78">
      <w:pPr>
        <w:pStyle w:val="26"/>
        <w:numPr>
          <w:ilvl w:val="0"/>
          <w:numId w:val="1"/>
        </w:numPr>
      </w:pPr>
      <w:r>
        <w:t xml:space="preserve">Kinetic term: the </w:t>
      </w:r>
      <m:oMath>
        <m:r>
          <m:rPr/>
          <m:t>2e</m:t>
        </m:r>
      </m:oMath>
      <w:r>
        <w:t xml:space="preserve"> in </w:t>
      </w:r>
      <m:oMath>
        <m:r>
          <m:rPr>
            <m:sty m:val="p"/>
          </m:rPr>
          <m:t>−</m:t>
        </m:r>
        <m:r>
          <m:rPr/>
          <m:t>i</m:t>
        </m:r>
        <m:r>
          <m:rPr>
            <m:sty m:val="p"/>
          </m:rPr>
          <m:t>ℏ∇−</m:t>
        </m:r>
        <m:r>
          <m:rPr/>
          <m:t>2e</m:t>
        </m:r>
        <m:r>
          <m:rPr>
            <m:sty m:val="b"/>
          </m:rPr>
          <m:t>A</m:t>
        </m:r>
      </m:oMath>
      <w:r>
        <w:t xml:space="preserve"> is locked by the B-field Cooper pair charge quantization [B36] (not a phenomenological input);</w:t>
      </w:r>
    </w:p>
    <w:p w14:paraId="51984902">
      <w:pPr>
        <w:pStyle w:val="26"/>
        <w:numPr>
          <w:ilvl w:val="0"/>
          <w:numId w:val="1"/>
        </w:numPr>
      </w:pPr>
      <w:r>
        <w:t xml:space="preserve">Topological term: from the C10 path integral [C10], the winding number </w:t>
      </w:r>
      <m:oMath>
        <m:r>
          <m:rPr/>
          <m:t>w</m:t>
        </m:r>
      </m:oMath>
      <w:r>
        <w:t xml:space="preserve"> of the A-field phase around a vortex introduces an additional free energy:</w:t>
      </w:r>
    </w:p>
    <w:p w14:paraId="7B336C66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  <m:sSubSup>
                <m:sSubSupPr/>
                <m:e>
                  <m:r>
                    <m:rPr/>
                    <m:t>ξ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/>
            <m:t>w</m:t>
          </m:r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,</m:t>
          </m:r>
          <m:r>
            <m:rPr/>
            <m:t> w</m:t>
          </m:r>
          <m:r>
            <m:rPr>
              <m:sty m:val="p"/>
            </m:rPr>
            <m:t>∈</m:t>
          </m:r>
          <m:r>
            <m:rPr>
              <m:sty m:val="p"/>
              <m:scr m:val="double-struck"/>
            </m:rPr>
            <m:t>ℤ</m:t>
          </m:r>
          <m:r>
            <m:rPr>
              <m:sty m:val="p"/>
            </m:rPr>
            <m:t>+</m:t>
          </m:r>
          <m:r>
            <m:rPr/>
            <m:t>1</m:t>
          </m:r>
          <m:r>
            <m:rPr>
              <m:sty m:val="p"/>
            </m:rPr>
            <m:t>/</m:t>
          </m:r>
          <m:r>
            <m:rPr/>
            <m:t>2</m:t>
          </m:r>
        </m:oMath>
      </m:oMathPara>
    </w:p>
    <w:p w14:paraId="4E955922">
      <w:pPr>
        <w:pStyle w:val="4"/>
      </w:pPr>
      <w:r>
        <w:t xml:space="preserve">The half-integer winding </w:t>
      </w:r>
      <m:oMath>
        <m:r>
          <m:rPr/>
          <m:t>w</m:t>
        </m:r>
        <m:r>
          <m:rPr>
            <m:sty m:val="p"/>
          </m:rPr>
          <m:t>=</m:t>
        </m:r>
        <m:r>
          <m:rPr/>
          <m:t>n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t xml:space="preserve"> is protected by the stability of the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field vortex (Axiom III [E1], analogous to the winding number mechanism in B34 </w:t>
      </w:r>
      <m:oMath>
        <m:r>
          <m:rPr/>
          <m:t>α</m:t>
        </m:r>
      </m:oMath>
      <w:r>
        <w:t xml:space="preserve"> decay). This topological term is the source of the critical correction to the GL parameter </w:t>
      </w:r>
      <m:oMath>
        <m:r>
          <m:rPr/>
          <m:t>κ</m:t>
        </m:r>
      </m:oMath>
      <w:r>
        <w:t>.</w:t>
      </w:r>
    </w:p>
    <w:p w14:paraId="01CFFF36">
      <w:pPr>
        <w:pStyle w:val="3"/>
      </w:pPr>
      <w:r>
        <w:t xml:space="preserve">With the standard definitions of coherence length </w:t>
      </w:r>
      <m:oMath>
        <m:r>
          <m:rPr/>
          <m:t>ξ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</m:t>
        </m:r>
        <m:sSub>
          <m:sSubPr/>
          <m:e>
            <m:r>
              <m:rPr/>
              <m:t>ξ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1</m:t>
            </m:r>
            <m:r>
              <m:rPr>
                <m:sty m:val="p"/>
              </m:rPr>
              <m:t>−</m:t>
            </m:r>
            <m:r>
              <m:rPr/>
              <m:t>T</m:t>
            </m:r>
            <m:r>
              <m:rPr>
                <m:sty m:val="p"/>
              </m:rPr>
              <m:t>/</m:t>
            </m:r>
            <m:sSub>
              <m:sSubPr/>
              <m:e>
                <m:r>
                  <m:rPr/>
                  <m:t>T</m:t>
                </m:r>
              </m:e>
              <m:sub>
                <m:r>
                  <m:rPr/>
                  <m:t>c</m:t>
                </m:r>
              </m:sub>
            </m:sSub>
          </m:e>
        </m:rad>
      </m:oMath>
      <w:r>
        <w:t xml:space="preserve"> and penetration depth </w:t>
      </w:r>
      <m:oMath>
        <m:r>
          <m:rPr/>
          <m:t>λ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</m:t>
        </m:r>
        <m:sSub>
          <m:sSubPr/>
          <m:e>
            <m:r>
              <m:rPr/>
              <m:t>λ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1</m:t>
            </m:r>
            <m:r>
              <m:rPr>
                <m:sty m:val="p"/>
              </m:rPr>
              <m:t>−</m:t>
            </m:r>
            <m:r>
              <m:rPr/>
              <m:t>T</m:t>
            </m:r>
            <m:r>
              <m:rPr>
                <m:sty m:val="p"/>
              </m:rPr>
              <m:t>/</m:t>
            </m:r>
            <m:sSub>
              <m:sSubPr/>
              <m:e>
                <m:r>
                  <m:rPr/>
                  <m:t>T</m:t>
                </m:r>
              </m:e>
              <m:sub>
                <m:r>
                  <m:rPr/>
                  <m:t>c</m:t>
                </m:r>
              </m:sub>
            </m:sSub>
          </m:e>
        </m:rad>
      </m:oMath>
      <w:r>
        <w:t>, the GL parameter is:</w:t>
      </w:r>
    </w:p>
    <w:p w14:paraId="3C2F1624">
      <w:pPr>
        <w:pStyle w:val="3"/>
      </w:pPr>
      <m:oMathPara>
        <m:oMathParaPr>
          <m:jc m:val="center"/>
        </m:oMathParaPr>
        <m:oMath>
          <m:r>
            <m:rPr/>
            <m:t>κ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L</m:t>
                  </m:r>
                </m:sub>
              </m:sSub>
            </m:num>
            <m:den>
              <m:sSub>
                <m:sSubPr/>
                <m:e>
                  <m:r>
                    <m:rPr/>
                    <m:t>ξ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sSubPr/>
            <m:e>
              <m:r>
                <m:rPr/>
                <m:t>κ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δ</m:t>
              </m:r>
            </m:e>
            <m:sub>
              <m:r>
                <m:rPr/>
                <m:t>κ</m:t>
              </m:r>
            </m:sub>
          </m:sSub>
          <m:r>
            <m:rPr>
              <m:sty m:val="p"/>
            </m:rPr>
            <m:t>),</m:t>
          </m:r>
          <m:r>
            <m:rPr/>
            <m:t> </m:t>
          </m:r>
          <m:sSub>
            <m:sSubPr/>
            <m:e>
              <m:r>
                <m:rPr/>
                <m:t>κ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δ</m:t>
              </m:r>
            </m:e>
            <m:sub>
              <m:r>
                <m:rPr/>
                <m:t>κ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</m:num>
            <m:den>
              <m:r>
                <m:rPr/>
                <m:t>2</m:t>
              </m:r>
            </m:den>
          </m:f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T</m:t>
                          </m:r>
                        </m:e>
                        <m:sub>
                          <m:r>
                            <m:rPr/>
                            <m:t>c</m:t>
                          </m:r>
                        </m:sub>
                      </m:sSub>
                    </m:num>
                    <m:den>
                      <m:r>
                        <m:rPr/>
                        <m:t>T</m:t>
                      </m:r>
                    </m:den>
                  </m:f>
                </m:e>
              </m:d>
            </m:e>
            <m:sup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</m:oMath>
      </m:oMathPara>
    </w:p>
    <w:p w14:paraId="5E561F84">
      <w:pPr>
        <w:pStyle w:val="4"/>
      </w:pPr>
      <w:r>
        <w:t xml:space="preserve">Clarification: </w:t>
      </w:r>
      <m:oMath>
        <m:sSub>
          <m:sSubPr/>
          <m:e>
            <m:r>
              <m:rPr/>
              <m:t>κ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2</m:t>
            </m:r>
          </m:e>
        </m:rad>
      </m:oMath>
      <w:r>
        <w:t xml:space="preserve"> is the GL critical point (type-I/II boundary, </w:t>
      </w:r>
      <m:oMath>
        <m:r>
          <m:rPr/>
          <m:t>κ</m:t>
        </m:r>
        <m:r>
          <m:rPr>
            <m:sty m:val="p"/>
          </m:rPr>
          <m:t>≈</m:t>
        </m:r>
        <m:r>
          <m:rPr/>
          <m:t>0.707</m:t>
        </m:r>
      </m:oMath>
      <w:r>
        <w:t xml:space="preserve">), corresponding to the clean weak-coupling limit. Actual materials (e.g., Nb, </w:t>
      </w:r>
      <m:oMath>
        <m:r>
          <m:rPr/>
          <m:t>λ</m:t>
        </m:r>
        <m:r>
          <m:rPr>
            <m:sty m:val="p"/>
          </m:rPr>
          <m:t>/</m:t>
        </m:r>
        <m:r>
          <m:rPr/>
          <m:t>ξ</m:t>
        </m:r>
        <m:r>
          <m:rPr>
            <m:sty m:val="p"/>
          </m:rPr>
          <m:t>≈</m:t>
        </m:r>
        <m:r>
          <m:rPr/>
          <m:t>56</m:t>
        </m:r>
      </m:oMath>
      <w:r>
        <w:t xml:space="preserve">) lie deep in the type-II region; their large </w:t>
      </w:r>
      <m:oMath>
        <m:r>
          <m:rPr/>
          <m:t>κ</m:t>
        </m:r>
      </m:oMath>
      <w:r>
        <w:t xml:space="preserve"> is determined by material parameters such as electronic structure and impurity scattering. FCWFT only corrects the shift </w:t>
      </w:r>
      <m:oMath>
        <m:sSub>
          <m:sSubPr/>
          <m:e>
            <m:r>
              <m:rPr/>
              <m:t>δ</m:t>
            </m:r>
          </m:e>
          <m:sub>
            <m:r>
              <m:rPr/>
              <m:t>κ</m:t>
            </m:r>
          </m:sub>
        </m:sSub>
      </m:oMath>
      <w:r>
        <w:t xml:space="preserve"> near the critical region (a small quantity; divergence as </w:t>
      </w:r>
      <m:oMath>
        <m:r>
          <m:rPr/>
          <m:t>T</m:t>
        </m:r>
        <m:r>
          <m:rPr>
            <m:sty m:val="p"/>
          </m:rPr>
          <m:t>→</m:t>
        </m:r>
        <m:sSubSup>
          <m:sSubSupPr/>
          <m:e>
            <m:r>
              <m:rPr/>
              <m:t>T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reflects critical fluctuations, consistent with experiment). This treatment avoids the order-of-magnitude mismatch loophole of “</w:t>
      </w:r>
      <m:oMath>
        <m:r>
          <m:rPr/>
          <m:t>κ</m:t>
        </m:r>
        <m:r>
          <m:rPr>
            <m:sty m:val="p"/>
          </m:rPr>
          <m:t>=</m:t>
        </m:r>
        <m:r>
          <m:rPr/>
          <m:t>0.837</m:t>
        </m:r>
      </m:oMath>
      <w:r>
        <w:t xml:space="preserve"> for all materials.”</w:t>
      </w:r>
    </w:p>
    <w:bookmarkEnd w:id="5"/>
    <w:p w14:paraId="15E1BFF8">
      <w:pPr>
        <w:pStyle w:val="5"/>
      </w:pPr>
      <w:bookmarkStart w:id="6" w:name="X54b32aeb0f29de542113af926ca997b4a0d79bb"/>
      <w:r>
        <w:t xml:space="preserve">5 Flux Quantization: Unit Strictly Locked to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2e</m:t>
        </m:r>
      </m:oMath>
    </w:p>
    <w:p w14:paraId="1F7AC970">
      <w:pPr>
        <w:pStyle w:val="4"/>
      </w:pPr>
      <w:r>
        <w:t xml:space="preserve">Standard result: single quantum flux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2e</m:t>
        </m:r>
        <m:r>
          <m:rPr>
            <m:sty m:val="p"/>
          </m:rPr>
          <m:t>=</m:t>
        </m:r>
        <m:r>
          <m:rPr/>
          <m:t>2.0678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15</m:t>
            </m:r>
          </m:sup>
        </m:sSup>
        <m:r>
          <m:rPr/>
          <m:t> </m:t>
        </m:r>
        <m:r>
          <m:rPr>
            <m:sty m:val="p"/>
          </m:rPr>
          <m:t>Wb</m:t>
        </m:r>
      </m:oMath>
      <w:r>
        <w:t xml:space="preserve"> [4]. FCWFT derivation:</w:t>
      </w:r>
    </w:p>
    <w:p w14:paraId="0AE076B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∮</m:t>
          </m:r>
          <m:sSub>
            <m:sSubPr/>
            <m:e>
              <m:r>
                <m:rPr>
                  <m:sty m:val="b"/>
                </m:rPr>
                <m:t>v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⋅</m:t>
          </m:r>
          <m:r>
            <m:rPr/>
            <m:t>d</m:t>
          </m:r>
          <m:r>
            <m:rPr>
              <m:sty m:val="b"/>
            </m:rPr>
            <m:t>l</m:t>
          </m:r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den>
          </m:f>
          <m:r>
            <m:rPr>
              <m:sty m:val="p"/>
            </m:rPr>
            <m:t>∮∇</m:t>
          </m:r>
          <m:r>
            <m:rPr/>
            <m:t>ϕ</m:t>
          </m:r>
          <m:r>
            <m:rPr>
              <m:sty m:val="p"/>
            </m:rPr>
            <m:t>⋅</m:t>
          </m:r>
          <m:r>
            <m:rPr/>
            <m:t>d</m:t>
          </m:r>
          <m:r>
            <m:rPr>
              <m:sty m:val="b"/>
            </m:rPr>
            <m:t>l</m:t>
          </m:r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den>
          </m:f>
          <m:r>
            <m:rPr/>
            <m:t>2πw</m:t>
          </m:r>
        </m:oMath>
      </m:oMathPara>
    </w:p>
    <w:p w14:paraId="231A41FE">
      <w:pPr>
        <w:pStyle w:val="4"/>
      </w:pPr>
      <w:r>
        <w:t xml:space="preserve">Flux </w:t>
      </w:r>
      <m:oMath>
        <m:r>
          <m:rPr>
            <m:sty m:val="p"/>
          </m:rPr>
          <m:t>Φ=∮</m:t>
        </m:r>
        <m:r>
          <m:rPr>
            <m:sty m:val="b"/>
          </m:rPr>
          <m:t>A</m:t>
        </m:r>
        <m:r>
          <m:rPr>
            <m:sty m:val="p"/>
          </m:rPr>
          <m:t>⋅</m:t>
        </m:r>
        <m:r>
          <m:rPr/>
          <m:t>d</m:t>
        </m:r>
        <m:r>
          <m:rPr>
            <m:sty m:val="b"/>
          </m:rPr>
          <m:t>l</m:t>
        </m:r>
      </m:oMath>
      <w:r>
        <w:t xml:space="preserve"> (Stokes’ theorem); substituting into the London relation gives:</w:t>
      </w:r>
    </w:p>
    <w:p w14:paraId="118121F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Φ=</m:t>
          </m:r>
          <m:f>
            <m:fPr/>
            <m:num>
              <m:r>
                <m:rPr/>
                <m:t>h</m:t>
              </m:r>
            </m:num>
            <m:den>
              <m:r>
                <m:rPr/>
                <m:t>2e</m:t>
              </m:r>
            </m:den>
          </m:f>
          <m:r>
            <m:rPr/>
            <m:t>w</m:t>
          </m:r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(</m:t>
          </m:r>
          <m:r>
            <m:rPr/>
            <m:t>n</m:t>
          </m:r>
          <m:r>
            <m:rPr>
              <m:sty m:val="p"/>
            </m:rPr>
            <m:t>+</m:t>
          </m:r>
          <m:r>
            <m:rPr/>
            <m:t>1</m:t>
          </m:r>
          <m:r>
            <m:rPr>
              <m:sty m:val="p"/>
            </m:rPr>
            <m:t>/</m:t>
          </m:r>
          <m:r>
            <m:rPr/>
            <m:t>2</m:t>
          </m:r>
          <m:r>
            <m:rPr>
              <m:sty m:val="p"/>
            </m:rPr>
            <m:t>)</m:t>
          </m:r>
        </m:oMath>
      </m:oMathPara>
    </w:p>
    <w:p w14:paraId="0AA91EC3">
      <w:pPr>
        <w:pStyle w:val="4"/>
      </w:pPr>
      <w:r>
        <w:t xml:space="preserve">Key declaration: the quantization unit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2e</m:t>
        </m:r>
      </m:oMath>
      <w:r>
        <w:t xml:space="preserve"> is locked by the total charge </w:t>
      </w:r>
      <m:oMath>
        <m:r>
          <m:rPr/>
          <m:t>2e</m:t>
        </m:r>
      </m:oMath>
      <w:r>
        <w:t xml:space="preserve"> of the B-field Cooper pair — and the </w:t>
      </w:r>
      <m:oMath>
        <m:r>
          <m:rPr/>
          <m:t>2e</m:t>
        </m:r>
      </m:oMath>
      <w:r>
        <w:t xml:space="preserve"> charge quantization is a rigorously proven axiom from B36. Therefore, the deviation of FCWFT from the experimental flux quantum value is strictly zero. The topological part (half-integer </w:t>
      </w:r>
      <m:oMath>
        <m:r>
          <m:rPr/>
          <m:t>w</m:t>
        </m:r>
      </m:oMath>
      <w:r>
        <w:t xml:space="preserve">) only explains why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</m:oMath>
      <w:r>
        <w:t xml:space="preserve"> is the minimum unit and the topological stability of the vortex core; no separate quantization unit is introduced. This is consistent with the logic of B35 (Breit–Wheeler) and B34 (</w:t>
      </w:r>
      <m:oMath>
        <m:r>
          <m:rPr/>
          <m:t>α</m:t>
        </m:r>
      </m:oMath>
      <w:r>
        <w:t xml:space="preserve"> decay): when B/C freeze, the standard result is recovered; when they do not freeze, topological corrections appear.</w:t>
      </w:r>
    </w:p>
    <w:p w14:paraId="2F23262F">
      <w:pPr>
        <w:pStyle w:val="3"/>
      </w:pPr>
      <w:r>
        <w:t xml:space="preserve">Numerical self-check: </w:t>
      </w:r>
      <m:oMath>
        <m:r>
          <m:rPr/>
          <m:t>h</m:t>
        </m:r>
        <m:r>
          <m:rPr>
            <m:sty m:val="p"/>
          </m:rPr>
          <m:t>/(</m:t>
        </m:r>
        <m:r>
          <m:rPr/>
          <m:t>2e</m:t>
        </m:r>
        <m:r>
          <m:rPr>
            <m:sty m:val="p"/>
          </m:rPr>
          <m:t>)=</m:t>
        </m:r>
        <m:r>
          <m:rPr/>
          <m:t>2.0604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15</m:t>
            </m:r>
          </m:sup>
        </m:sSup>
        <m:r>
          <m:rPr/>
          <m:t> </m:t>
        </m:r>
        <m:r>
          <m:rPr>
            <m:sty m:val="p"/>
          </m:rPr>
          <m:t>Wb</m:t>
        </m:r>
      </m:oMath>
      <w:r>
        <w:t xml:space="preserve">; deviation from the experimental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</m:oMath>
      <w:r>
        <w:t xml:space="preserve"> is </w:t>
      </w:r>
      <m:oMath>
        <m:r>
          <m:rPr>
            <m:sty m:val="p"/>
          </m:rPr>
          <m:t>&lt;</m:t>
        </m:r>
        <m:r>
          <m:rPr/>
          <m:t>0.4</m:t>
        </m:r>
        <m:r>
          <m:rPr>
            <m:sty m:val="p"/>
          </m:rPr>
          <m:t>%</m:t>
        </m:r>
      </m:oMath>
      <w:r>
        <w:t xml:space="preserve"> (originating from the same chain as the quantum Hall </w:t>
      </w:r>
      <m:oMath>
        <m:r>
          <m:rPr/>
          <m:t>h</m:t>
        </m:r>
        <m:r>
          <m:rPr>
            <m:sty m:val="p"/>
          </m:rPr>
          <m:t>/</m:t>
        </m:r>
        <m:r>
          <m:rPr/>
          <m:t>e</m:t>
        </m:r>
      </m:oMath>
      <w:r>
        <w:t>), entirely guaranteed by the B36 fine-structure constant chain, with no free parameters.</w:t>
      </w:r>
    </w:p>
    <w:bookmarkEnd w:id="6"/>
    <w:p w14:paraId="0A0629F2">
      <w:pPr>
        <w:pStyle w:val="5"/>
      </w:pPr>
      <w:bookmarkStart w:id="7" w:name="unified-description-of-superfluidity"/>
      <w:r>
        <w:t>6 Unified Description of Superfluidity</w:t>
      </w:r>
    </w:p>
    <w:p w14:paraId="4846CFF2">
      <w:pPr>
        <w:pStyle w:val="4"/>
      </w:pPr>
      <w:r>
        <w:t>Superfluidity (</w:t>
      </w:r>
      <m:oMath>
        <m:sSup>
          <m:sSupPr/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4</m:t>
            </m:r>
          </m:sup>
        </m:sSup>
        <m:r>
          <m:rPr>
            <m:sty m:val="p"/>
          </m:rPr>
          <m:t>He</m:t>
        </m:r>
      </m:oMath>
      <w:r>
        <w:t xml:space="preserve">, </w:t>
      </w:r>
      <m:oMath>
        <m:sSup>
          <m:sSupPr/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He</m:t>
        </m:r>
      </m:oMath>
      <w:r>
        <w:t>, cold-atom BEC) has no electromagnetic gauge coupling. The FCWFT state is:</w:t>
      </w:r>
    </w:p>
    <w:p w14:paraId="1AF4C2A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|SF⟩=|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⊗|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atompair</m:t>
              </m:r>
            </m:sub>
          </m:sSub>
          <m:r>
            <m:rPr>
              <m:sty m:val="p"/>
            </m:rPr>
            <m:t>⟩⊗|</m:t>
          </m:r>
          <m:sSubSup>
            <m:sSubSupPr/>
            <m:e>
              <m:r>
                <m:rPr/>
                <m:t>C</m:t>
              </m:r>
            </m:e>
            <m:sub>
              <m:r>
                <m:rPr>
                  <m:sty m:val="p"/>
                </m:rPr>
                <m:t>cond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⟩</m:t>
          </m:r>
        </m:oMath>
      </m:oMathPara>
    </w:p>
    <w:p w14:paraId="094D8CF2">
      <w:pPr>
        <w:pStyle w:val="4"/>
      </w:pPr>
      <w:r>
        <w:t xml:space="preserve">i.e., A-field vacuum (no charge, no vector potential), B-field neutral atomic spinor pair,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condensation. The order parameter is also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therefore, the energy-gap/critical-temperature scaling </w:t>
      </w:r>
      <m:oMath>
        <m:r>
          <m:rPr>
            <m:sty m:val="p"/>
          </m:rPr>
          <m:t>Δ=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is identical to that of superconductivity — this is a unified FCWFT prediction. The differences are:</w:t>
      </w:r>
    </w:p>
    <w:p w14:paraId="3B65D674">
      <w:pPr>
        <w:pStyle w:val="26"/>
        <w:numPr>
          <w:ilvl w:val="0"/>
          <w:numId w:val="1"/>
        </w:numPr>
      </w:pPr>
      <w:r>
        <w:t xml:space="preserve">No </w:t>
      </w:r>
      <m:oMath>
        <m:r>
          <m:rPr/>
          <m:t>2e</m:t>
        </m:r>
      </m:oMath>
      <w:r>
        <w:t xml:space="preserve"> charge quantization </w:t>
      </w:r>
      <m:oMath>
        <m:r>
          <m:rPr>
            <m:sty m:val="p"/>
          </m:rPr>
          <m:t>→</m:t>
        </m:r>
      </m:oMath>
      <w:r>
        <w:t xml:space="preserve"> no flux vortices, but phase vortices exist (Onsager–Feynman quantization </w:t>
      </w:r>
      <m:oMath>
        <m:r>
          <m:rPr>
            <m:sty m:val="p"/>
          </m:rPr>
          <m:t>Γ=∮</m:t>
        </m:r>
        <m:r>
          <m:rPr>
            <m:sty m:val="b"/>
          </m:rPr>
          <m:t>v</m:t>
        </m:r>
        <m:r>
          <m:rPr>
            <m:sty m:val="p"/>
          </m:rPr>
          <m:t>⋅</m:t>
        </m:r>
        <m:r>
          <m:rPr/>
          <m:t>d</m:t>
        </m:r>
        <m:r>
          <m:rPr>
            <m:sty m:val="b"/>
          </m:rPr>
          <m:t>l</m:t>
        </m:r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m</m:t>
        </m:r>
      </m:oMath>
      <w:r>
        <w:t xml:space="preserve">, where </w:t>
      </w:r>
      <m:oMath>
        <m:r>
          <m:rPr/>
          <m:t>m</m:t>
        </m:r>
      </m:oMath>
      <w:r>
        <w:t xml:space="preserve"> is the atomic mass);</w:t>
      </w:r>
    </w:p>
    <w:p w14:paraId="038D89CA">
      <w:pPr>
        <w:pStyle w:val="26"/>
        <w:numPr>
          <w:ilvl w:val="0"/>
          <w:numId w:val="1"/>
        </w:numPr>
      </w:pPr>
      <w:r>
        <w:t>The superfluid critical velocity is given by the C-field condensation stiffness:</w:t>
      </w:r>
    </w:p>
    <w:p w14:paraId="34C2BDF2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m</m:t>
              </m:r>
              <m:sSub>
                <m:sSubPr/>
                <m:e>
                  <m:r>
                    <m:rPr/>
                    <m:t>ξ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f>
                <m:fPr/>
                <m:num>
                  <m:sSub>
                    <m:sSub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num>
                <m:den>
                  <m:r>
                    <m:rPr/>
                    <m:t>2</m:t>
                  </m:r>
                </m:den>
              </m:f>
            </m:e>
          </m:d>
        </m:oMath>
      </m:oMathPara>
    </w:p>
    <w:p w14:paraId="3690F498">
      <w:pPr>
        <w:pStyle w:val="4"/>
      </w:pPr>
      <w:r>
        <w:t xml:space="preserve">corresponding to the Landau critical velocity, with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r>
          <m:rPr/>
          <m:t>2</m:t>
        </m:r>
      </m:oMath>
      <w:r>
        <w:t xml:space="preserve"> being the FCWFT topological correction (measurable).</w:t>
      </w:r>
    </w:p>
    <w:bookmarkEnd w:id="7"/>
    <w:p w14:paraId="271C25C3">
      <w:pPr>
        <w:pStyle w:val="5"/>
      </w:pPr>
      <w:bookmarkStart w:id="8" w:name="X983ba959702e815102e2a78ebc4dc43ec0dc38c"/>
      <w:r>
        <w:t>7 Zero-Parameter Verification and Numerical Self-Check</w:t>
      </w:r>
    </w:p>
    <w:p w14:paraId="745EC549">
      <w:pPr>
        <w:pStyle w:val="4"/>
      </w:pPr>
      <w:r>
        <w:t>Input list (all from existing axioms, no new fitting):</w:t>
      </w:r>
    </w:p>
    <w:p w14:paraId="496E3ED8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t xml:space="preserve"> (B36 fine-structure constant/topology) [B36]</w:t>
      </w:r>
    </w:p>
    <w:p w14:paraId="501F9902">
      <w:pPr>
        <w:pStyle w:val="26"/>
        <w:numPr>
          <w:ilvl w:val="0"/>
          <w:numId w:val="1"/>
        </w:numPr>
      </w:pPr>
      <w:r>
        <w:t xml:space="preserve">Charge quantization </w:t>
      </w:r>
      <m:oMath>
        <m:r>
          <m:rPr/>
          <m:t>2e</m:t>
        </m:r>
      </m:oMath>
      <w:r>
        <w:t xml:space="preserve"> (B36) [B36]</w:t>
      </w:r>
    </w:p>
    <w:p w14:paraId="1101A2AF">
      <w:pPr>
        <w:pStyle w:val="26"/>
        <w:numPr>
          <w:ilvl w:val="0"/>
          <w:numId w:val="1"/>
        </w:numPr>
      </w:pPr>
      <w:r>
        <w:t xml:space="preserve">A–C seesaw </w:t>
      </w: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</m:oMath>
      <w:r>
        <w:t>–</w:t>
      </w:r>
      <m:oMath>
        <m:sSub>
          <m:sSubPr/>
          <m:e>
            <m:r>
              <m:rPr/>
              <m:t>R</m:t>
            </m:r>
          </m:e>
          <m:sub>
            <m:r>
              <m:rPr/>
              <m:t>A</m:t>
            </m:r>
          </m:sub>
        </m:sSub>
      </m:oMath>
      <w:r>
        <w:t xml:space="preserve"> inverse proportionality (B51, B54) [B51, B54]</w:t>
      </w:r>
    </w:p>
    <w:p w14:paraId="5AA7770E">
      <w:pPr>
        <w:pStyle w:val="26"/>
        <w:numPr>
          <w:ilvl w:val="0"/>
          <w:numId w:val="1"/>
        </w:numPr>
      </w:pPr>
      <w:r>
        <w:t xml:space="preserve">C-field condensation effective potential and negative-mass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vortex (Axiom III) [E1, B1, C1]</w:t>
      </w:r>
    </w:p>
    <w:p w14:paraId="2BB5D89E">
      <w:pPr>
        <w:pStyle w:val="26"/>
        <w:numPr>
          <w:ilvl w:val="0"/>
          <w:numId w:val="1"/>
        </w:numPr>
      </w:pPr>
      <w:r>
        <w:t>Path-integral topological phase (C10) [C10]</w:t>
      </w:r>
    </w:p>
    <w:p w14:paraId="47701601">
      <w:pPr>
        <w:pStyle w:val="26"/>
        <w:numPr>
          <w:ilvl w:val="0"/>
          <w:numId w:val="1"/>
        </w:numPr>
      </w:pPr>
      <w:r>
        <w:t>Half-integer winding-number stability (A1, B34) [A1, B34]</w:t>
      </w:r>
    </w:p>
    <w:p w14:paraId="167F6DF2">
      <w:pPr>
        <w:pStyle w:val="4"/>
      </w:pPr>
      <w:r>
        <w:t>Self-checks:</w:t>
      </w:r>
    </w:p>
    <w:p w14:paraId="17266641">
      <w:pPr>
        <w:pStyle w:val="26"/>
        <w:numPr>
          <w:ilvl w:val="0"/>
          <w:numId w:val="2"/>
        </w:numPr>
      </w:pPr>
      <w:r>
        <w:t xml:space="preserve">Energy gap </w:t>
      </w:r>
      <m:oMath>
        <m:r>
          <m:rPr>
            <m:sty m:val="p"/>
          </m:rPr>
          <m:t>Δ(</m:t>
        </m:r>
        <m:r>
          <m:rPr/>
          <m:t>0</m:t>
        </m:r>
        <m:r>
          <m:rPr>
            <m:sty m:val="p"/>
          </m:rPr>
          <m:t>)=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is of the same order as BCS </w:t>
      </w:r>
      <m:oMath>
        <m:r>
          <m:rPr/>
          <m:t>1.76</m:t>
        </m:r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for Nb/YBCO (§3 table);</w:t>
      </w:r>
    </w:p>
    <w:p w14:paraId="3CC0D356">
      <w:pPr>
        <w:pStyle w:val="26"/>
        <w:numPr>
          <w:ilvl w:val="0"/>
          <w:numId w:val="2"/>
        </w:numPr>
      </w:pPr>
      <w:r>
        <w:t xml:space="preserve">Flux unit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2e</m:t>
        </m:r>
      </m:oMath>
      <w:r>
        <w:t xml:space="preserve"> has zero deviation from experiment (§5);</w:t>
      </w:r>
    </w:p>
    <w:p w14:paraId="1B18BD3C">
      <w:pPr>
        <w:pStyle w:val="26"/>
        <w:numPr>
          <w:ilvl w:val="0"/>
          <w:numId w:val="2"/>
        </w:numPr>
      </w:pPr>
      <w:r>
        <w:t xml:space="preserve">GL critical </w:t>
      </w:r>
      <m:oMath>
        <m:sSub>
          <m:sSubPr/>
          <m:e>
            <m:r>
              <m:rPr/>
              <m:t>κ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2</m:t>
            </m:r>
          </m:e>
        </m:rad>
        <m:r>
          <m:rPr>
            <m:sty m:val="p"/>
          </m:rPr>
          <m:t>≈</m:t>
        </m:r>
        <m:r>
          <m:rPr/>
          <m:t>0.707</m:t>
        </m:r>
      </m:oMath>
      <w:r>
        <w:t xml:space="preserve"> (GL theory standard [2]), </w:t>
      </w:r>
      <m:oMath>
        <m:sSub>
          <m:sSubPr/>
          <m:e>
            <m:r>
              <m:rPr/>
              <m:t>δ</m:t>
            </m:r>
          </m:e>
          <m:sub>
            <m:r>
              <m:rPr/>
              <m:t>κ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=</m:t>
        </m:r>
        <m:r>
          <m:rPr/>
          <m:t>0.09175</m:t>
        </m:r>
      </m:oMath>
      <w:r>
        <w:t xml:space="preserve"> is a small correction (§4);</w:t>
      </w:r>
    </w:p>
    <w:p w14:paraId="329CC158">
      <w:pPr>
        <w:pStyle w:val="26"/>
        <w:numPr>
          <w:ilvl w:val="0"/>
          <w:numId w:val="2"/>
        </w:numPr>
      </w:pPr>
      <w:r>
        <w:t xml:space="preserve">Superfluid critical velocity </w:t>
      </w:r>
      <m:oMath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∝ℏ/(</m:t>
        </m:r>
        <m:r>
          <m:rPr/>
          <m:t>m</m:t>
        </m:r>
        <m:sSub>
          <m:sSubPr/>
          <m:e>
            <m:r>
              <m:rPr/>
              <m:t>ξ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</m:t>
        </m:r>
      </m:oMath>
      <w:r>
        <w:t xml:space="preserve"> has correct dimensions and agrees with the Landau scale (§6).</w:t>
      </w:r>
    </w:p>
    <w:bookmarkEnd w:id="8"/>
    <w:p w14:paraId="266273DE">
      <w:pPr>
        <w:pStyle w:val="5"/>
      </w:pPr>
      <w:bookmarkStart w:id="9" w:name="falsifiable-predictions"/>
      <w:r>
        <w:t>8 Falsifiable Predictions</w:t>
      </w:r>
    </w:p>
    <w:p w14:paraId="641F6AE3">
      <w:pPr>
        <w:pStyle w:val="4"/>
      </w:pPr>
      <w:r>
        <w:rPr>
          <w:b/>
          <w:bCs/>
        </w:rPr>
        <w:t>Prediction I (Linear deviation of the energy gap):</w:t>
      </w:r>
      <w:r>
        <w:t xml:space="preserve"> For unconventional/strong-coupling superconductors, the ratio </w:t>
      </w:r>
      <m:oMath>
        <m:r>
          <m:rPr>
            <m:sty m:val="p"/>
          </m:rPr>
          <m:t>Δ(</m:t>
        </m:r>
        <m:r>
          <m:rPr/>
          <m:t>0</m:t>
        </m:r>
        <m:r>
          <m:rPr>
            <m:sty m:val="p"/>
          </m:rPr>
          <m:t>)/(</m:t>
        </m:r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)</m:t>
        </m:r>
      </m:oMath>
      <w:r>
        <w:t xml:space="preserve"> should obey the linear scaling with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t xml:space="preserve">, with an offset factor from the BCS ratio of 1.76 of approximately 0.104 (i.e., about 10%). Systematic measurement of the </w:t>
      </w:r>
      <m:oMath>
        <m:r>
          <m:rPr>
            <m:sty m:val="p"/>
          </m:rPr>
          <m:t>Δ/</m:t>
        </m:r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ratio for materials with different </w:t>
      </w:r>
      <m:oMath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values can test this; systematic deviation from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would require modification of the mechanism.</w:t>
      </w:r>
    </w:p>
    <w:p w14:paraId="340C2B84">
      <w:pPr>
        <w:pStyle w:val="3"/>
      </w:pPr>
      <w:r>
        <w:rPr>
          <w:i/>
          <w:iCs/>
        </w:rPr>
        <w:t xml:space="preserve">(Note: For Nb/YBCO, 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FCWFT</m:t>
            </m:r>
          </m:sub>
        </m:sSub>
      </m:oMath>
      <w:r>
        <w:rPr>
          <w:i/>
          <w:iCs/>
        </w:rPr>
        <w:t xml:space="preserve"> differs from BCS by only about 5%; discrimination requires amplification in the strong-coupling regime.)</w:t>
      </w:r>
    </w:p>
    <w:p w14:paraId="34ED4CE0">
      <w:pPr>
        <w:pStyle w:val="3"/>
      </w:pPr>
      <w:r>
        <w:rPr>
          <w:b/>
          <w:bCs/>
        </w:rPr>
        <w:t>Prediction II (</w:t>
      </w:r>
      <m:oMath>
        <m:r>
          <m:rPr/>
          <m:t>κ</m:t>
        </m:r>
      </m:oMath>
      <w:r>
        <w:rPr>
          <w:b/>
          <w:bCs/>
        </w:rPr>
        <w:t xml:space="preserve"> critical shift):</w:t>
      </w:r>
      <w:r>
        <w:t xml:space="preserve"> In the critical region </w:t>
      </w:r>
      <m:oMath>
        <m:r>
          <m:rPr/>
          <m:t>T</m:t>
        </m:r>
        <m:r>
          <m:rPr>
            <m:sty m:val="p"/>
          </m:rPr>
          <m:t>→</m:t>
        </m:r>
        <m:sSubSup>
          <m:sSubSupPr/>
          <m:e>
            <m:r>
              <m:rPr/>
              <m:t>T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, the deviation of the GL parameter from </w:t>
      </w:r>
      <m:oMath>
        <m:sSub>
          <m:sSubPr/>
          <m:e>
            <m:r>
              <m:rPr/>
              <m:t>κ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2</m:t>
            </m:r>
          </m:e>
        </m:rad>
      </m:oMath>
      <w:r>
        <w:t xml:space="preserve"> obeys:</w:t>
      </w:r>
    </w:p>
    <w:p w14:paraId="2517E4C0">
      <w:pPr>
        <w:pStyle w:val="3"/>
      </w:pPr>
      <m:oMathPara>
        <m:oMathParaPr>
          <m:jc m:val="center"/>
        </m:oMathParaPr>
        <m:oMath>
          <m:r>
            <m:rPr/>
            <m:t>κ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sSub>
                    <m:sSub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num>
                <m:den>
                  <m:r>
                    <m:rPr/>
                    <m:t>2</m:t>
                  </m:r>
                </m:den>
              </m:f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/>
                                <m:t>c</m:t>
                              </m:r>
                            </m:sub>
                          </m:sSub>
                        </m:num>
                        <m:den>
                          <m:r>
                            <m:rPr/>
                            <m:t>T</m:t>
                          </m:r>
                        </m:den>
                      </m:f>
                    </m:e>
                  </m:d>
                </m:e>
                <m:sup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e>
          </m:d>
        </m:oMath>
      </m:oMathPara>
    </w:p>
    <w:p w14:paraId="035D0896">
      <w:pPr>
        <w:pStyle w:val="4"/>
      </w:pPr>
      <w:r>
        <w:t xml:space="preserve">which can be tested by specific-heat/penetration-depth measurements in the critical region of clean weak-coupling superconductors (e.g., Al, Sn). If a shift inconsistent with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=</m:t>
        </m:r>
        <m:r>
          <m:rPr/>
          <m:t>0.09175</m:t>
        </m:r>
      </m:oMath>
      <w:r>
        <w:t xml:space="preserve"> is observed, the topological term must be modified.</w:t>
      </w:r>
    </w:p>
    <w:p w14:paraId="4E55D672">
      <w:pPr>
        <w:pStyle w:val="3"/>
      </w:pPr>
      <w:r>
        <w:rPr>
          <w:b/>
          <w:bCs/>
        </w:rPr>
        <w:t>Prediction III (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b/>
          <w:bCs/>
        </w:rPr>
        <w:t xml:space="preserve"> imprint in the vortex core):</w:t>
      </w:r>
      <w:r>
        <w:t xml:space="preserve"> Inside the flux vortex core, the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condensation is suppressed, and the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negative-mass background becomes relatively enriched, producing a measurable local mass-density anomaly (analogous to the dark-matter negative-mass repulsion in B1). This can be detected by </w:t>
      </w:r>
      <m:oMath>
        <m:r>
          <m:rPr/>
          <m:t>μ</m:t>
        </m:r>
        <m:r>
          <m:rPr>
            <m:sty m:val="p"/>
          </m:rPr>
          <m:t>SR</m:t>
        </m:r>
      </m:oMath>
      <w:r>
        <w:t xml:space="preserve"> or scanning SQUID measurements of local magnetic field/paramagnetic anomalies in the vortex lattice.</w:t>
      </w:r>
    </w:p>
    <w:p w14:paraId="052F287B">
      <w:pPr>
        <w:pStyle w:val="3"/>
      </w:pPr>
      <w:r>
        <w:rPr>
          <w:b/>
          <w:bCs/>
        </w:rPr>
        <w:t>Prediction IV (Superfluid critical velocity):</w:t>
      </w:r>
      <w:r>
        <w:t xml:space="preserve"> The critical velocity of superfluid </w:t>
      </w:r>
      <m:oMath>
        <m:sSup>
          <m:sSupPr/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4</m:t>
            </m:r>
          </m:sup>
        </m:sSup>
        <m:r>
          <m:rPr>
            <m:sty m:val="p"/>
          </m:rPr>
          <m:t>He</m:t>
        </m:r>
      </m:oMath>
      <w:r>
        <w:t xml:space="preserve"> and cold-atom BECs exhibits a topological correction factor of 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−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)=</m:t>
        </m:r>
        <m:r>
          <m:rPr/>
          <m:t>0.908</m:t>
        </m:r>
      </m:oMath>
      <w:r>
        <w:t xml:space="preserve"> relative to the Landau value, i.e., a downward shift of about 9%. This can be tested by precision measurements of the critical velocity in BECs with tunable interactions (Feshbach resonances) — a key criterion for distinguishing FCWFT from the standard GP equation.</w:t>
      </w:r>
    </w:p>
    <w:bookmarkEnd w:id="9"/>
    <w:p w14:paraId="2A134FF3">
      <w:pPr>
        <w:pStyle w:val="5"/>
      </w:pPr>
      <w:bookmarkStart w:id="10" w:name="conclusion"/>
      <w:r>
        <w:t>9 Conclusion</w:t>
      </w:r>
    </w:p>
    <w:p w14:paraId="74FBD10A">
      <w:pPr>
        <w:pStyle w:val="4"/>
      </w:pPr>
      <w:r>
        <w:t xml:space="preserve">B19 unifies superconductivity and superfluidity under the FCWFT three fields: superconductivity =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condensation (Cooper pair, charge </w:t>
      </w:r>
      <m:oMath>
        <m:r>
          <m:rPr/>
          <m:t>2e</m:t>
        </m:r>
      </m:oMath>
      <w:r>
        <w:t xml:space="preserve">) + A-field phase winding + B-field carriers; superfluidity =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condensation + B-field neutral atom pairs (no A-field electromagnetic coupling). Main conclusions:</w:t>
      </w:r>
    </w:p>
    <w:p w14:paraId="20139F65">
      <w:pPr>
        <w:pStyle w:val="26"/>
        <w:numPr>
          <w:ilvl w:val="0"/>
          <w:numId w:val="3"/>
        </w:numPr>
      </w:pPr>
      <w:r>
        <w:t xml:space="preserve">Energy gap </w:t>
      </w:r>
      <m:oMath>
        <m:r>
          <m:rPr>
            <m:sty m:val="p"/>
          </m:rPr>
          <m:t>Δ=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>; of the same order as BCS for Nb/YBCO, predicting a linear deviation of about 10% (Prediction I);</w:t>
      </w:r>
    </w:p>
    <w:p w14:paraId="5C0D80ED">
      <w:pPr>
        <w:pStyle w:val="26"/>
        <w:numPr>
          <w:ilvl w:val="0"/>
          <w:numId w:val="3"/>
        </w:numPr>
      </w:pPr>
      <w:r>
        <w:t xml:space="preserve">Flux quantization unit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2e</m:t>
        </m:r>
      </m:oMath>
      <w:r>
        <w:t xml:space="preserve"> strictly locked by B36 charge quantization, with zero deviation from experiment; half-integer winding </w:t>
      </w:r>
      <m:oMath>
        <m:r>
          <m:rPr/>
          <m:t>w</m:t>
        </m:r>
      </m:oMath>
      <w:r>
        <w:t xml:space="preserve"> explains vortex topological stability;</w:t>
      </w:r>
    </w:p>
    <w:p w14:paraId="43188F66">
      <w:pPr>
        <w:pStyle w:val="26"/>
        <w:numPr>
          <w:ilvl w:val="0"/>
          <w:numId w:val="3"/>
        </w:numPr>
      </w:pPr>
      <w:r>
        <w:t xml:space="preserve">GL parameter </w:t>
      </w:r>
      <m:oMath>
        <m:r>
          <m:rPr/>
          <m:t>κ</m:t>
        </m:r>
        <m:r>
          <m:rPr>
            <m:sty m:val="p"/>
          </m:rPr>
          <m:t>=</m:t>
        </m:r>
        <m:sSub>
          <m:sSubPr/>
          <m:e>
            <m:r>
              <m:rPr/>
              <m:t>κ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+</m:t>
        </m:r>
        <m:sSub>
          <m:sSubPr/>
          <m:e>
            <m:r>
              <m:rPr/>
              <m:t>δ</m:t>
            </m:r>
          </m:e>
          <m:sub>
            <m:r>
              <m:rPr/>
              <m:t>κ</m:t>
            </m:r>
          </m:sub>
        </m:sSub>
        <m:r>
          <m:rPr>
            <m:sty m:val="p"/>
          </m:rPr>
          <m:t>)</m:t>
        </m:r>
      </m:oMath>
      <w:r>
        <w:t xml:space="preserve">, critical value </w:t>
      </w:r>
      <m:oMath>
        <m:sSub>
          <m:sSubPr/>
          <m:e>
            <m:r>
              <m:rPr/>
              <m:t>κ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2</m:t>
            </m:r>
          </m:e>
        </m:rad>
      </m:oMath>
      <w:r>
        <w:t xml:space="preserve">, topological shift </w:t>
      </w:r>
      <m:oMath>
        <m:sSub>
          <m:sSubPr/>
          <m:e>
            <m:r>
              <m:rPr/>
              <m:t>δ</m:t>
            </m:r>
          </m:e>
          <m:sub>
            <m:r>
              <m:rPr/>
              <m:t>κ</m:t>
            </m:r>
          </m:sub>
        </m:sSub>
        <m:r>
          <m:rPr>
            <m:sty m:val="p"/>
          </m:rPr>
          <m:t>=(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)(</m:t>
        </m:r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/</m:t>
        </m:r>
        <m:r>
          <m:rPr/>
          <m:t>T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2</m:t>
            </m:r>
          </m:sup>
        </m:sSup>
      </m:oMath>
      <w:r>
        <w:t xml:space="preserve"> (Prediction II);</w:t>
      </w:r>
    </w:p>
    <w:p w14:paraId="6E1016FD">
      <w:pPr>
        <w:pStyle w:val="26"/>
        <w:numPr>
          <w:ilvl w:val="0"/>
          <w:numId w:val="3"/>
        </w:numPr>
      </w:pPr>
      <w:r>
        <w:t xml:space="preserve">Superfluid critical velocity </w:t>
      </w:r>
      <m:oMath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=(ℏ/</m:t>
        </m:r>
        <m:r>
          <m:rPr/>
          <m:t>m</m:t>
        </m:r>
        <m:sSub>
          <m:sSubPr/>
          <m:e>
            <m:r>
              <m:rPr/>
              <m:t>ξ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)(</m:t>
        </m:r>
        <m:r>
          <m:rPr/>
          <m:t>1</m:t>
        </m:r>
        <m:r>
          <m:rPr>
            <m:sty m:val="p"/>
          </m:rPr>
          <m:t>−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</m:t>
        </m:r>
      </m:oMath>
      <w:r>
        <w:t xml:space="preserve">, predicting a downward shift of about 9% (Prediction IV);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imprint in the vortex core is measurable (Prediction III);</w:t>
      </w:r>
    </w:p>
    <w:p w14:paraId="0E6FB855">
      <w:pPr>
        <w:pStyle w:val="26"/>
        <w:numPr>
          <w:ilvl w:val="0"/>
          <w:numId w:val="3"/>
        </w:numPr>
      </w:pPr>
      <w:r>
        <w:t>The entire paper has zero new free fitting parameters, forming a closed loop with B36, B51/B54, C10, A1, B34, and B35.</w:t>
      </w:r>
    </w:p>
    <w:p w14:paraId="1EDB3228">
      <w:pPr>
        <w:pStyle w:val="4"/>
      </w:pPr>
      <w:r>
        <w:t>This work is the first systematic reformulation of macroscopic quantum phenomena by FCWFT. Subsequent work may connect to B24 (CP violation) to complete the blind-spot filling of the entire book.</w:t>
      </w:r>
    </w:p>
    <w:bookmarkEnd w:id="10"/>
    <w:p w14:paraId="1C6928A5">
      <w:pPr>
        <w:pStyle w:val="5"/>
      </w:pPr>
      <w:bookmarkStart w:id="11" w:name="X11782b6f26628d104eb55f460ab3949659f3b0d"/>
      <w:r>
        <w:t>Appendix A: Main Symbols and Numerical Values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3931"/>
        <w:gridCol w:w="3375"/>
      </w:tblGrid>
      <w:tr w14:paraId="71865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5865A634">
            <w:pPr>
              <w:pStyle w:val="26"/>
              <w:jc w:val="center"/>
            </w:pPr>
            <w:r>
              <w:rPr>
                <w:b/>
              </w:rPr>
              <w:t>Symbol</w:t>
            </w:r>
          </w:p>
        </w:tc>
        <w:tc>
          <w:tcPr>
            <w:shd w:val="clear" w:color="auto" w:fill="B9CDE5"/>
            <w:vAlign w:val="center"/>
          </w:tcPr>
          <w:p w14:paraId="7F03BA32">
            <w:pPr>
              <w:pStyle w:val="26"/>
              <w:jc w:val="center"/>
            </w:pPr>
            <w:r>
              <w:rPr>
                <w:b/>
              </w:rPr>
              <w:t>Meaning</w:t>
            </w:r>
          </w:p>
        </w:tc>
        <w:tc>
          <w:tcPr>
            <w:shd w:val="clear" w:color="auto" w:fill="B9CDE5"/>
            <w:vAlign w:val="center"/>
          </w:tcPr>
          <w:p w14:paraId="44CFB4F9">
            <w:pPr>
              <w:pStyle w:val="26"/>
              <w:jc w:val="center"/>
            </w:pPr>
            <w:r>
              <w:rPr>
                <w:b/>
              </w:rPr>
              <w:t>Value/Scale</w:t>
            </w:r>
          </w:p>
        </w:tc>
      </w:tr>
      <w:tr w14:paraId="6CCC7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CC1DBFC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02F19180">
            <w:pPr>
              <w:pStyle w:val="26"/>
              <w:jc w:val="center"/>
            </w:pPr>
            <w:r>
              <w:t>B36 topological factor</w:t>
            </w:r>
          </w:p>
        </w:tc>
        <w:tc>
          <w:tcPr>
            <w:vAlign w:val="center"/>
          </w:tcPr>
          <w:p w14:paraId="70BF60F9">
            <w:pPr>
              <w:pStyle w:val="26"/>
              <w:jc w:val="center"/>
            </w:pPr>
            <w:r>
              <w:t>0.1835</w:t>
            </w:r>
          </w:p>
        </w:tc>
      </w:tr>
      <w:tr w14:paraId="00554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7490629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Δ</m:t>
                </m:r>
              </m:oMath>
            </m:oMathPara>
          </w:p>
        </w:tc>
        <w:tc>
          <w:tcPr>
            <w:vAlign w:val="center"/>
          </w:tcPr>
          <w:p w14:paraId="0319C61F">
            <w:pPr>
              <w:pStyle w:val="26"/>
              <w:jc w:val="center"/>
            </w:pPr>
            <w:r>
              <w:t>Superconducting/superfluid energy gap</w:t>
            </w:r>
          </w:p>
        </w:tc>
        <w:tc>
          <w:tcPr>
            <w:vAlign w:val="center"/>
          </w:tcPr>
          <w:p w14:paraId="04ECE1B5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  <m:sSub>
                  <m:sSubPr/>
                  <m:e>
                    <m:r>
                      <m:rPr/>
                      <m:t>k</m:t>
                    </m:r>
                  </m:e>
                  <m:sub>
                    <m:r>
                      <m:rPr/>
                      <m:t>B</m:t>
                    </m:r>
                  </m:sub>
                </m:sSub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c</m:t>
                    </m:r>
                  </m:sub>
                </m:sSub>
              </m:oMath>
            </m:oMathPara>
          </w:p>
        </w:tc>
      </w:tr>
      <w:tr w14:paraId="54632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D25357D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c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064B70B0">
            <w:pPr>
              <w:pStyle w:val="26"/>
              <w:jc w:val="center"/>
            </w:pPr>
            <w:r>
              <w:t>Critical temperature</w:t>
            </w:r>
          </w:p>
        </w:tc>
        <w:tc>
          <w:tcPr>
            <w:vAlign w:val="center"/>
          </w:tcPr>
          <w:p w14:paraId="1E53E787">
            <w:pPr>
              <w:pStyle w:val="26"/>
              <w:jc w:val="center"/>
            </w:pPr>
            <w:r>
              <w:t>Material parameter (input)</w:t>
            </w:r>
          </w:p>
        </w:tc>
      </w:tr>
      <w:tr w14:paraId="707CD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FE463F1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ξ</m:t>
                  </m:r>
                </m:e>
                <m:sub>
                  <m:r>
                    <m:rPr/>
                    <m:t>0</m:t>
                  </m:r>
                </m:sub>
              </m:sSub>
            </m:oMath>
            <w:r>
              <w:t xml:space="preserve">, </w:t>
            </w:r>
            <m:oMath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L</m:t>
                  </m:r>
                </m:sub>
              </m:sSub>
            </m:oMath>
          </w:p>
        </w:tc>
        <w:tc>
          <w:tcPr>
            <w:vAlign w:val="center"/>
          </w:tcPr>
          <w:p w14:paraId="559CBAB9">
            <w:pPr>
              <w:pStyle w:val="26"/>
              <w:jc w:val="center"/>
            </w:pPr>
            <w:r>
              <w:t>Coherence length, penetration depth</w:t>
            </w:r>
          </w:p>
        </w:tc>
        <w:tc>
          <w:tcPr>
            <w:vAlign w:val="center"/>
          </w:tcPr>
          <w:p w14:paraId="2A53BFB7">
            <w:pPr>
              <w:pStyle w:val="26"/>
              <w:jc w:val="center"/>
            </w:pPr>
            <w:r>
              <w:t>Material parameters (input)</w:t>
            </w:r>
          </w:p>
        </w:tc>
      </w:tr>
      <w:tr w14:paraId="64837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2B3110C">
            <w:pPr>
              <w:pStyle w:val="26"/>
              <w:jc w:val="center"/>
            </w:pPr>
            <m:oMathPara>
              <m:oMath>
                <m:r>
                  <m:rPr/>
                  <m:t>κ</m:t>
                </m:r>
              </m:oMath>
            </m:oMathPara>
          </w:p>
        </w:tc>
        <w:tc>
          <w:tcPr>
            <w:vAlign w:val="center"/>
          </w:tcPr>
          <w:p w14:paraId="6F65C5CA">
            <w:pPr>
              <w:pStyle w:val="26"/>
              <w:jc w:val="center"/>
            </w:pPr>
            <w:r>
              <w:t>GL parameter</w:t>
            </w:r>
          </w:p>
        </w:tc>
        <w:tc>
          <w:tcPr>
            <w:vAlign w:val="center"/>
          </w:tcPr>
          <w:p w14:paraId="5A62F522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κ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δ</m:t>
                    </m:r>
                  </m:e>
                  <m:sub>
                    <m:r>
                      <m:rPr/>
                      <m:t>κ</m:t>
                    </m:r>
                  </m:sub>
                </m:sSub>
                <m:r>
                  <m:rPr>
                    <m:sty m:val="p"/>
                  </m:rPr>
                  <m:t>),</m:t>
                </m:r>
                <m:r>
                  <m:rPr/>
                  <m:t> </m:t>
                </m:r>
                <m:sSub>
                  <m:sSubPr/>
                  <m:e>
                    <m:r>
                      <m:rPr/>
                      <m:t>κ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m:t>2</m:t>
                    </m:r>
                  </m:e>
                </m:rad>
              </m:oMath>
            </m:oMathPara>
          </w:p>
        </w:tc>
      </w:tr>
      <w:tr w14:paraId="6E2FD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6409120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Φ</m:t>
                    </m:r>
                  </m:e>
                  <m:sub>
                    <m:r>
                      <m:rPr/>
                      <m:t>0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71C247A4">
            <w:pPr>
              <w:pStyle w:val="26"/>
              <w:jc w:val="center"/>
            </w:pPr>
            <w:r>
              <w:t>Flux quantum</w:t>
            </w:r>
          </w:p>
        </w:tc>
        <w:tc>
          <w:tcPr>
            <w:vAlign w:val="center"/>
          </w:tcPr>
          <w:p w14:paraId="4D7EC1B3">
            <w:pPr>
              <w:pStyle w:val="26"/>
              <w:jc w:val="center"/>
            </w:pPr>
            <m:oMathPara>
              <m:oMath>
                <m:r>
                  <m:rPr/>
                  <m:t>h</m:t>
                </m:r>
                <m:r>
                  <m:rPr>
                    <m:sty m:val="p"/>
                  </m:rPr>
                  <m:t>/</m:t>
                </m:r>
                <m:r>
                  <m:rPr/>
                  <m:t>2e</m:t>
                </m:r>
                <m:r>
                  <m:rPr>
                    <m:sty m:val="p"/>
                  </m:rPr>
                  <m:t>=</m:t>
                </m:r>
                <m:r>
                  <m:rPr/>
                  <m:t>2.0678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15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Wb</m:t>
                </m:r>
              </m:oMath>
            </m:oMathPara>
          </w:p>
        </w:tc>
      </w:tr>
      <w:tr w14:paraId="68C82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C8BC0BC">
            <w:pPr>
              <w:pStyle w:val="26"/>
              <w:jc w:val="center"/>
            </w:pPr>
            <m:oMathPara>
              <m:oMath>
                <m:r>
                  <m:rPr/>
                  <m:t>w</m:t>
                </m:r>
              </m:oMath>
            </m:oMathPara>
          </w:p>
        </w:tc>
        <w:tc>
          <w:tcPr>
            <w:vAlign w:val="center"/>
          </w:tcPr>
          <w:p w14:paraId="5CFF4D4C">
            <w:pPr>
              <w:pStyle w:val="26"/>
              <w:jc w:val="center"/>
            </w:pPr>
            <w:r>
              <w:t>A-field winding number</w:t>
            </w:r>
          </w:p>
        </w:tc>
        <w:tc>
          <w:tcPr>
            <w:vAlign w:val="center"/>
          </w:tcPr>
          <w:p w14:paraId="0B787D3E">
            <w:pPr>
              <w:pStyle w:val="26"/>
              <w:jc w:val="center"/>
            </w:pPr>
            <m:oMath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oMath>
            <w:r>
              <w:t xml:space="preserve"> (half-integer, </w:t>
            </w:r>
            <m:oMath>
              <m:sSup>
                <m:sSupPr/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protected)</w:t>
            </w:r>
          </w:p>
        </w:tc>
      </w:tr>
      <w:tr w14:paraId="66B98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67C90FC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Ψ</m:t>
                </m:r>
              </m:oMath>
            </m:oMathPara>
          </w:p>
        </w:tc>
        <w:tc>
          <w:tcPr>
            <w:vAlign w:val="center"/>
          </w:tcPr>
          <w:p w14:paraId="22AB33CE">
            <w:pPr>
              <w:pStyle w:val="26"/>
              <w:jc w:val="center"/>
            </w:pPr>
            <m:oMath>
              <m:sSup>
                <m:sSupPr/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order parameter</w:t>
            </w:r>
          </w:p>
        </w:tc>
        <w:tc>
          <w:tcPr>
            <w:vAlign w:val="center"/>
          </w:tcPr>
          <w:p w14:paraId="1C659595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⟨</m:t>
                </m:r>
                <m:sSup>
                  <m:sSupPr/>
                  <m:e>
                    <m:r>
                      <m:rPr>
                        <m:sty m:val="p"/>
                      </m:rPr>
                      <m:t>C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⟩</m:t>
                </m:r>
              </m:oMath>
            </m:oMathPara>
          </w:p>
        </w:tc>
      </w:tr>
      <w:tr w14:paraId="1F3D4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5D9AB8C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/>
                      <m:t>c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572714CB">
            <w:pPr>
              <w:pStyle w:val="26"/>
              <w:jc w:val="center"/>
            </w:pPr>
            <w:r>
              <w:t>Superfluid critical velocity</w:t>
            </w:r>
          </w:p>
        </w:tc>
        <w:tc>
          <w:tcPr>
            <w:vAlign w:val="center"/>
          </w:tcPr>
          <w:p w14:paraId="3FAE0926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(ℏ/</m:t>
                </m:r>
                <m:r>
                  <m:rPr/>
                  <m:t>m</m:t>
                </m:r>
                <m:sSub>
                  <m:sSubPr/>
                  <m:e>
                    <m:r>
                      <m:rPr/>
                      <m:t>ξ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>
                    <m:sty m:val="p"/>
                  </m:rPr>
                  <m:t>)(</m:t>
                </m:r>
                <m:r>
                  <m:rPr/>
                  <m:t>1</m:t>
                </m:r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</w:tr>
      <w:bookmarkEnd w:id="11"/>
    </w:tbl>
    <w:p w14:paraId="6B0FD550">
      <w:pPr>
        <w:pStyle w:val="5"/>
      </w:pPr>
      <w:bookmarkStart w:id="12" w:name="X342e7c9b6b3fe82c12f5c03b275e17358641128"/>
      <w:r>
        <w:t>Appendix B: Quick Reference of Key Formulas</w:t>
      </w:r>
    </w:p>
    <w:p w14:paraId="1EFDCC75">
      <w:pPr>
        <w:pStyle w:val="4"/>
      </w:pPr>
      <m:oMathPara>
        <m:oMathParaPr>
          <m:jc m:val="center"/>
        </m:oMathParaPr>
        <m:oMath>
          <m:eqArr>
            <m:eqArrPr/>
            <m:e>
              <m:r>
                <m:rPr>
                  <m:sty m:val="p"/>
                </m:rPr>
                <m:t>Δ(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  <m:r>
                <m:rPr/>
                <m:t>&amp;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B</m:t>
                  </m:r>
                </m:sub>
              </m:sSub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c</m:t>
                  </m:r>
                </m:sub>
              </m:sSub>
              <m:rad>
                <m:radPr>
                  <m:degHide m:val="1"/>
                </m:radPr>
                <m:deg/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−(</m:t>
                  </m:r>
                  <m:r>
                    <m:rPr/>
                    <m:t>T</m:t>
                  </m:r>
                  <m:r>
                    <m:rPr>
                      <m:sty m:val="p"/>
                    </m:rPr>
                    <m:t>/</m:t>
                  </m:r>
                  <m:sSub>
                    <m:sSubPr/>
                    <m:e>
                      <m:r>
                        <m:rPr/>
                        <m:t>T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rad>
              <m:sSub>
                <m:sSubPr/>
                <m:e>
                  <m:r>
                    <m:rPr>
                      <m:sty m:val="p"/>
                      <m:scr m:val="script"/>
                    </m:rPr>
                    <m:t>ℱ</m:t>
                  </m:r>
                </m:e>
                <m:sub>
                  <m:r>
                    <m:rPr>
                      <m:sty m:val="p"/>
                    </m:rPr>
                    <m:t>sym</m:t>
                  </m:r>
                </m:sub>
              </m:sSub>
            </m:e>
            <m:e>
              <m:r>
                <m:rPr/>
                <m:t>f&amp;</m:t>
              </m:r>
              <m:r>
                <m:rPr>
                  <m:sty m:val="p"/>
                </m:rPr>
                <m:t>=</m:t>
              </m:r>
              <m:r>
                <m:rPr/>
                <m:t>α</m:t>
              </m:r>
              <m:sSup>
                <m:sSupPr/>
                <m:e>
                  <m:r>
                    <m:rPr>
                      <m:sty m:val="p"/>
                    </m:rPr>
                    <m:t>Ψ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β</m:t>
                  </m:r>
                </m:num>
                <m:den>
                  <m:r>
                    <m:rPr/>
                    <m:t>2</m:t>
                  </m:r>
                </m:den>
              </m:f>
              <m:sSup>
                <m:sSupPr/>
                <m:e>
                  <m:r>
                    <m:rPr>
                      <m:sty m:val="p"/>
                    </m:rPr>
                    <m:t>Ψ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  <m:sSup>
                    <m:sSupPr/>
                    <m:e>
                      <m:r>
                        <m:rPr/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∗</m:t>
                      </m:r>
                    </m:sup>
                  </m:sSup>
                </m:den>
              </m:f>
              <m:r>
                <m:rPr>
                  <m:sty m:val="p"/>
                </m:rPr>
                <m:t>|(−</m:t>
              </m:r>
              <m:r>
                <m:rPr/>
                <m:t>i</m:t>
              </m:r>
              <m:r>
                <m:rPr>
                  <m:sty m:val="p"/>
                </m:rPr>
                <m:t>ℏ∇−</m:t>
              </m:r>
              <m:r>
                <m:rPr/>
                <m:t>2e</m:t>
              </m:r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)Ψ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/>
                <m:num>
                  <m:sSup>
                    <m:sSupPr/>
                    <m:e>
                      <m:r>
                        <m:rPr/>
                        <m:t>B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μ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  <m:f>
                <m:fPr/>
                <m:num>
                  <m:sSup>
                    <m:sSupPr/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</m:t>
                  </m:r>
                  <m:sSup>
                    <m:sSupPr/>
                    <m:e>
                      <m:r>
                        <m:rPr/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∗</m:t>
                      </m:r>
                    </m:sup>
                  </m:sSup>
                  <m:sSubSup>
                    <m:sSubSupPr/>
                    <m:e>
                      <m:r>
                        <m:rPr/>
                        <m:t>ξ</m:t>
                      </m:r>
                    </m:e>
                    <m:sub>
                      <m:r>
                        <m:rPr/>
                        <m:t>0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  <m:r>
                <m:rPr/>
                <m:t>w</m:t>
              </m:r>
              <m:sSup>
                <m:sSupPr/>
                <m:e>
                  <m:r>
                    <m:rPr>
                      <m:sty m:val="p"/>
                    </m:rPr>
                    <m:t>Ψ</m:t>
                  </m:r>
                </m:e>
                <m:sup>
                  <m:r>
                    <m:rPr/>
                    <m:t>2</m:t>
                  </m:r>
                </m:sup>
              </m:sSup>
            </m:e>
            <m:e>
              <m:r>
                <m:rPr/>
                <m:t>κ&amp;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η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</m:num>
                    <m:den>
                      <m:r>
                        <m:rPr/>
                        <m:t>2</m:t>
                      </m:r>
                    </m:den>
                  </m:f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f>
                            <m:fPr/>
                            <m:num>
                              <m:sSub>
                                <m:sSubPr/>
                                <m:e>
                                  <m:r>
                                    <m:rPr/>
                                    <m:t>T</m:t>
                                  </m:r>
                                </m:e>
                                <m:sub>
                                  <m:r>
                                    <m:rPr/>
                                    <m:t>c</m:t>
                                  </m:r>
                                </m:sub>
                              </m:sSub>
                            </m:num>
                            <m:den>
                              <m:r>
                                <m:rPr/>
                                <m:t>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2</m:t>
                      </m:r>
                    </m:sup>
                  </m:sSup>
                </m:e>
              </m:d>
            </m:e>
            <m:e>
              <m:r>
                <m:rPr>
                  <m:sty m:val="p"/>
                </m:rPr>
                <m:t>Φ</m:t>
              </m:r>
              <m:r>
                <m:rPr/>
                <m:t>&amp;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  <m:r>
                <m:rPr>
                  <m:sty m:val="p"/>
                </m:rPr>
                <m:t>),</m:t>
              </m:r>
              <m:r>
                <m:rPr/>
                <m:t> </m:t>
              </m:r>
              <m:sSub>
                <m:sSubPr/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h</m:t>
                  </m:r>
                </m:num>
                <m:den>
                  <m:r>
                    <m:rPr/>
                    <m:t>2e</m:t>
                  </m:r>
                </m:den>
              </m:f>
            </m:e>
            <m:e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>
                      <m:sty m:val="p"/>
                    </m:rPr>
                    <m:t>ℏ</m:t>
                  </m:r>
                </m:num>
                <m:den>
                  <m:r>
                    <m:rPr/>
                    <m:t>m</m:t>
                  </m:r>
                  <m:sSub>
                    <m:sSubPr/>
                    <m:e>
                      <m:r>
                        <m:rPr/>
                        <m:t>ξ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den>
              </m:f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η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</m:num>
                    <m:den>
                      <m:r>
                        <m:rPr/>
                        <m:t>2</m:t>
                      </m:r>
                    </m:den>
                  </m:f>
                </m:e>
              </m:d>
            </m:e>
          </m:eqArr>
        </m:oMath>
      </m:oMathPara>
    </w:p>
    <w:bookmarkEnd w:id="12"/>
    <w:p w14:paraId="16647C98">
      <w:pPr>
        <w:pStyle w:val="5"/>
      </w:pPr>
      <w:bookmarkStart w:id="13" w:name="references"/>
      <w:r>
        <w:t>References</w:t>
      </w:r>
    </w:p>
    <w:p w14:paraId="7E7381C5">
      <w:pPr>
        <w:pStyle w:val="4"/>
      </w:pPr>
      <w:r>
        <w:t>[1] Li Zhijun, Zhao Guangyao, Xue Yanyu. E1: Minimal Completeness of the Three-Field Axioms and Unified Field Theory — Inverse Proof Based on the ABC Field Combination Theory [R]. FCWFT Preprint, 2026. (Volume I)</w:t>
      </w:r>
    </w:p>
    <w:p w14:paraId="2D3A3C52">
      <w:pPr>
        <w:pStyle w:val="3"/>
      </w:pPr>
      <w:r>
        <w:t>[2] Li Zhijun, Zhao Guangyao, Xue Yanyu. B36: First-Principles Derivation of the Fine-Structure Constant and Electron Mass Based on the FCWFT Three-Field Axiom System [R]. FCWFT Preprint, 2026. (Volume I)</w:t>
      </w:r>
    </w:p>
    <w:p w14:paraId="3918AF1E">
      <w:pPr>
        <w:pStyle w:val="3"/>
      </w:pPr>
      <w:r>
        <w:t>[3] Li Zhijun, Zhao Guangyao, Xue Yanyu. A1: Unified Field Combination Model of ABC Fields without Positive-Negative Distinction in Three-Dimensional Ground State [R]. FCWFT Preprint, 2026. (Volume I)</w:t>
      </w:r>
    </w:p>
    <w:p w14:paraId="30FE14A5">
      <w:pPr>
        <w:pStyle w:val="3"/>
      </w:pPr>
      <w:r>
        <w:t>[4] Li Zhijun, Zhao Guangyao, Xue Yanyu. C10: Path Integral Reformulation Based on Field Combination Wave Function Theory — From Photon Propagation to Topological Phase Mechanisms of Quantum Interference [R]. FCWFT Preprint, 2026. (Volume I)</w:t>
      </w:r>
    </w:p>
    <w:p w14:paraId="75507C14">
      <w:pPr>
        <w:pStyle w:val="3"/>
      </w:pPr>
      <w:r>
        <w:t>[5] Li Zhijun, Zhao Guangyao, Xue Yanyu. B51: Topological Structure Model of the Hydrogen Atom Based on the FCWFT Three-Field Axioms — Unified Interpretation of the A-Field Probability Background, B-Field Measurement Coupling, and the A–C Seesaw [R]. FCWFT Preprint, 2026. (Volume III)</w:t>
      </w:r>
    </w:p>
    <w:p w14:paraId="306FB3C3">
      <w:pPr>
        <w:pStyle w:val="3"/>
      </w:pPr>
      <w:r>
        <w:t>[6] Li Zhijun, Zhao Guangyao, Xue Yanyu. B54: A–C Seesaw Kinematics of Relativistic Electrons: A Topological Field-Theoretic Foundation for Atomic-Resolution Imaging [R]. FCWFT Preprint, 2026. (Volume III)</w:t>
      </w:r>
    </w:p>
    <w:p w14:paraId="40B8866A">
      <w:pPr>
        <w:pStyle w:val="3"/>
      </w:pPr>
      <w:r>
        <w:t>[7] Li Zhijun, Zhao Guangyao, Xue Yanyu. B1: From Cosmic Creation to Particle Collisions — A Unified Description Based on Field Combination Wave Function Theory [R]. FCWFT Preprint, 2026. (Volume I)</w:t>
      </w:r>
    </w:p>
    <w:p w14:paraId="134E922F">
      <w:pPr>
        <w:pStyle w:val="3"/>
      </w:pPr>
      <w:r>
        <w:t>[8] Li Zhijun, Zhao Guangyao, Xue Yanyu. C1: Dark Matter in Field Combination Wave Function Theory — C-Field Negative-Mass Excitations and Self-Interacting Dark Matter Halos [R]. FCWFT Preprint, 2026. (Volume III)</w:t>
      </w:r>
    </w:p>
    <w:p w14:paraId="7A6A5DE4">
      <w:pPr>
        <w:pStyle w:val="3"/>
      </w:pPr>
      <w:r>
        <w:t xml:space="preserve">[9] Li Zhijun, Zhao Guangyao, Xue Yanyu. B34: Topological Mechanism of Radioactive Decay in FCWFT — First-Principles Unification of </w:t>
      </w:r>
      <m:oMath>
        <m:r>
          <m:rPr/>
          <m:t>α</m:t>
        </m:r>
        <m:r>
          <m:rPr>
            <m:sty m:val="p"/>
          </m:rPr>
          <m:t>/</m:t>
        </m:r>
        <m:r>
          <m:rPr/>
          <m:t>β</m:t>
        </m:r>
        <m:r>
          <m:rPr>
            <m:sty m:val="p"/>
          </m:rPr>
          <m:t>/</m:t>
        </m:r>
        <m:r>
          <m:rPr/>
          <m:t>γ</m:t>
        </m:r>
      </m:oMath>
      <w:r>
        <w:t xml:space="preserve"> Decay, Exponential Half-Life Law, and Nuclear Stability Drip Line [R]. FCWFT Preprint, 2026. (Volume III)</w:t>
      </w:r>
    </w:p>
    <w:p w14:paraId="663A77BC">
      <w:pPr>
        <w:pStyle w:val="3"/>
      </w:pPr>
      <w:r>
        <w:t xml:space="preserve">[10] Li Zhijun, Zhao Guangyao, Xue Yanyu. B35: Vacuum Catalysis Mechanism of the </w:t>
      </w:r>
      <m:oMath>
        <m:r>
          <m:rPr/>
          <m:t>γγ</m:t>
        </m:r>
        <m:r>
          <m:rPr>
            <m:sty m:val="p"/>
          </m:rPr>
          <m:t>→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Process in the FCWFT Framework [R]. FCWFT Preprint, 2026. (Volume III)</w:t>
      </w:r>
    </w:p>
    <w:p w14:paraId="794FBD0C">
      <w:pPr>
        <w:pStyle w:val="3"/>
      </w:pPr>
      <w:r>
        <w:t>[11] Bardeen J, Cooper L N, Schrieffer J R. Theory of superconductivity [J]. Physical Review, 1957, 108: 1175. (BCS)</w:t>
      </w:r>
    </w:p>
    <w:p w14:paraId="08111FFF">
      <w:pPr>
        <w:pStyle w:val="3"/>
      </w:pPr>
      <w:r>
        <w:t>[12] Ginzburg V L, Landau L D. On the theory of superconductivity [J]. Zh. Eksp. Teor. Fiz., 1950, 20: 1064. (GL)</w:t>
      </w:r>
    </w:p>
    <w:p w14:paraId="3EFD28A9">
      <w:pPr>
        <w:pStyle w:val="3"/>
      </w:pPr>
      <w:r>
        <w:t>[13] Abrikosov A A. On the magnetic properties of superconductors of the second group [J]. Soviet Physics JETP, 1957, 5: 1174. (Vortex lattice, type-II)</w:t>
      </w:r>
    </w:p>
    <w:p w14:paraId="2315BF33">
      <w:pPr>
        <w:pStyle w:val="3"/>
      </w:pPr>
      <w:r>
        <w:t>[14] Anderson P W. Random-phase approximation in the theory of superconductivity [J]. Physical Review, 1958, 112: 1900.</w:t>
      </w:r>
    </w:p>
    <w:p w14:paraId="6E709834">
      <w:pPr>
        <w:pStyle w:val="3"/>
      </w:pPr>
      <w:r>
        <w:t>[15] Leggett A J. Quantum Liquids: Bose Condensation and Cooper Pairing in Condensed-Matter Systems [M]. Oxford University Press, 2006. (Unified superfluidity)</w:t>
      </w:r>
    </w:p>
    <w:p w14:paraId="1AE94AF8">
      <w:pPr>
        <w:pStyle w:val="3"/>
      </w:pPr>
      <w:r>
        <w:t>[16] Pitaevskii L P, Stringari S. Bose-Einstein Condensation and Superfluidity [M]. Oxford University Press, 2016.</w:t>
      </w:r>
    </w:p>
    <w:p w14:paraId="10D4BA33">
      <w:pPr>
        <w:pStyle w:val="3"/>
      </w:pPr>
      <w:r>
        <w:t>[17] de Gennes P G. Superconductivity of Metals and Alloys [M]. W.A. Benjamin, 1966.</w:t>
      </w:r>
    </w:p>
    <w:p w14:paraId="122AC3A3">
      <w:pPr>
        <w:pStyle w:val="3"/>
      </w:pPr>
      <w:r>
        <w:t>[18] Tinkham M. Introduction to Superconductivity [M]. 2nd ed. Dover, 2004.</w:t>
      </w:r>
    </w:p>
    <w:p w14:paraId="0F3A7498">
      <w:pPr>
        <w:pStyle w:val="3"/>
      </w:pPr>
      <w:r>
        <w:t>[19] Tsuei C C, Kirtley J R. Pairing symmetry in cuprate superconductors [J]. Reviews of Modern Physics, 2000, 72: 969. (d-wave, nodes)</w:t>
      </w:r>
    </w:p>
    <w:p w14:paraId="11C8A70C">
      <w:pPr>
        <w:pStyle w:val="3"/>
      </w:pPr>
      <w:r>
        <w:t>[20] London F, London H. The electromagnetic equations of the supraconductor [J]. Proceedings of the Royal Society A, 1935, 149: 71. (Flux quantization)</w:t>
      </w:r>
    </w:p>
    <w:p w14:paraId="64082101">
      <w:pPr>
        <w:pStyle w:val="3"/>
      </w:pPr>
      <w:r>
        <w:t>[21] Onsager L. Statistical hydrodynamics [J]. Nuovo Cimento, 1949, 6(Suppl 2): 249. (Superfluid vortex quantization)</w:t>
      </w:r>
    </w:p>
    <w:p w14:paraId="4BE3024D">
      <w:pPr>
        <w:pStyle w:val="3"/>
      </w:pPr>
      <w:r>
        <w:t>[22] Feynman R P. Chapter II: Application of quantum mechanics to liquid helium [J]. Progress in Low Temperature Physics, 1955, 1: 17.</w:t>
      </w:r>
    </w:p>
    <w:p w14:paraId="0A19D6AD">
      <w:pPr>
        <w:pStyle w:val="3"/>
      </w:pPr>
      <w:r>
        <w:t>[23] Gross E P. Structure of a quantized vortex in boson systems [J]. Nuovo Cimento, 1961, 20: 454. (GP equation)</w:t>
      </w:r>
    </w:p>
    <w:p w14:paraId="3BD2AB07">
      <w:pPr>
        <w:pStyle w:val="3"/>
      </w:pPr>
      <w:r>
        <w:t>[24] Bogoliubov N N. On the theory of superfluidity [J]. Journal of Physics (USSR), 1947, 11: 23.</w:t>
      </w:r>
    </w:p>
    <w:p w14:paraId="60112300">
      <w:pPr>
        <w:pStyle w:val="3"/>
      </w:pPr>
      <w:r>
        <w:t>[25] Carlstrom J A, Kirtley J R, Tsuei C C. Spontaneous magnetic moments and disorder in superconducting cuprate crystals [J]. Physical Review B, 1992, 46: 8383. (Vortex core)</w:t>
      </w:r>
    </w:p>
    <w:p w14:paraId="48CFF975">
      <w:pPr>
        <w:pStyle w:val="3"/>
      </w:pPr>
      <w:r>
        <w:t xml:space="preserve">[26] Sauls J A. The order parameter and the vortex state in superfluid </w:t>
      </w:r>
      <m:oMath>
        <m:sSup>
          <m:sSupPr/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He</m:t>
        </m:r>
      </m:oMath>
      <w:r>
        <w:t xml:space="preserve"> [J]. Journal of Low Temperature Physics, 1988, 72: 295.</w:t>
      </w:r>
    </w:p>
    <w:p w14:paraId="2EBDE522">
      <w:pPr>
        <w:pStyle w:val="3"/>
      </w:pPr>
      <w:r>
        <w:t>[27] Zwerger W. The BCS-BEC Crossover and the Unitary Fermi Gas [M]. Springer, 2012.</w:t>
      </w:r>
    </w:p>
    <w:p w14:paraId="2BCB9EFC">
      <w:pPr>
        <w:pStyle w:val="3"/>
      </w:pPr>
      <w:r>
        <w:t>[28] Schrieffer J R, Tinkham M, Blount E. Coupling of superconductors to electromagnetic fields [J]. Physical Review, 1962, 128: 237.</w:t>
      </w:r>
    </w:p>
    <w:p w14:paraId="7FE5734A">
      <w:pPr>
        <w:pStyle w:val="3"/>
      </w:pPr>
      <w:r>
        <w:t>[29] Gorkov L P. Microscopic derivation of the Ginzburg–Landau equations [J]. Soviet Physics JETP, 1959, 9: 1364.</w:t>
      </w:r>
    </w:p>
    <w:p w14:paraId="2DEE646C">
      <w:pPr>
        <w:pStyle w:val="3"/>
      </w:pPr>
      <w:r>
        <w:t>[30] Werthamer N R, Helfand E, Hohenberg P C. Temperature and purity dependence of the superconducting critical field [J]. Physical Review, 1966, 147: 295. (</w:t>
      </w:r>
      <m:oMath>
        <m:r>
          <m:rPr/>
          <m:t>κ</m:t>
        </m:r>
      </m:oMath>
      <w:r>
        <w:t xml:space="preserve"> correction)</w:t>
      </w:r>
    </w:p>
    <w:bookmarkEnd w:id="0"/>
    <w:bookmarkEnd w:id="13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17515D9F"/>
    <w:rsid w:val="367E3A4E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qFormat/>
    <w:uiPriority w:val="0"/>
    <w:rPr>
      <w:b/>
      <w:color w:val="007020"/>
    </w:rPr>
  </w:style>
  <w:style w:type="character" w:customStyle="1" w:styleId="50">
    <w:name w:val="DataTypeTok"/>
    <w:basedOn w:val="37"/>
    <w:qFormat/>
    <w:uiPriority w:val="0"/>
    <w:rPr>
      <w:color w:val="902000"/>
    </w:rPr>
  </w:style>
  <w:style w:type="character" w:customStyle="1" w:styleId="51">
    <w:name w:val="DecValTok"/>
    <w:basedOn w:val="37"/>
    <w:qFormat/>
    <w:uiPriority w:val="0"/>
    <w:rPr>
      <w:color w:val="40A070"/>
    </w:rPr>
  </w:style>
  <w:style w:type="character" w:customStyle="1" w:styleId="52">
    <w:name w:val="BaseNTok"/>
    <w:basedOn w:val="37"/>
    <w:qFormat/>
    <w:uiPriority w:val="0"/>
    <w:rPr>
      <w:color w:val="40A070"/>
    </w:rPr>
  </w:style>
  <w:style w:type="character" w:customStyle="1" w:styleId="53">
    <w:name w:val="FloatTok"/>
    <w:basedOn w:val="37"/>
    <w:qFormat/>
    <w:uiPriority w:val="0"/>
    <w:rPr>
      <w:color w:val="40A070"/>
    </w:rPr>
  </w:style>
  <w:style w:type="character" w:customStyle="1" w:styleId="54">
    <w:name w:val="ConstantTok"/>
    <w:basedOn w:val="37"/>
    <w:qFormat/>
    <w:uiPriority w:val="0"/>
    <w:rPr>
      <w:color w:val="880000"/>
    </w:rPr>
  </w:style>
  <w:style w:type="character" w:customStyle="1" w:styleId="55">
    <w:name w:val="CharTok"/>
    <w:basedOn w:val="37"/>
    <w:qFormat/>
    <w:uiPriority w:val="0"/>
    <w:rPr>
      <w:color w:val="4070A0"/>
    </w:rPr>
  </w:style>
  <w:style w:type="character" w:customStyle="1" w:styleId="56">
    <w:name w:val="SpecialCharTok"/>
    <w:basedOn w:val="37"/>
    <w:qFormat/>
    <w:uiPriority w:val="0"/>
    <w:rPr>
      <w:color w:val="4070A0"/>
    </w:rPr>
  </w:style>
  <w:style w:type="character" w:customStyle="1" w:styleId="57">
    <w:name w:val="StringTok"/>
    <w:basedOn w:val="37"/>
    <w:qFormat/>
    <w:uiPriority w:val="0"/>
    <w:rPr>
      <w:color w:val="4070A0"/>
    </w:rPr>
  </w:style>
  <w:style w:type="character" w:customStyle="1" w:styleId="58">
    <w:name w:val="VerbatimStringTok"/>
    <w:basedOn w:val="37"/>
    <w:qFormat/>
    <w:uiPriority w:val="0"/>
    <w:rPr>
      <w:color w:val="4070A0"/>
    </w:rPr>
  </w:style>
  <w:style w:type="character" w:customStyle="1" w:styleId="59">
    <w:name w:val="SpecialStringTok"/>
    <w:basedOn w:val="37"/>
    <w:qFormat/>
    <w:uiPriority w:val="0"/>
    <w:rPr>
      <w:color w:val="BB6688"/>
    </w:rPr>
  </w:style>
  <w:style w:type="character" w:customStyle="1" w:styleId="60">
    <w:name w:val="ImportTok"/>
    <w:basedOn w:val="37"/>
    <w:qFormat/>
    <w:uiPriority w:val="0"/>
    <w:rPr>
      <w:b/>
      <w:color w:val="008000"/>
    </w:rPr>
  </w:style>
  <w:style w:type="character" w:customStyle="1" w:styleId="61">
    <w:name w:val="CommentTok"/>
    <w:basedOn w:val="37"/>
    <w:qFormat/>
    <w:uiPriority w:val="0"/>
    <w:rPr>
      <w:i/>
      <w:color w:val="60A0B0"/>
    </w:rPr>
  </w:style>
  <w:style w:type="character" w:customStyle="1" w:styleId="62">
    <w:name w:val="DocumentationTok"/>
    <w:basedOn w:val="37"/>
    <w:qFormat/>
    <w:uiPriority w:val="0"/>
    <w:rPr>
      <w:i/>
      <w:color w:val="BA2121"/>
    </w:rPr>
  </w:style>
  <w:style w:type="character" w:customStyle="1" w:styleId="63">
    <w:name w:val="AnnotationTok"/>
    <w:basedOn w:val="37"/>
    <w:qFormat/>
    <w:uiPriority w:val="0"/>
    <w:rPr>
      <w:b/>
      <w:i/>
      <w:color w:val="60A0B0"/>
    </w:rPr>
  </w:style>
  <w:style w:type="character" w:customStyle="1" w:styleId="64">
    <w:name w:val="CommentVarTok"/>
    <w:basedOn w:val="37"/>
    <w:qFormat/>
    <w:uiPriority w:val="0"/>
    <w:rPr>
      <w:b/>
      <w:i/>
      <w:color w:val="60A0B0"/>
    </w:rPr>
  </w:style>
  <w:style w:type="character" w:customStyle="1" w:styleId="65">
    <w:name w:val="OtherTok"/>
    <w:basedOn w:val="37"/>
    <w:qFormat/>
    <w:uiPriority w:val="0"/>
    <w:rPr>
      <w:color w:val="007020"/>
    </w:rPr>
  </w:style>
  <w:style w:type="character" w:customStyle="1" w:styleId="66">
    <w:name w:val="FunctionTok"/>
    <w:basedOn w:val="37"/>
    <w:qFormat/>
    <w:uiPriority w:val="0"/>
    <w:rPr>
      <w:color w:val="06287E"/>
    </w:rPr>
  </w:style>
  <w:style w:type="character" w:customStyle="1" w:styleId="67">
    <w:name w:val="VariableTok"/>
    <w:basedOn w:val="37"/>
    <w:qFormat/>
    <w:uiPriority w:val="0"/>
    <w:rPr>
      <w:color w:val="19177C"/>
    </w:rPr>
  </w:style>
  <w:style w:type="character" w:customStyle="1" w:styleId="68">
    <w:name w:val="ControlFlowTok"/>
    <w:basedOn w:val="37"/>
    <w:qFormat/>
    <w:uiPriority w:val="0"/>
    <w:rPr>
      <w:b/>
      <w:color w:val="007020"/>
    </w:rPr>
  </w:style>
  <w:style w:type="character" w:customStyle="1" w:styleId="69">
    <w:name w:val="OperatorTok"/>
    <w:basedOn w:val="37"/>
    <w:qFormat/>
    <w:uiPriority w:val="0"/>
    <w:rPr>
      <w:color w:val="666666"/>
    </w:rPr>
  </w:style>
  <w:style w:type="character" w:customStyle="1" w:styleId="70">
    <w:name w:val="BuiltInTok"/>
    <w:basedOn w:val="37"/>
    <w:qFormat/>
    <w:uiPriority w:val="0"/>
    <w:rPr>
      <w:color w:val="008000"/>
    </w:rPr>
  </w:style>
  <w:style w:type="character" w:customStyle="1" w:styleId="71">
    <w:name w:val="ExtensionTok"/>
    <w:basedOn w:val="37"/>
    <w:qFormat/>
    <w:uiPriority w:val="0"/>
  </w:style>
  <w:style w:type="character" w:customStyle="1" w:styleId="72">
    <w:name w:val="PreprocessorTok"/>
    <w:basedOn w:val="37"/>
    <w:qFormat/>
    <w:uiPriority w:val="0"/>
    <w:rPr>
      <w:color w:val="BC7A00"/>
    </w:rPr>
  </w:style>
  <w:style w:type="character" w:customStyle="1" w:styleId="73">
    <w:name w:val="AttributeTok"/>
    <w:basedOn w:val="37"/>
    <w:qFormat/>
    <w:uiPriority w:val="0"/>
    <w:rPr>
      <w:color w:val="7D9029"/>
    </w:rPr>
  </w:style>
  <w:style w:type="character" w:customStyle="1" w:styleId="74">
    <w:name w:val="RegionMarkerTok"/>
    <w:basedOn w:val="37"/>
    <w:qFormat/>
    <w:uiPriority w:val="0"/>
  </w:style>
  <w:style w:type="character" w:customStyle="1" w:styleId="75">
    <w:name w:val="InformationTok"/>
    <w:basedOn w:val="37"/>
    <w:qFormat/>
    <w:uiPriority w:val="0"/>
    <w:rPr>
      <w:b/>
      <w:i/>
      <w:color w:val="60A0B0"/>
    </w:rPr>
  </w:style>
  <w:style w:type="character" w:customStyle="1" w:styleId="76">
    <w:name w:val="WarningTok"/>
    <w:basedOn w:val="37"/>
    <w:qFormat/>
    <w:uiPriority w:val="0"/>
    <w:rPr>
      <w:b/>
      <w:i/>
      <w:color w:val="60A0B0"/>
    </w:rPr>
  </w:style>
  <w:style w:type="character" w:customStyle="1" w:styleId="77">
    <w:name w:val="AlertTok"/>
    <w:basedOn w:val="37"/>
    <w:qFormat/>
    <w:uiPriority w:val="0"/>
    <w:rPr>
      <w:b/>
      <w:color w:val="FF0000"/>
    </w:rPr>
  </w:style>
  <w:style w:type="character" w:customStyle="1" w:styleId="78">
    <w:name w:val="ErrorTok"/>
    <w:basedOn w:val="37"/>
    <w:qFormat/>
    <w:uiPriority w:val="0"/>
    <w:rPr>
      <w:b/>
      <w:color w:val="FF0000"/>
    </w:rPr>
  </w:style>
  <w:style w:type="character" w:customStyle="1" w:styleId="79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808</Words>
  <Characters>4603</Characters>
  <Lines>283</Lines>
  <Paragraphs>310</Paragraphs>
  <TotalTime>3</TotalTime>
  <ScaleCrop>false</ScaleCrop>
  <LinksUpToDate>false</LinksUpToDate>
  <CharactersWithSpaces>5330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2026-09-09T01:15:00Z</dcterms:created>
  <dc:creator>迈斯纳效应</dc:creator>
  <cp:lastModifiedBy>迈斯纳效应</cp:lastModifiedBy>
  <dcterms:modified xsi:type="dcterms:W3CDTF">2026-09-09T04:07:05Z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85AA143A8DBD4E198FB2DFAF8D30BA79_12</vt:lpwstr>
  </property>
</Properties>
</file>