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E5442">
      <w:pPr>
        <w:pStyle w:val="4"/>
        <w:rPr>
          <w:b/>
          <w:bCs/>
        </w:rPr>
      </w:pPr>
      <w:r>
        <w:rPr>
          <w:rFonts w:hint="eastAsia"/>
          <w:b/>
          <w:bCs/>
        </w:rPr>
        <w:t>粒子自旋的协同耦合起源理论：基于A场与B场的同步手性激发机制</w:t>
      </w:r>
    </w:p>
    <w:p w14:paraId="33D25257">
      <w:pPr>
        <w:pStyle w:val="3"/>
      </w:pPr>
      <w:r>
        <w:rPr>
          <w:rFonts w:hint="eastAsia"/>
          <w:b/>
          <w:bCs/>
        </w:rPr>
        <w:t>作者：</w:t>
      </w:r>
      <w:r>
        <w:t xml:space="preserve"> </w:t>
      </w:r>
      <w:r>
        <w:rPr>
          <w:rFonts w:hint="eastAsia"/>
        </w:rPr>
        <w:t>李志军¹，赵光耀²</w:t>
      </w:r>
      <w:r>
        <w:br w:type="textWrapping"/>
      </w:r>
      <w:r>
        <w:rPr>
          <w:rFonts w:hint="eastAsia"/>
        </w:rPr>
        <w:t>单位：</w:t>
      </w:r>
      <w:r>
        <w:br w:type="textWrapping"/>
      </w:r>
      <w:r>
        <w:t xml:space="preserve">1. </w:t>
      </w:r>
      <w:r>
        <w:rPr>
          <w:rFonts w:hint="eastAsia"/>
          <w:lang w:val="en-US" w:eastAsia="zh-CN"/>
        </w:rPr>
        <w:t>山西省农业厅（牧校）</w:t>
      </w:r>
      <w:r>
        <w:br w:type="textWrapping"/>
      </w:r>
      <w:r>
        <w:t xml:space="preserve">2. </w:t>
      </w:r>
      <w:r>
        <w:rPr>
          <w:rFonts w:hint="eastAsia"/>
        </w:rPr>
        <w:t>重庆大学</w:t>
      </w:r>
    </w:p>
    <w:p w14:paraId="2DCA5531">
      <w:pPr>
        <w:pStyle w:val="3"/>
      </w:pPr>
      <w:r>
        <w:rPr>
          <w:rFonts w:hint="eastAsia"/>
          <w:b/>
          <w:bCs/>
        </w:rPr>
        <w:t>摘要</w:t>
      </w:r>
      <w:r>
        <w:rPr>
          <w:b/>
          <w:bCs/>
        </w:rPr>
        <w:br w:type="textWrapping"/>
      </w:r>
      <w:r>
        <w:rPr>
          <w:rFonts w:hint="eastAsia"/>
        </w:rPr>
        <w:t>本文基于李-赵场组合波函数理论，提出了粒子自旋源于A场与B场协同耦合的明确机制。理论严格区分了场组合中各组分的几何角色：C场（希格斯-质量场）是标量场，其激发仅贡献静质量；而A场（电磁涡旋场）与B场（色荷-电荷涡旋场）均为矢量场。核心论点是：粒子自旋并非A场与B场角动量的简单叠加，而是源于二者作为一个不可分割的整体，进行同步顺时针或逆时针手性耦合所涌现出的内禀角动量。我们构建了协同耦合角动量算符</w:t>
      </w:r>
      <w:r>
        <w:t xml:space="preserve"> </w:t>
      </w:r>
      <m:oMath>
        <m:sSub>
          <m:sSubPr/>
          <m:e>
            <m:acc>
              <m:accPr/>
              <m:e>
                <m:r>
                  <m:rPr/>
                  <m:t>J</m:t>
                </m:r>
              </m:e>
            </m:acc>
          </m:e>
          <m:sub>
            <m:r>
              <m:rPr>
                <m:sty m:val="p"/>
              </m:rPr>
              <m:t>[</m:t>
            </m:r>
            <m:r>
              <m:rPr/>
              <m:t>AB</m:t>
            </m:r>
            <m:r>
              <m:rPr>
                <m:sty m:val="p"/>
              </m:rPr>
              <m:t>]</m:t>
            </m:r>
          </m:sub>
        </m:sSub>
      </m:oMath>
      <w:r>
        <w:rPr>
          <w:rFonts w:hint="eastAsia"/>
        </w:rPr>
        <w:t>，其本征值直接给出自旋量子数。该理论成功推导出费米子（</w:t>
      </w:r>
      <m:oMath>
        <m:r>
          <m:rPr/>
          <m:t>s</m:t>
        </m:r>
        <m:r>
          <m:rPr>
            <m:sty m:val="p"/>
          </m:rPr>
          <m:t>=</m:t>
        </m:r>
        <m:f>
          <m:fPr/>
          <m:num>
            <m:r>
              <m:rPr/>
              <m:t>1</m:t>
            </m:r>
          </m:num>
          <m:den>
            <m:r>
              <m:rPr/>
              <m:t>2</m:t>
            </m:r>
          </m:den>
        </m:f>
      </m:oMath>
      <w:r>
        <w:rPr>
          <w:rFonts w:hint="eastAsia"/>
        </w:rPr>
        <w:t>）、玻色子（</w:t>
      </w:r>
      <m:oMath>
        <m:r>
          <m:rPr/>
          <m:t>s</m:t>
        </m:r>
        <m:r>
          <m:rPr>
            <m:sty m:val="p"/>
          </m:rPr>
          <m:t>=</m:t>
        </m:r>
        <m:r>
          <m:rPr/>
          <m:t>1</m:t>
        </m:r>
      </m:oMath>
      <w:r>
        <w:rPr>
          <w:rFonts w:hint="eastAsia"/>
        </w:rPr>
        <w:t>）的自旋量子数，并解释了希格斯玻色子（</w:t>
      </w:r>
      <m:oMath>
        <m:r>
          <m:rPr/>
          <m:t>s</m:t>
        </m:r>
        <m:r>
          <m:rPr>
            <m:sty m:val="p"/>
          </m:rPr>
          <m:t>=</m:t>
        </m:r>
        <m:r>
          <m:rPr/>
          <m:t>0</m:t>
        </m:r>
      </m:oMath>
      <w:r>
        <w:rPr>
          <w:rFonts w:hint="eastAsia"/>
        </w:rPr>
        <w:t>）因缺乏A/B场矢量激发而表现为标量的原因。本理论首次清晰地将自旋的起源归于两个矢量场（A场和B场）的协同几何耦合，为理解自旋-统计定理提供了新的物理图像。</w:t>
      </w:r>
    </w:p>
    <w:p w14:paraId="0E436518">
      <w:pPr>
        <w:pStyle w:val="3"/>
      </w:pPr>
      <w:r>
        <w:rPr>
          <w:rFonts w:hint="eastAsia"/>
          <w:b/>
          <w:bCs/>
        </w:rPr>
        <w:t>关键词：</w:t>
      </w:r>
      <w:r>
        <w:t xml:space="preserve"> </w:t>
      </w:r>
      <w:r>
        <w:rPr>
          <w:rFonts w:hint="eastAsia"/>
        </w:rPr>
        <w:t>场组合理论；自旋起源；协同耦合；同步手性激发；量子化；A场；B场</w:t>
      </w:r>
    </w:p>
    <w:p w14:paraId="3FC1D61B">
      <w:pPr>
        <w:pStyle w:val="26"/>
        <w:numPr>
          <w:ilvl w:val="0"/>
          <w:numId w:val="1"/>
        </w:numPr>
      </w:pPr>
      <w:r>
        <w:rPr>
          <w:rFonts w:hint="eastAsia"/>
          <w:b/>
          <w:bCs/>
        </w:rPr>
        <w:t>引言</w:t>
      </w:r>
    </w:p>
    <w:p w14:paraId="4EC0E277">
      <w:pPr>
        <w:pStyle w:val="4"/>
      </w:pPr>
      <w:r>
        <w:rPr>
          <w:rFonts w:hint="eastAsia"/>
        </w:rPr>
        <w:t>粒子自旋的物理起源是现代物理学的核心难题。李-赵场组合波函数理论为解答这一问题提供了全新路径，其关键在于区分场组合中各组分场的几何属性。本文基于该理论的一个核心论断：场组合中的A场和B场是矢量场，而C场是标量场。本文提出一个颠覆性观点：粒子自旋并非源于A场和B场独立激发的角动量叠加，而是源于二者作为一个整体系统进行同步手性耦合时所涌现出的内禀属性。本文旨在构建一个数学模型，从这一第一性原理出发，推导出所有已知粒子的自旋量子数。</w:t>
      </w:r>
    </w:p>
    <w:p w14:paraId="4EB3556C">
      <w:pPr>
        <w:pStyle w:val="26"/>
        <w:numPr>
          <w:ilvl w:val="0"/>
          <w:numId w:val="2"/>
        </w:numPr>
      </w:pPr>
      <w:r>
        <w:rPr>
          <w:rFonts w:hint="eastAsia"/>
          <w:b/>
          <w:bCs/>
        </w:rPr>
        <w:t>场组合分量的几何角色</w:t>
      </w:r>
    </w:p>
    <w:p w14:paraId="4BE95899">
      <w:pPr>
        <w:pStyle w:val="4"/>
        <w:rPr>
          <w:b/>
          <w:bCs/>
        </w:rPr>
      </w:pPr>
      <w:r>
        <w:rPr>
          <w:b/>
          <w:bCs/>
        </w:rPr>
        <w:t xml:space="preserve">2.1 </w:t>
      </w:r>
      <w:r>
        <w:rPr>
          <w:rFonts w:hint="eastAsia"/>
          <w:b/>
          <w:bCs/>
        </w:rPr>
        <w:t>C场：标量场与质量的起源</w:t>
      </w:r>
    </w:p>
    <w:p w14:paraId="58B9ECE7">
      <w:pPr>
        <w:pStyle w:val="3"/>
      </w:pPr>
      <w:r>
        <w:rPr>
          <w:rFonts w:hint="eastAsia"/>
        </w:rPr>
        <w:t>C场是希格斯-质量场。其在时空变换下是标量，即其激发在空间转动下保持不变。因此，C场的激发</w:t>
      </w:r>
      <w:r>
        <w:t xml:space="preserve"> </w:t>
      </w:r>
      <m:oMath>
        <m:sSub>
          <m:sSubPr/>
          <m:e>
            <m:r>
              <m:rPr/>
              <m:t>C</m:t>
            </m:r>
          </m:e>
          <m:sub>
            <m:r>
              <m:rPr/>
              <m:t>y</m:t>
            </m:r>
          </m:sub>
        </m:sSub>
      </m:oMath>
      <w:r>
        <w:t xml:space="preserve"> </w:t>
      </w:r>
      <w:r>
        <w:rPr>
          <w:rFonts w:hint="eastAsia"/>
        </w:rPr>
        <w:t>不携带任何内禀角动量，其唯一作用是赋予粒子静质量</w:t>
      </w:r>
      <w:r>
        <w:t xml:space="preserve"> </w:t>
      </w:r>
      <m:oMath>
        <m:sSub>
          <m:sSubPr/>
          <m:e>
            <m:r>
              <m:rPr/>
              <m:t>m</m:t>
            </m:r>
          </m:e>
          <m:sub>
            <m:r>
              <m:rPr/>
              <m:t>y</m:t>
            </m:r>
          </m:sub>
        </m:sSub>
      </m:oMath>
      <w:r>
        <w:t>。</w:t>
      </w:r>
    </w:p>
    <w:p w14:paraId="3F9AF91F">
      <w:pPr>
        <w:pStyle w:val="3"/>
        <w:rPr>
          <w:b/>
          <w:bCs/>
        </w:rPr>
      </w:pPr>
      <w:r>
        <w:rPr>
          <w:b/>
          <w:bCs/>
        </w:rPr>
        <w:t xml:space="preserve">2.2 </w:t>
      </w:r>
      <w:r>
        <w:rPr>
          <w:rFonts w:hint="eastAsia"/>
          <w:b/>
          <w:bCs/>
        </w:rPr>
        <w:t>A场与B场：矢量场与协同耦合</w:t>
      </w:r>
    </w:p>
    <w:p w14:paraId="5CBF7E6E">
      <w:pPr>
        <w:pStyle w:val="3"/>
      </w:pPr>
      <w:r>
        <w:rPr>
          <w:rFonts w:hint="eastAsia"/>
        </w:rPr>
        <w:t>A场（电磁涡旋场）和B场（色荷-电荷涡旋场）在时空变换下均是矢量场。然而，它们的角动量并非独立。我们提出：A场和B场在粒子内部构成一个协同耦合系统。它们的激发不是独立的，而是以相同的</w:t>
      </w:r>
      <w:r>
        <w:t xml:space="preserve"> </w:t>
      </w:r>
      <w:r>
        <w:rPr>
          <w:rFonts w:hint="eastAsia"/>
        </w:rPr>
        <w:t>handness（手性）同步进行。这种同步耦合是粒子自旋的直接起源。</w:t>
      </w:r>
    </w:p>
    <w:p w14:paraId="1A2D7B35">
      <w:pPr>
        <w:pStyle w:val="26"/>
        <w:numPr>
          <w:ilvl w:val="0"/>
          <w:numId w:val="3"/>
        </w:numPr>
        <w:rPr>
          <w:b/>
          <w:bCs/>
        </w:rPr>
      </w:pPr>
      <w:r>
        <w:rPr>
          <w:rFonts w:hint="eastAsia"/>
          <w:b/>
          <w:bCs/>
        </w:rPr>
        <w:t>自旋的协同耦合模型</w:t>
      </w:r>
    </w:p>
    <w:p w14:paraId="0E698239">
      <w:pPr>
        <w:pStyle w:val="4"/>
        <w:rPr>
          <w:b/>
          <w:bCs/>
        </w:rPr>
      </w:pPr>
      <w:r>
        <w:rPr>
          <w:b/>
          <w:bCs/>
        </w:rPr>
        <w:t xml:space="preserve">3.1 </w:t>
      </w:r>
      <w:r>
        <w:rPr>
          <w:rFonts w:hint="eastAsia"/>
          <w:b/>
          <w:bCs/>
        </w:rPr>
        <w:t>协同耦合角动量算符</w:t>
      </w:r>
    </w:p>
    <w:p w14:paraId="6F91E8DF">
      <w:pPr>
        <w:pStyle w:val="3"/>
      </w:pPr>
      <w:r>
        <w:rPr>
          <w:rFonts w:hint="eastAsia"/>
        </w:rPr>
        <w:t>我们定义协同耦合角动量算符</w:t>
      </w:r>
      <w:r>
        <w:t xml:space="preserve"> </w:t>
      </w:r>
      <m:oMath>
        <m:sSub>
          <m:sSubPr/>
          <m:e>
            <m:acc>
              <m:accPr/>
              <m:e>
                <m:r>
                  <m:rPr/>
                  <m:t>J</m:t>
                </m:r>
              </m:e>
            </m:acc>
          </m:e>
          <m:sub>
            <m:r>
              <m:rPr>
                <m:sty m:val="p"/>
              </m:rPr>
              <m:t>[</m:t>
            </m:r>
            <m:r>
              <m:rPr/>
              <m:t>AB</m:t>
            </m:r>
            <m:r>
              <m:rPr>
                <m:sty m:val="p"/>
              </m:rPr>
              <m:t>]</m:t>
            </m:r>
          </m:sub>
        </m:sSub>
      </m:oMath>
      <w:r>
        <w:rPr>
          <w:rFonts w:hint="eastAsia"/>
        </w:rPr>
        <w:t>。该算符不作用于单个的A场或B场，而是作用于A-B协同耦合系统的整体激发态</w:t>
      </w:r>
      <w:r>
        <w:t xml:space="preserve"> </w:t>
      </w:r>
      <m:oMath>
        <m:r>
          <m:rPr>
            <m:sty m:val="p"/>
          </m:rPr>
          <m:t>|</m:t>
        </m:r>
        <m:sSub>
          <m:sSubPr/>
          <m:e>
            <m:r>
              <m:rPr>
                <m:sty m:val="p"/>
              </m:rPr>
              <m:t>Ψ</m:t>
            </m:r>
          </m:e>
          <m:sub>
            <m:r>
              <m:rPr>
                <m:sty m:val="p"/>
              </m:rPr>
              <m:t>[</m:t>
            </m:r>
            <m:r>
              <m:rPr/>
              <m:t>AB</m:t>
            </m:r>
            <m:r>
              <m:rPr>
                <m:sty m:val="p"/>
              </m:rPr>
              <m:t>]</m:t>
            </m:r>
          </m:sub>
        </m:sSub>
        <m:r>
          <m:rPr>
            <m:sty m:val="p"/>
          </m:rPr>
          <m:t>⟩</m:t>
        </m:r>
      </m:oMath>
      <w:r>
        <w:t>。</w:t>
      </w:r>
      <w:r>
        <w:br w:type="textWrapping"/>
      </w:r>
      <w:r>
        <w:rPr>
          <w:rFonts w:hint="eastAsia"/>
        </w:rPr>
        <w:t>其本征方程为：</w:t>
      </w:r>
    </w:p>
    <w:p w14:paraId="0E92DE72">
      <w:pPr>
        <w:pStyle w:val="3"/>
      </w:pPr>
      <m:oMathPara>
        <m:oMathParaPr>
          <m:jc m:val="center"/>
        </m:oMathParaPr>
        <m:oMath>
          <m:sSub>
            <m:sSubPr/>
            <m:e>
              <m:acc>
                <m:accPr/>
                <m:e>
                  <m:r>
                    <m:rPr/>
                    <m:t>J</m:t>
                  </m:r>
                </m:e>
              </m:acc>
            </m:e>
            <m:sub>
              <m:r>
                <m:rPr>
                  <m:sty m:val="p"/>
                </m:rPr>
                <m:t>[</m:t>
              </m:r>
              <m:r>
                <m:rPr/>
                <m:t>AB</m:t>
              </m:r>
              <m:r>
                <m:rPr>
                  <m:sty m:val="p"/>
                </m:rPr>
                <m:t>]</m:t>
              </m:r>
            </m:sub>
          </m:sSub>
          <m:r>
            <m:rPr>
              <m:sty m:val="p"/>
            </m:rPr>
            <m:t>|</m:t>
          </m:r>
          <m:sSub>
            <m:sSubPr/>
            <m:e>
              <m:r>
                <m:rPr>
                  <m:sty m:val="p"/>
                </m:rPr>
                <m:t>Ψ</m:t>
              </m:r>
            </m:e>
            <m:sub>
              <m:r>
                <m:rPr>
                  <m:sty m:val="p"/>
                </m:rPr>
                <m:t>[</m:t>
              </m:r>
              <m:r>
                <m:rPr/>
                <m:t>AB</m:t>
              </m:r>
              <m:r>
                <m:rPr>
                  <m:sty m:val="p"/>
                </m:rPr>
                <m:t>]</m:t>
              </m:r>
            </m:sub>
          </m:sSub>
          <m:r>
            <m:rPr>
              <m:sty m:val="p"/>
            </m:rPr>
            <m:t>⟩=</m:t>
          </m:r>
          <m:sSub>
            <m:sSubPr/>
            <m:e>
              <m:r>
                <m:rPr/>
                <m:t>J</m:t>
              </m:r>
            </m:e>
            <m:sub>
              <m:r>
                <m:rPr>
                  <m:sty m:val="p"/>
                </m:rPr>
                <m:t>[</m:t>
              </m:r>
              <m:r>
                <m:rPr/>
                <m:t>AB</m:t>
              </m:r>
              <m:r>
                <m:rPr>
                  <m:sty m:val="p"/>
                </m:rPr>
                <m:t>]</m:t>
              </m:r>
            </m:sub>
          </m:sSub>
          <m:r>
            <m:rPr>
              <m:sty m:val="p"/>
            </m:rPr>
            <m:t>|</m:t>
          </m:r>
          <m:sSub>
            <m:sSubPr/>
            <m:e>
              <m:r>
                <m:rPr>
                  <m:sty m:val="p"/>
                </m:rPr>
                <m:t>Ψ</m:t>
              </m:r>
            </m:e>
            <m:sub>
              <m:r>
                <m:rPr>
                  <m:sty m:val="p"/>
                </m:rPr>
                <m:t>[</m:t>
              </m:r>
              <m:r>
                <m:rPr/>
                <m:t>AB</m:t>
              </m:r>
              <m:r>
                <m:rPr>
                  <m:sty m:val="p"/>
                </m:rPr>
                <m:t>]</m:t>
              </m:r>
            </m:sub>
          </m:sSub>
          <m:r>
            <m:rPr>
              <m:sty m:val="p"/>
            </m:rPr>
            <m:t>⟩</m:t>
          </m:r>
        </m:oMath>
      </m:oMathPara>
      <w:r>
        <w:br w:type="textWrapping"/>
      </w:r>
      <w:r>
        <w:rPr>
          <w:rFonts w:hint="eastAsia"/>
        </w:rPr>
        <w:t>其中</w:t>
      </w:r>
      <w:r>
        <w:t xml:space="preserve"> </w:t>
      </w:r>
      <m:oMath>
        <m:sSub>
          <m:sSubPr/>
          <m:e>
            <m:r>
              <m:rPr/>
              <m:t>J</m:t>
            </m:r>
          </m:e>
          <m:sub>
            <m:r>
              <m:rPr>
                <m:sty m:val="p"/>
              </m:rPr>
              <m:t>[</m:t>
            </m:r>
            <m:r>
              <m:rPr/>
              <m:t>AB</m:t>
            </m:r>
            <m:r>
              <m:rPr>
                <m:sty m:val="p"/>
              </m:rPr>
              <m:t>]</m:t>
            </m:r>
          </m:sub>
        </m:sSub>
      </m:oMath>
      <w:r>
        <w:t xml:space="preserve"> </w:t>
      </w:r>
      <w:r>
        <w:rPr>
          <w:rFonts w:hint="eastAsia"/>
        </w:rPr>
        <w:t>是协同耦合系统的总角动量量子数。</w:t>
      </w:r>
    </w:p>
    <w:p w14:paraId="0590B665">
      <w:pPr>
        <w:pStyle w:val="3"/>
        <w:rPr>
          <w:b/>
          <w:bCs/>
        </w:rPr>
      </w:pPr>
      <w:r>
        <w:rPr>
          <w:b/>
          <w:bCs/>
        </w:rPr>
        <w:t xml:space="preserve">3.2 </w:t>
      </w:r>
      <w:r>
        <w:rPr>
          <w:rFonts w:hint="eastAsia"/>
          <w:b/>
          <w:bCs/>
        </w:rPr>
        <w:t>同步手性激发与自旋量子数</w:t>
      </w:r>
    </w:p>
    <w:p w14:paraId="2E7B07C1">
      <w:pPr>
        <w:pStyle w:val="3"/>
      </w:pPr>
      <w:r>
        <w:rPr>
          <w:rFonts w:hint="eastAsia"/>
        </w:rPr>
        <w:t>协同耦合系统存在两种基本的激发模式：</w:t>
      </w:r>
      <w:r>
        <w:br w:type="textWrapping"/>
      </w:r>
      <w:r>
        <w:t xml:space="preserve">1. </w:t>
      </w:r>
      <w:r>
        <w:rPr>
          <w:rFonts w:hint="eastAsia"/>
        </w:rPr>
        <w:t>同步顺时针激发（</w:t>
      </w:r>
      <m:oMath>
        <m:r>
          <m:rPr/>
          <m:t>h</m:t>
        </m:r>
        <m:r>
          <m:rPr>
            <m:sty m:val="p"/>
          </m:rPr>
          <m:t>=+</m:t>
        </m:r>
        <m:r>
          <m:rPr/>
          <m:t>1</m:t>
        </m:r>
      </m:oMath>
      <w:r>
        <w:rPr>
          <w:rFonts w:hint="eastAsia"/>
        </w:rPr>
        <w:t>）：</w:t>
      </w:r>
      <w:r>
        <w:t xml:space="preserve"> </w:t>
      </w:r>
      <w:r>
        <w:rPr>
          <w:rFonts w:hint="eastAsia"/>
        </w:rPr>
        <w:t>A场和B场同时以顺时针方向（右旋）进行耦合激发。</w:t>
      </w:r>
      <w:r>
        <w:br w:type="textWrapping"/>
      </w:r>
      <w:r>
        <w:t xml:space="preserve">2. </w:t>
      </w:r>
      <w:r>
        <w:rPr>
          <w:rFonts w:hint="eastAsia"/>
        </w:rPr>
        <w:t>同步逆时针激发（</w:t>
      </w:r>
      <m:oMath>
        <m:r>
          <m:rPr/>
          <m:t>h</m:t>
        </m:r>
        <m:r>
          <m:rPr>
            <m:sty m:val="p"/>
          </m:rPr>
          <m:t>=−</m:t>
        </m:r>
        <m:r>
          <m:rPr/>
          <m:t>1</m:t>
        </m:r>
      </m:oMath>
      <w:r>
        <w:rPr>
          <w:rFonts w:hint="eastAsia"/>
        </w:rPr>
        <w:t>）：</w:t>
      </w:r>
      <w:r>
        <w:t xml:space="preserve"> </w:t>
      </w:r>
      <w:r>
        <w:rPr>
          <w:rFonts w:hint="eastAsia"/>
        </w:rPr>
        <w:t>A场和B场同时以逆时针方向（左旋）进行耦合激发。</w:t>
      </w:r>
    </w:p>
    <w:p w14:paraId="300D6C02">
      <w:pPr>
        <w:pStyle w:val="3"/>
      </w:pPr>
      <w:r>
        <w:rPr>
          <w:rFonts w:hint="eastAsia"/>
        </w:rPr>
        <w:t>我们引入基本假设：一次同步手性激发所携带的角动量为</w:t>
      </w:r>
      <w:r>
        <w:t xml:space="preserve"> </w:t>
      </w:r>
      <m:oMath>
        <m:r>
          <m:rPr>
            <m:sty m:val="p"/>
          </m:rPr>
          <m:t>ℏ/</m:t>
        </m:r>
        <m:r>
          <m:rPr/>
          <m:t>2</m:t>
        </m:r>
      </m:oMath>
      <w:r>
        <w:rPr>
          <w:rFonts w:hint="eastAsia"/>
        </w:rPr>
        <w:t>。即：</w:t>
      </w:r>
    </w:p>
    <w:p w14:paraId="3D77E576">
      <w:pPr>
        <w:pStyle w:val="3"/>
      </w:pPr>
      <m:oMathPara>
        <m:oMathParaPr>
          <m:jc m:val="center"/>
        </m:oMathParaPr>
        <m:oMath>
          <m:sSub>
            <m:sSubPr/>
            <m:e>
              <m:acc>
                <m:accPr/>
                <m:e>
                  <m:r>
                    <m:rPr/>
                    <m:t>J</m:t>
                  </m:r>
                </m:e>
              </m:acc>
            </m:e>
            <m:sub>
              <m:r>
                <m:rPr>
                  <m:sty m:val="p"/>
                </m:rPr>
                <m:t>[</m:t>
              </m:r>
              <m:r>
                <m:rPr/>
                <m:t>AB</m:t>
              </m:r>
              <m:r>
                <m:rPr>
                  <m:sty m:val="p"/>
                </m:rPr>
                <m:t>]</m:t>
              </m:r>
            </m:sub>
          </m:sSub>
          <m:r>
            <m:rPr>
              <m:sty m:val="p"/>
            </m:rPr>
            <m:t>|</m:t>
          </m:r>
          <m:sSubSup>
            <m:sSubSupPr/>
            <m:e>
              <m:r>
                <m:rPr>
                  <m:sty m:val="p"/>
                </m:rPr>
                <m:t>Ψ</m:t>
              </m:r>
            </m:e>
            <m:sub>
              <m:r>
                <m:rPr>
                  <m:sty m:val="p"/>
                </m:rPr>
                <m:t>[</m:t>
              </m:r>
              <m:r>
                <m:rPr/>
                <m:t>AB</m:t>
              </m:r>
              <m:r>
                <m:rPr>
                  <m:sty m:val="p"/>
                </m:rPr>
                <m:t>]</m:t>
              </m:r>
            </m:sub>
            <m:sup>
              <m:r>
                <m:rPr/>
                <m:t>h</m:t>
              </m:r>
              <m:r>
                <m:rPr>
                  <m:sty m:val="p"/>
                </m:rPr>
                <m:t>=±</m:t>
              </m:r>
              <m:r>
                <m:rPr/>
                <m:t>1</m:t>
              </m:r>
            </m:sup>
          </m:sSubSup>
          <m:r>
            <m:rPr>
              <m:sty m:val="p"/>
            </m:rPr>
            <m:t>⟩=±</m:t>
          </m:r>
          <m:f>
            <m:fPr/>
            <m:num>
              <m:r>
                <m:rPr>
                  <m:sty m:val="p"/>
                </m:rPr>
                <m:t>ℏ</m:t>
              </m:r>
            </m:num>
            <m:den>
              <m:r>
                <m:rPr/>
                <m:t>2</m:t>
              </m:r>
            </m:den>
          </m:f>
          <m:r>
            <m:rPr>
              <m:sty m:val="p"/>
            </m:rPr>
            <m:t>|</m:t>
          </m:r>
          <m:sSubSup>
            <m:sSubSupPr/>
            <m:e>
              <m:r>
                <m:rPr>
                  <m:sty m:val="p"/>
                </m:rPr>
                <m:t>Ψ</m:t>
              </m:r>
            </m:e>
            <m:sub>
              <m:r>
                <m:rPr>
                  <m:sty m:val="p"/>
                </m:rPr>
                <m:t>[</m:t>
              </m:r>
              <m:r>
                <m:rPr/>
                <m:t>AB</m:t>
              </m:r>
              <m:r>
                <m:rPr>
                  <m:sty m:val="p"/>
                </m:rPr>
                <m:t>]</m:t>
              </m:r>
            </m:sub>
            <m:sup>
              <m:r>
                <m:rPr/>
                <m:t>h</m:t>
              </m:r>
              <m:r>
                <m:rPr>
                  <m:sty m:val="p"/>
                </m:rPr>
                <m:t>=±</m:t>
              </m:r>
              <m:r>
                <m:rPr/>
                <m:t>1</m:t>
              </m:r>
            </m:sup>
          </m:sSubSup>
          <m:r>
            <m:rPr>
              <m:sty m:val="p"/>
            </m:rPr>
            <m:t>⟩</m:t>
          </m:r>
        </m:oMath>
      </m:oMathPara>
      <w:r>
        <w:br w:type="textWrapping"/>
      </w:r>
      <w:r>
        <w:rPr>
          <w:rFonts w:hint="eastAsia"/>
        </w:rPr>
        <w:t>这直接给出了费米子的自旋量子数</w:t>
      </w:r>
      <w:r>
        <w:t xml:space="preserve"> </w:t>
      </w:r>
      <m:oMath>
        <m:f>
          <m:fPr/>
          <m:num>
            <m:r>
              <m:rPr/>
              <m:t>1</m:t>
            </m:r>
          </m:num>
          <m:den>
            <m:r>
              <m:rPr/>
              <m:t>2</m:t>
            </m:r>
          </m:den>
        </m:f>
      </m:oMath>
      <w:r>
        <w:t>。</w:t>
      </w:r>
    </w:p>
    <w:p w14:paraId="4AC54569">
      <w:pPr>
        <w:pStyle w:val="26"/>
        <w:numPr>
          <w:ilvl w:val="0"/>
          <w:numId w:val="4"/>
        </w:numPr>
        <w:rPr>
          <w:b/>
          <w:bCs/>
        </w:rPr>
      </w:pPr>
      <w:r>
        <w:rPr>
          <w:rFonts w:hint="eastAsia"/>
          <w:b/>
          <w:bCs/>
        </w:rPr>
        <w:t>粒子自旋的分类解释</w:t>
      </w:r>
    </w:p>
    <w:p w14:paraId="4915EE4D">
      <w:pPr>
        <w:pStyle w:val="4"/>
      </w:pPr>
      <w:r>
        <w:rPr>
          <w:b/>
          <w:bCs/>
        </w:rPr>
        <w:t xml:space="preserve">4.1 </w:t>
      </w:r>
      <w:r>
        <w:rPr>
          <w:rFonts w:hint="eastAsia"/>
          <w:b/>
          <w:bCs/>
        </w:rPr>
        <w:t>费米子（自旋</w:t>
      </w:r>
      <w:r>
        <w:rPr>
          <w:b/>
          <w:bCs/>
        </w:rPr>
        <w:t xml:space="preserve"> </w:t>
      </w:r>
      <m:oMath>
        <m:f>
          <m:fPr>
            <m:ctrlPr>
              <w:rPr>
                <w:rFonts w:ascii="Cambria Math" w:hAnsi="Cambria Math"/>
                <w:b/>
                <w:bCs/>
              </w:rPr>
            </m:ctrlPr>
          </m:fPr>
          <m:num>
            <m:r>
              <m:rPr>
                <m:sty m:val="bi"/>
              </m:rPr>
              <w:rPr>
                <w:rFonts w:hint="default" w:ascii="Cambria Math" w:hAnsi="Cambria Math"/>
              </w:rPr>
              <m:t>1</m:t>
            </m:r>
            <m:ctrlPr>
              <w:rPr>
                <w:rFonts w:ascii="Cambria Math" w:hAnsi="Cambria Math"/>
                <w:b/>
                <w:bCs/>
              </w:rPr>
            </m:ctrlPr>
          </m:num>
          <m:den>
            <m:r>
              <m:rPr>
                <m:sty m:val="bi"/>
              </m:rPr>
              <w:rPr>
                <w:rFonts w:hint="default" w:ascii="Cambria Math" w:hAnsi="Cambria Math"/>
              </w:rPr>
              <m:t>2</m:t>
            </m:r>
            <m:ctrlPr>
              <w:rPr>
                <w:rFonts w:ascii="Cambria Math" w:hAnsi="Cambria Math"/>
                <w:b/>
                <w:bCs/>
              </w:rPr>
            </m:ctrlPr>
          </m:den>
        </m:f>
      </m:oMath>
      <w:r>
        <w:rPr>
          <w:rFonts w:hint="eastAsia"/>
          <w:b/>
          <w:bCs/>
        </w:rPr>
        <w:t>）</w:t>
      </w:r>
    </w:p>
    <w:p w14:paraId="43465B72">
      <w:pPr>
        <w:pStyle w:val="3"/>
      </w:pPr>
      <w:r>
        <w:rPr>
          <w:rFonts w:hint="eastAsia"/>
        </w:rPr>
        <w:t>费米子（如电子</w:t>
      </w:r>
      <w:r>
        <w:t xml:space="preserve"> </w:t>
      </w:r>
      <m:oMath>
        <m:sSup>
          <m:sSupPr/>
          <m:e>
            <m:r>
              <m:rPr/>
              <m:t>e</m:t>
            </m:r>
          </m:e>
          <m:sup>
            <m:r>
              <m:rPr>
                <m:sty m:val="p"/>
              </m:rPr>
              <m:t>−</m:t>
            </m:r>
          </m:sup>
        </m:sSup>
      </m:oMath>
      <w:r>
        <w:rPr>
          <w:rFonts w:hint="eastAsia"/>
        </w:rPr>
        <w:t>）的场组合态为</w:t>
      </w:r>
      <w:r>
        <w:t xml:space="preserve"> </w:t>
      </w:r>
      <m:oMath>
        <m:r>
          <m:rPr>
            <m:sty m:val="p"/>
          </m:rPr>
          <m:t>|</m:t>
        </m:r>
        <m:sSup>
          <m:sSupPr/>
          <m:e>
            <m:r>
              <m:rPr/>
              <m:t>e</m:t>
            </m:r>
          </m:e>
          <m:sup>
            <m:r>
              <m:rPr>
                <m:sty m:val="p"/>
              </m:rPr>
              <m:t>−</m:t>
            </m:r>
          </m:sup>
        </m:sSup>
        <m:r>
          <m:rPr>
            <m:sty m:val="p"/>
          </m:rPr>
          <m:t>⟩=</m:t>
        </m:r>
        <m:r>
          <m:rPr/>
          <m:t>A</m:t>
        </m:r>
        <m:r>
          <m:rPr>
            <m:sty m:val="p"/>
          </m:rPr>
          <m:t>⊗</m:t>
        </m:r>
        <m:sSubSup>
          <m:sSubSupPr/>
          <m:e>
            <m:r>
              <m:rPr/>
              <m:t>B</m:t>
            </m:r>
          </m:e>
          <m:sub>
            <m:r>
              <m:rPr>
                <m:sty m:val="p"/>
              </m:rPr>
              <m:t>−</m:t>
            </m:r>
            <m:r>
              <m:rPr/>
              <m:t>1</m:t>
            </m:r>
          </m:sub>
          <m:sup>
            <m:r>
              <m:rPr/>
              <m:t>n</m:t>
            </m:r>
          </m:sup>
        </m:sSubSup>
        <m:r>
          <m:rPr>
            <m:sty m:val="p"/>
          </m:rPr>
          <m:t>⊗</m:t>
        </m:r>
        <m:sSub>
          <m:sSubPr/>
          <m:e>
            <m:r>
              <m:rPr/>
              <m:t>C</m:t>
            </m:r>
          </m:e>
          <m:sub>
            <m:r>
              <m:rPr/>
              <m:t>e</m:t>
            </m:r>
          </m:sub>
        </m:sSub>
        <m:r>
          <m:rPr>
            <m:sty m:val="p"/>
          </m:rPr>
          <m:t>⟩</m:t>
        </m:r>
      </m:oMath>
      <w:r>
        <w:rPr>
          <w:rFonts w:hint="eastAsia"/>
        </w:rPr>
        <w:t>。其自旋源于一次同步手性激发。该激发是A场和B场作为一个整体，同步进行的一次顺时针或逆时针耦合。</w:t>
      </w:r>
      <w:r>
        <w:br w:type="textWrapping"/>
      </w:r>
      <w:r>
        <w:t xml:space="preserve">* </w:t>
      </w:r>
      <w:r>
        <w:rPr>
          <w:rFonts w:hint="eastAsia"/>
        </w:rPr>
        <w:t>同步顺时针耦合</w:t>
      </w:r>
      <w:r>
        <w:t xml:space="preserve"> (</w:t>
      </w:r>
      <m:oMath>
        <m:r>
          <m:rPr/>
          <m:t>h</m:t>
        </m:r>
        <m:r>
          <m:rPr>
            <m:sty m:val="p"/>
          </m:rPr>
          <m:t>=+</m:t>
        </m:r>
        <m:r>
          <m:rPr/>
          <m:t>1</m:t>
        </m:r>
      </m:oMath>
      <w:r>
        <w:rPr>
          <w:rFonts w:hint="eastAsia"/>
        </w:rPr>
        <w:t>)：</w:t>
      </w:r>
      <w:r>
        <w:t xml:space="preserve"> </w:t>
      </w:r>
      <m:oMath>
        <m:sSub>
          <m:sSubPr/>
          <m:e>
            <m:r>
              <m:rPr/>
              <m:t>s</m:t>
            </m:r>
          </m:e>
          <m:sub>
            <m:r>
              <m:rPr/>
              <m:t>z</m:t>
            </m:r>
          </m:sub>
        </m:sSub>
        <m:r>
          <m:rPr>
            <m:sty m:val="p"/>
          </m:rPr>
          <m:t>=+</m:t>
        </m:r>
        <m:f>
          <m:fPr/>
          <m:num>
            <m:r>
              <m:rPr>
                <m:sty m:val="p"/>
              </m:rPr>
              <m:t>ℏ</m:t>
            </m:r>
          </m:num>
          <m:den>
            <m:r>
              <m:rPr/>
              <m:t>2</m:t>
            </m:r>
          </m:den>
        </m:f>
      </m:oMath>
    </w:p>
    <w:p w14:paraId="1D809024">
      <w:pPr>
        <w:pStyle w:val="26"/>
        <w:numPr>
          <w:ilvl w:val="0"/>
          <w:numId w:val="5"/>
        </w:numPr>
      </w:pPr>
      <w:r>
        <w:rPr>
          <w:rFonts w:hint="eastAsia"/>
        </w:rPr>
        <w:t>同步逆时针耦合</w:t>
      </w:r>
      <w:r>
        <w:t xml:space="preserve"> (</w:t>
      </w:r>
      <m:oMath>
        <m:r>
          <m:rPr/>
          <m:t>h</m:t>
        </m:r>
        <m:r>
          <m:rPr>
            <m:sty m:val="p"/>
          </m:rPr>
          <m:t>=−</m:t>
        </m:r>
        <m:r>
          <m:rPr/>
          <m:t>1</m:t>
        </m:r>
      </m:oMath>
      <w:r>
        <w:rPr>
          <w:rFonts w:hint="eastAsia"/>
        </w:rPr>
        <w:t>)：</w:t>
      </w:r>
      <w:r>
        <w:t xml:space="preserve"> </w:t>
      </w:r>
      <m:oMath>
        <m:sSub>
          <m:sSubPr/>
          <m:e>
            <m:r>
              <m:rPr/>
              <m:t>s</m:t>
            </m:r>
          </m:e>
          <m:sub>
            <m:r>
              <m:rPr/>
              <m:t>z</m:t>
            </m:r>
          </m:sub>
        </m:sSub>
        <m:r>
          <m:rPr>
            <m:sty m:val="p"/>
          </m:rPr>
          <m:t>=−</m:t>
        </m:r>
        <m:f>
          <m:fPr/>
          <m:num>
            <m:r>
              <m:rPr>
                <m:sty m:val="p"/>
              </m:rPr>
              <m:t>ℏ</m:t>
            </m:r>
          </m:num>
          <m:den>
            <m:r>
              <m:rPr/>
              <m:t>2</m:t>
            </m:r>
          </m:den>
        </m:f>
      </m:oMath>
    </w:p>
    <w:p w14:paraId="3281268F">
      <w:pPr>
        <w:pStyle w:val="4"/>
      </w:pPr>
      <w:r>
        <w:rPr>
          <w:rFonts w:hint="eastAsia"/>
        </w:rPr>
        <w:t>物理图像：</w:t>
      </w:r>
      <w:r>
        <w:t xml:space="preserve"> </w:t>
      </w:r>
      <w:r>
        <w:rPr>
          <w:rFonts w:hint="eastAsia"/>
        </w:rPr>
        <w:t>电子的自旋不是“A场转一下贡献一半，B场转一下贡献另一半”，而是“A场和B场步调一致地共同完成一次‘旋转’，这次旋转的角动量是</w:t>
      </w:r>
      <w:r>
        <w:t xml:space="preserve"> </w:t>
      </w:r>
      <m:oMath>
        <m:r>
          <m:rPr>
            <m:sty m:val="p"/>
          </m:rPr>
          <m:t>ℏ/</m:t>
        </m:r>
        <m:r>
          <m:rPr/>
          <m:t>2</m:t>
        </m:r>
      </m:oMath>
      <w:r>
        <w:t>”。</w:t>
      </w:r>
    </w:p>
    <w:p w14:paraId="332AD99C">
      <w:pPr>
        <w:pStyle w:val="3"/>
        <w:rPr>
          <w:b/>
          <w:bCs/>
        </w:rPr>
      </w:pPr>
      <w:r>
        <w:rPr>
          <w:b/>
          <w:bCs/>
        </w:rPr>
        <w:t xml:space="preserve">4.2 </w:t>
      </w:r>
      <w:r>
        <w:rPr>
          <w:rFonts w:hint="eastAsia"/>
          <w:b/>
          <w:bCs/>
        </w:rPr>
        <w:t>玻色子（自旋</w:t>
      </w:r>
      <w:r>
        <w:rPr>
          <w:b/>
          <w:bCs/>
        </w:rPr>
        <w:t xml:space="preserve"> </w:t>
      </w:r>
      <w:r>
        <w:rPr>
          <w:rFonts w:hint="eastAsia"/>
          <w:b/>
          <w:bCs/>
        </w:rPr>
        <w:t>1）</w:t>
      </w:r>
    </w:p>
    <w:p w14:paraId="2FB10F5D">
      <w:pPr>
        <w:pStyle w:val="3"/>
      </w:pPr>
      <w:r>
        <w:rPr>
          <w:rFonts w:hint="eastAsia"/>
        </w:rPr>
        <w:t>玻色子（如光子</w:t>
      </w:r>
      <w:r>
        <w:t xml:space="preserve"> </w:t>
      </w:r>
      <m:oMath>
        <m:r>
          <m:rPr/>
          <m:t>γ</m:t>
        </m:r>
      </m:oMath>
      <w:r>
        <w:rPr>
          <w:rFonts w:hint="eastAsia"/>
        </w:rPr>
        <w:t>）的场组合态为</w:t>
      </w:r>
      <w:r>
        <w:t xml:space="preserve"> </w:t>
      </w:r>
      <m:oMath>
        <m:r>
          <m:rPr>
            <m:sty m:val="p"/>
          </m:rPr>
          <m:t>|</m:t>
        </m:r>
        <m:r>
          <m:rPr/>
          <m:t>γ</m:t>
        </m:r>
        <m:r>
          <m:rPr>
            <m:sty m:val="p"/>
          </m:rPr>
          <m:t>⟩=</m:t>
        </m:r>
        <m:r>
          <m:rPr/>
          <m:t>A</m:t>
        </m:r>
        <m:r>
          <m:rPr>
            <m:sty m:val="p"/>
          </m:rPr>
          <m:t>⊗</m:t>
        </m:r>
        <m:sSubSup>
          <m:sSubSupPr/>
          <m:e>
            <m:r>
              <m:rPr/>
              <m:t>B</m:t>
            </m:r>
          </m:e>
          <m:sub>
            <m:r>
              <m:rPr/>
              <m:t>0</m:t>
            </m:r>
          </m:sub>
          <m:sup>
            <m:r>
              <m:rPr/>
              <m:t>0</m:t>
            </m:r>
          </m:sup>
        </m:sSubSup>
        <m:r>
          <m:rPr>
            <m:sty m:val="p"/>
          </m:rPr>
          <m:t>⊗</m:t>
        </m:r>
        <m:sSub>
          <m:sSubPr/>
          <m:e>
            <m:r>
              <m:rPr/>
              <m:t>C</m:t>
            </m:r>
          </m:e>
          <m:sub>
            <m:r>
              <m:rPr/>
              <m:t>0</m:t>
            </m:r>
          </m:sub>
        </m:sSub>
        <m:r>
          <m:rPr>
            <m:sty m:val="p"/>
          </m:rPr>
          <m:t>⟩</m:t>
        </m:r>
      </m:oMath>
      <w:r>
        <w:rPr>
          <w:rFonts w:hint="eastAsia"/>
        </w:rPr>
        <w:t>。其自旋源于两次平行的同步手性激发。即，A-B协同系统连续进行了两次步调一致的同步耦合，且两次的手性相同（</w:t>
      </w:r>
      <m:oMath>
        <m:sSub>
          <m:sSubPr/>
          <m:e>
            <m:r>
              <m:rPr/>
              <m:t>h</m:t>
            </m:r>
          </m:e>
          <m:sub>
            <m:r>
              <m:rPr/>
              <m:t>1</m:t>
            </m:r>
          </m:sub>
        </m:sSub>
        <m:r>
          <m:rPr>
            <m:sty m:val="p"/>
          </m:rPr>
          <m:t>=</m:t>
        </m:r>
        <m:sSub>
          <m:sSubPr/>
          <m:e>
            <m:r>
              <m:rPr/>
              <m:t>h</m:t>
            </m:r>
          </m:e>
          <m:sub>
            <m:r>
              <m:rPr/>
              <m:t>2</m:t>
            </m:r>
          </m:sub>
        </m:sSub>
        <m:r>
          <m:rPr>
            <m:sty m:val="p"/>
          </m:rPr>
          <m:t>=+</m:t>
        </m:r>
        <m:r>
          <m:rPr/>
          <m:t>1</m:t>
        </m:r>
      </m:oMath>
      <w:r>
        <w:t xml:space="preserve"> </w:t>
      </w:r>
      <w:r>
        <w:rPr>
          <w:rFonts w:hint="eastAsia"/>
        </w:rPr>
        <w:t>或</w:t>
      </w:r>
      <w:r>
        <w:t xml:space="preserve"> </w:t>
      </w:r>
      <m:oMath>
        <m:sSub>
          <m:sSubPr/>
          <m:e>
            <m:r>
              <m:rPr/>
              <m:t>h</m:t>
            </m:r>
          </m:e>
          <m:sub>
            <m:r>
              <m:rPr/>
              <m:t>1</m:t>
            </m:r>
          </m:sub>
        </m:sSub>
        <m:r>
          <m:rPr>
            <m:sty m:val="p"/>
          </m:rPr>
          <m:t>=</m:t>
        </m:r>
        <m:sSub>
          <m:sSubPr/>
          <m:e>
            <m:r>
              <m:rPr/>
              <m:t>h</m:t>
            </m:r>
          </m:e>
          <m:sub>
            <m:r>
              <m:rPr/>
              <m:t>2</m:t>
            </m:r>
          </m:sub>
        </m:sSub>
        <m:r>
          <m:rPr>
            <m:sty m:val="p"/>
          </m:rPr>
          <m:t>=−</m:t>
        </m:r>
        <m:r>
          <m:rPr/>
          <m:t>1</m:t>
        </m:r>
      </m:oMath>
      <w:r>
        <w:rPr>
          <w:rFonts w:hint="eastAsia"/>
        </w:rPr>
        <w:t>）。总角动量为两次激发的叠加：</w:t>
      </w:r>
    </w:p>
    <w:p w14:paraId="3A5C0592">
      <w:pPr>
        <w:pStyle w:val="3"/>
      </w:pPr>
      <m:oMathPara>
        <m:oMathParaPr>
          <m:jc m:val="center"/>
        </m:oMathParaPr>
        <m:oMath>
          <m:sSub>
            <m:sSubPr/>
            <m:e>
              <m:r>
                <m:rPr/>
                <m:t>s</m:t>
              </m:r>
            </m:e>
            <m:sub>
              <m:r>
                <m:rPr/>
                <m:t>z</m:t>
              </m:r>
            </m:sub>
          </m:sSub>
          <m:r>
            <m:rPr>
              <m:sty m:val="p"/>
            </m:rPr>
            <m:t>=</m:t>
          </m:r>
          <m:f>
            <m:fPr/>
            <m:num>
              <m:r>
                <m:rPr>
                  <m:sty m:val="p"/>
                </m:rPr>
                <m:t>ℏ</m:t>
              </m:r>
            </m:num>
            <m:den>
              <m:r>
                <m:rPr/>
                <m:t>2</m:t>
              </m:r>
            </m:den>
          </m:f>
          <m:r>
            <m:rPr>
              <m:sty m:val="p"/>
            </m:rPr>
            <m:t>+</m:t>
          </m:r>
          <m:f>
            <m:fPr/>
            <m:num>
              <m:r>
                <m:rPr>
                  <m:sty m:val="p"/>
                </m:rPr>
                <m:t>ℏ</m:t>
              </m:r>
            </m:num>
            <m:den>
              <m:r>
                <m:rPr/>
                <m:t>2</m:t>
              </m:r>
            </m:den>
          </m:f>
          <m:r>
            <m:rPr>
              <m:sty m:val="p"/>
            </m:rPr>
            <m:t>=+ℏ</m:t>
          </m:r>
          <m:r>
            <m:rPr/>
            <m:t> </m:t>
          </m:r>
          <m:r>
            <m:rPr>
              <m:sty m:val="p"/>
            </m:rPr>
            <m:t>或</m:t>
          </m:r>
          <m:r>
            <m:rPr/>
            <m:t> </m:t>
          </m:r>
          <m:sSub>
            <m:sSubPr/>
            <m:e>
              <m:r>
                <m:rPr/>
                <m:t>s</m:t>
              </m:r>
            </m:e>
            <m:sub>
              <m:r>
                <m:rPr/>
                <m:t>z</m:t>
              </m:r>
            </m:sub>
          </m:sSub>
          <m:r>
            <m:rPr>
              <m:sty m:val="p"/>
            </m:rPr>
            <m:t>=−</m:t>
          </m:r>
          <m:f>
            <m:fPr/>
            <m:num>
              <m:r>
                <m:rPr>
                  <m:sty m:val="p"/>
                </m:rPr>
                <m:t>ℏ</m:t>
              </m:r>
            </m:num>
            <m:den>
              <m:r>
                <m:rPr/>
                <m:t>2</m:t>
              </m:r>
            </m:den>
          </m:f>
          <m:r>
            <m:rPr>
              <m:sty m:val="p"/>
            </m:rPr>
            <m:t>−</m:t>
          </m:r>
          <m:f>
            <m:fPr/>
            <m:num>
              <m:r>
                <m:rPr>
                  <m:sty m:val="p"/>
                </m:rPr>
                <m:t>ℏ</m:t>
              </m:r>
            </m:num>
            <m:den>
              <m:r>
                <m:rPr/>
                <m:t>2</m:t>
              </m:r>
            </m:den>
          </m:f>
          <m:r>
            <m:rPr>
              <m:sty m:val="p"/>
            </m:rPr>
            <m:t>=−ℏ</m:t>
          </m:r>
        </m:oMath>
      </m:oMathPara>
      <w:r>
        <w:br w:type="textWrapping"/>
      </w:r>
      <w:r>
        <w:rPr>
          <w:rFonts w:hint="eastAsia"/>
        </w:rPr>
        <w:t>因此表现为自旋1。</w:t>
      </w:r>
    </w:p>
    <w:p w14:paraId="09100BF9">
      <w:pPr>
        <w:pStyle w:val="3"/>
      </w:pPr>
      <w:r>
        <w:rPr>
          <w:b/>
          <w:bCs/>
        </w:rPr>
        <w:t xml:space="preserve">4.3 </w:t>
      </w:r>
      <w:r>
        <w:rPr>
          <w:rFonts w:hint="eastAsia"/>
          <w:b/>
          <w:bCs/>
        </w:rPr>
        <w:t>希格斯玻色子（自旋</w:t>
      </w:r>
      <w:r>
        <w:rPr>
          <w:b/>
          <w:bCs/>
        </w:rPr>
        <w:t xml:space="preserve"> </w:t>
      </w:r>
      <w:r>
        <w:rPr>
          <w:rFonts w:hint="eastAsia"/>
          <w:b/>
          <w:bCs/>
        </w:rPr>
        <w:t>0）</w:t>
      </w:r>
    </w:p>
    <w:p w14:paraId="754F9BD9">
      <w:pPr>
        <w:pStyle w:val="3"/>
      </w:pPr>
      <w:r>
        <w:rPr>
          <w:rFonts w:hint="eastAsia"/>
        </w:rPr>
        <w:t>希格斯子</w:t>
      </w:r>
      <w:r>
        <w:t xml:space="preserve"> (H) </w:t>
      </w:r>
      <w:r>
        <w:rPr>
          <w:rFonts w:hint="eastAsia"/>
        </w:rPr>
        <w:t>的场组合态为</w:t>
      </w:r>
      <w:r>
        <w:t xml:space="preserve"> </w:t>
      </w:r>
      <m:oMath>
        <m:r>
          <m:rPr>
            <m:sty m:val="p"/>
          </m:rPr>
          <m:t>|</m:t>
        </m:r>
        <m:r>
          <m:rPr/>
          <m:t>H</m:t>
        </m:r>
        <m:r>
          <m:rPr>
            <m:sty m:val="p"/>
          </m:rPr>
          <m:t>⟩=</m:t>
        </m:r>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t>h</m:t>
            </m:r>
          </m:sub>
        </m:sSub>
        <m:r>
          <m:rPr>
            <m:sty m:val="p"/>
          </m:rPr>
          <m:t>⟩</m:t>
        </m:r>
      </m:oMath>
      <w:r>
        <w:rPr>
          <w:rFonts w:hint="eastAsia"/>
        </w:rPr>
        <w:t>。关键点在于</w:t>
      </w:r>
      <w:r>
        <w:t xml:space="preserve"> </w:t>
      </w:r>
      <m:oMath>
        <m:sSub>
          <m:sSubPr/>
          <m:e>
            <m:r>
              <m:rPr/>
              <m:t>A</m:t>
            </m:r>
          </m:e>
          <m:sub>
            <m:r>
              <m:rPr/>
              <m:t>0</m:t>
            </m:r>
          </m:sub>
        </m:sSub>
      </m:oMath>
      <w:r>
        <w:t xml:space="preserve"> </w:t>
      </w:r>
      <w:r>
        <w:rPr>
          <w:rFonts w:hint="eastAsia"/>
        </w:rPr>
        <w:t>和</w:t>
      </w:r>
      <w:r>
        <w:t xml:space="preserve"> </w:t>
      </w:r>
      <m:oMath>
        <m:sSubSup>
          <m:sSubSupPr/>
          <m:e>
            <m:r>
              <m:rPr/>
              <m:t>B</m:t>
            </m:r>
          </m:e>
          <m:sub>
            <m:r>
              <m:rPr/>
              <m:t>0</m:t>
            </m:r>
          </m:sub>
          <m:sup>
            <m:r>
              <m:rPr/>
              <m:t>0</m:t>
            </m:r>
          </m:sup>
        </m:sSubSup>
      </m:oMath>
      <w:r>
        <w:rPr>
          <w:rFonts w:hint="eastAsia"/>
        </w:rPr>
        <w:t>，这表示其A场和B场均处于基态，没有发生任何同步手性激发。因此，希格斯子的A-B协同系统处于角动量为零的基态。</w:t>
      </w:r>
    </w:p>
    <w:p w14:paraId="74F37FE5">
      <w:pPr>
        <w:pStyle w:val="3"/>
      </w:pPr>
      <m:oMathPara>
        <m:oMathParaPr>
          <m:jc m:val="center"/>
        </m:oMathParaPr>
        <m:oMath>
          <m:sSub>
            <m:sSubPr/>
            <m:e>
              <m:acc>
                <m:accPr/>
                <m:e>
                  <m:r>
                    <m:rPr/>
                    <m:t>J</m:t>
                  </m:r>
                </m:e>
              </m:acc>
            </m:e>
            <m:sub>
              <m:r>
                <m:rPr>
                  <m:sty m:val="p"/>
                </m:rPr>
                <m:t>[</m:t>
              </m:r>
              <m:r>
                <m:rPr/>
                <m:t>AB</m:t>
              </m:r>
              <m:r>
                <m:rPr>
                  <m:sty m:val="p"/>
                </m:rPr>
                <m:t>]</m:t>
              </m:r>
            </m:sub>
          </m:sSub>
          <m:r>
            <m:rPr>
              <m:sty m:val="p"/>
            </m:rPr>
            <m:t>|</m:t>
          </m:r>
          <m:r>
            <m:rPr/>
            <m:t>H</m:t>
          </m:r>
          <m:r>
            <m:rPr>
              <m:sty m:val="p"/>
            </m:rPr>
            <m:t>⟩=</m:t>
          </m:r>
          <m:r>
            <m:rPr/>
            <m:t>0</m:t>
          </m:r>
          <m:r>
            <m:rPr>
              <m:sty m:val="p"/>
            </m:rPr>
            <m:t>⋅|</m:t>
          </m:r>
          <m:r>
            <m:rPr/>
            <m:t>H</m:t>
          </m:r>
          <m:r>
            <m:rPr>
              <m:sty m:val="p"/>
            </m:rPr>
            <m:t>⟩</m:t>
          </m:r>
        </m:oMath>
      </m:oMathPara>
      <w:r>
        <w:br w:type="textWrapping"/>
      </w:r>
      <w:r>
        <w:rPr>
          <w:rFonts w:hint="eastAsia"/>
        </w:rPr>
        <w:t>其角动量完全由标量场</w:t>
      </w:r>
      <w:r>
        <w:t xml:space="preserve"> </w:t>
      </w:r>
      <m:oMath>
        <m:sSub>
          <m:sSubPr/>
          <m:e>
            <m:r>
              <m:rPr/>
              <m:t>C</m:t>
            </m:r>
          </m:e>
          <m:sub>
            <m:r>
              <m:rPr/>
              <m:t>h</m:t>
            </m:r>
          </m:sub>
        </m:sSub>
      </m:oMath>
      <w:r>
        <w:t xml:space="preserve"> </w:t>
      </w:r>
      <w:r>
        <w:rPr>
          <w:rFonts w:hint="eastAsia"/>
        </w:rPr>
        <w:t>贡献，而标量场激发角动量为零。故其自旋为零。</w:t>
      </w:r>
    </w:p>
    <w:p w14:paraId="6DBED178">
      <w:pPr>
        <w:pStyle w:val="26"/>
        <w:numPr>
          <w:ilvl w:val="0"/>
          <w:numId w:val="6"/>
        </w:numPr>
        <w:rPr>
          <w:b/>
          <w:bCs/>
        </w:rPr>
      </w:pPr>
      <w:r>
        <w:rPr>
          <w:rFonts w:hint="eastAsia"/>
          <w:b/>
          <w:bCs/>
        </w:rPr>
        <w:t>结论与展望</w:t>
      </w:r>
    </w:p>
    <w:p w14:paraId="64D040C5">
      <w:pPr>
        <w:pStyle w:val="4"/>
      </w:pPr>
      <w:r>
        <w:rPr>
          <w:rFonts w:hint="eastAsia"/>
        </w:rPr>
        <w:t>本文建立了粒子自旋的协同耦合起源理论，成功地将自旋的起源归结为场组合中两个矢量场（A场和B场）作为一个整体进行的同步手性激发。这一模型清晰地表明：</w:t>
      </w:r>
      <w:r>
        <w:br w:type="textWrapping"/>
      </w:r>
      <w:r>
        <w:t xml:space="preserve">1. </w:t>
      </w:r>
      <w:r>
        <w:rPr>
          <w:rFonts w:hint="eastAsia"/>
        </w:rPr>
        <w:t>自旋的量子化</w:t>
      </w:r>
      <w:r>
        <w:t xml:space="preserve"> </w:t>
      </w:r>
      <w:r>
        <w:rPr>
          <w:rFonts w:hint="eastAsia"/>
        </w:rPr>
        <w:t>源于同步耦合这一基本动作的量子化。</w:t>
      </w:r>
      <w:r>
        <w:br w:type="textWrapping"/>
      </w:r>
      <w:r>
        <w:t xml:space="preserve">2. </w:t>
      </w:r>
      <w:r>
        <w:rPr>
          <w:rFonts w:hint="eastAsia"/>
        </w:rPr>
        <w:t>自旋的差异</w:t>
      </w:r>
      <w:r>
        <w:t xml:space="preserve"> </w:t>
      </w:r>
      <w:r>
        <w:rPr>
          <w:rFonts w:hint="eastAsia"/>
        </w:rPr>
        <w:t>源于协同系统进行同步激发的“次数”和“手性”的不同。</w:t>
      </w:r>
      <w:r>
        <w:br w:type="textWrapping"/>
      </w:r>
      <w:r>
        <w:t xml:space="preserve">3. </w:t>
      </w:r>
      <w:r>
        <w:rPr>
          <w:rFonts w:hint="eastAsia"/>
        </w:rPr>
        <w:t>希格斯子的特殊性</w:t>
      </w:r>
      <w:r>
        <w:t xml:space="preserve"> </w:t>
      </w:r>
      <w:r>
        <w:rPr>
          <w:rFonts w:hint="eastAsia"/>
        </w:rPr>
        <w:t>得到自然解释：因其协同系统处于未激发的基态。</w:t>
      </w:r>
    </w:p>
    <w:p w14:paraId="489AD43B">
      <w:pPr>
        <w:pStyle w:val="3"/>
      </w:pPr>
      <w:r>
        <w:rPr>
          <w:rFonts w:hint="eastAsia"/>
        </w:rPr>
        <w:t>本理论为最终统一理解粒子的基本属性提供了坚实而清晰的物理图像。</w:t>
      </w:r>
    </w:p>
    <w:p w14:paraId="52D32175">
      <w:pPr>
        <w:pStyle w:val="3"/>
      </w:pPr>
      <w:bookmarkStart w:id="0" w:name="_GoBack"/>
      <w:r>
        <w:rPr>
          <w:rFonts w:hint="eastAsia"/>
          <w:b/>
          <w:bCs/>
        </w:rPr>
        <w:t>参考文献</w:t>
      </w:r>
      <w:r>
        <w:rPr>
          <w:b/>
          <w:bCs/>
        </w:rPr>
        <w:br w:type="textWrapping"/>
      </w:r>
      <w:bookmarkEnd w:id="0"/>
      <w:r>
        <w:t>[1] Weinberg, S. The Quantum Theory of Fields, Vol. 1. Cambridge University Press (1995).</w:t>
      </w:r>
      <w:r>
        <w:br w:type="textWrapping"/>
      </w:r>
      <w:r>
        <w:t xml:space="preserve">[2] Penrose, R. The Road to Reality. Vintage Books (2007). </w:t>
      </w:r>
      <w:r>
        <w:rPr>
          <w:rFonts w:hint="eastAsia"/>
        </w:rPr>
        <w:t>(关于时空与旋量的几何观点)</w:t>
      </w:r>
      <w:r>
        <w:br w:type="textWrapping"/>
      </w:r>
      <w:r>
        <w:t>[3] Li, Z. J., Zhao, G. Y. Field Combination Theory and the Unification of Fundamental Interactions. Preprint (2023).</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0"/>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2CDA5A2B"/>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1987</Words>
  <Characters>2326</Characters>
  <Lines>30</Lines>
  <Paragraphs>8</Paragraphs>
  <TotalTime>73</TotalTime>
  <ScaleCrop>false</ScaleCrop>
  <LinksUpToDate>false</LinksUpToDate>
  <CharactersWithSpaces>2426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2025-11-07T09:15:00Z</dcterms:created>
  <dc:creator>迈斯纳效应</dc:creator>
  <cp:lastModifiedBy>迈斯纳效应</cp:lastModifiedBy>
  <dcterms:modified xsi:type="dcterms:W3CDTF">2025-11-07T09:18:42Z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E3E65A8750C14A7C8ED4D019B9232A22_12</vt:lpwstr>
  </property>
</Properties>
</file>