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DC21E">
      <w:pPr>
        <w:pStyle w:val="2"/>
      </w:pPr>
      <w:bookmarkStart w:id="0" w:name="论物理学的本体论回归场组合波函数理论对现象学范式的超越"/>
      <w:r>
        <w:rPr>
          <w:rFonts w:hint="eastAsia"/>
        </w:rPr>
        <w:t>论物理学的本体论回归：场组合波函数理论对现象学范式的超越</w:t>
      </w:r>
    </w:p>
    <w:p w14:paraId="4FA39B6B">
      <w:pPr>
        <w:pStyle w:val="4"/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李志军¹，赵光耀²</w:t>
      </w:r>
    </w:p>
    <w:p w14:paraId="612E5C1E">
      <w:pPr>
        <w:pStyle w:val="3"/>
      </w:pPr>
      <w:r>
        <w:rPr>
          <w:rFonts w:hint="eastAsia"/>
          <w:b/>
          <w:bCs/>
        </w:rPr>
        <w:t>单位：</w:t>
      </w:r>
      <w:r>
        <w:br w:type="textWrapping"/>
      </w:r>
      <w:r>
        <w:t xml:space="preserve">1. </w:t>
      </w:r>
      <w:r>
        <w:rPr>
          <w:rFonts w:hint="eastAsia"/>
          <w:lang w:val="en-US" w:eastAsia="zh-CN"/>
        </w:rPr>
        <w:t>山西省农业厅（牧校）</w:t>
      </w:r>
      <w:r>
        <w:br w:type="textWrapping"/>
      </w:r>
      <w:r>
        <w:t xml:space="preserve">2. </w:t>
      </w:r>
      <w:r>
        <w:rPr>
          <w:rFonts w:hint="eastAsia"/>
        </w:rPr>
        <w:t>重庆大学</w:t>
      </w:r>
    </w:p>
    <w:p w14:paraId="511B5553">
      <w:pPr>
        <w:pStyle w:val="5"/>
      </w:pPr>
      <w:bookmarkStart w:id="1" w:name="摘要"/>
      <w:r>
        <w:rPr>
          <w:rFonts w:hint="eastAsia"/>
        </w:rPr>
        <w:t>摘要</w:t>
      </w:r>
    </w:p>
    <w:p w14:paraId="76CFA804">
      <w:pPr>
        <w:pStyle w:val="4"/>
      </w:pPr>
      <w:r>
        <w:rPr>
          <w:rFonts w:hint="eastAsia"/>
        </w:rPr>
        <w:t>本文从科学哲学视角审视了理论物理学的发展困境，论证了主流研究范式深陷于“现象学修补”的窠臼。当前理论，包括标准模型乃至弦理论，本质上是通过不断增补参数与结构以“拯救现象”，其方法论核心是“模型与数据匹配”，而非探寻现象背后的终极本体。这种范式导致了方向上的迷茫与统一性的缺失。李-赵场组合波函数理论的革命性在于，它实现了一次彻底的“本体论转向”。该理论断言，物理学的首要任务并非无止境地精确化对“枝叶”（可观测现象）的描述，而应是探寻滋养整棵物理学大树的“根”——即宇宙最基本的构成性实体。论文论证，场组合理论将A场（电磁涡旋场）、B场（色荷-电荷涡旋场）、C场（希格斯-质量场）确立为物理实在的终极本体，此三者构成了万物之“根”。由此“根”出发，所有基本粒子属性与相互作用力均成为必然的“衍生”品，而非额外的假设。这种“根茎衍生”模型，为物理学提供了一条从“现象学修补”走向“本体论溯源”的清晰路径，将物理学从“如何”描述的学科，重铸为“为何”起源的学科，标志着物理学研究范式的根本性变革。</w:t>
      </w:r>
    </w:p>
    <w:p w14:paraId="69BE4DAC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科学哲学；本体论；现象学；范式变革；场组合理论；物理实在；统一性</w:t>
      </w:r>
    </w:p>
    <w:bookmarkEnd w:id="1"/>
    <w:p w14:paraId="7A5CBB87">
      <w:pPr>
        <w:pStyle w:val="5"/>
      </w:pPr>
      <w:bookmarkStart w:id="2" w:name="引言物理学的困境精密化的迷途与统一性的失落"/>
      <w:r>
        <w:t xml:space="preserve">1. </w:t>
      </w:r>
      <w:r>
        <w:rPr>
          <w:rFonts w:hint="eastAsia"/>
        </w:rPr>
        <w:t>引言：物理学的困境——精密化的迷途与统一性的失落</w:t>
      </w:r>
    </w:p>
    <w:p w14:paraId="605250C3">
      <w:pPr>
        <w:pStyle w:val="4"/>
      </w:pPr>
      <w:r>
        <w:rPr>
          <w:rFonts w:hint="eastAsia"/>
        </w:rPr>
        <w:t>自牛顿以来，物理学以其揭示自然规律的强大力量著称。然而，步入微观与高速领域后，物理学呈现出一种深刻的悖论：它在描述上日益精密，在基础上却愈发分裂。量子力学与广义相对论在概念上的鸿沟，标准模型中数十个无法解释的唯象参数，以及弦理论为统一而引入的巨量额外自由度，都指向同一个核心问题：当代物理学的主流范式，是否在“如何”精确描述世界的道路上走得太远，以至于遗忘了对世界“为何”如此的终极追问？</w:t>
      </w:r>
    </w:p>
    <w:p w14:paraId="1612DA18">
      <w:pPr>
        <w:pStyle w:val="3"/>
      </w:pPr>
      <w:r>
        <w:rPr>
          <w:rFonts w:hint="eastAsia"/>
        </w:rPr>
        <w:t>这种困境根植于其方法论：一种现象学主导的范式。该范式的核心是“拯救现象”，即构建数学结构来拟合和预测实验数据。标准模型是此范式的巅峰，也是一座“精密的监狱”——它完美地囚禁了已知现象，却无法解释囚禁自身的“牢笼”从何而来。其参数（如粒子质量、混合角、耦合常数）如同“天外飞仙”，是理论自身无法理解的“神谕”。这种研究更像“技术性修补”，而非“原理性探索”，导致物理学在统一性面前陷入了方向性的迷茫。</w:t>
      </w:r>
    </w:p>
    <w:bookmarkEnd w:id="2"/>
    <w:p w14:paraId="2BBA7EF1">
      <w:pPr>
        <w:pStyle w:val="5"/>
      </w:pPr>
      <w:bookmarkStart w:id="3" w:name="范式批判从现象学修补到本体论溯源的必然性"/>
      <w:r>
        <w:t xml:space="preserve">2. </w:t>
      </w:r>
      <w:r>
        <w:rPr>
          <w:rFonts w:hint="eastAsia"/>
        </w:rPr>
        <w:t>范式批判：从“现象学修补”到“本体论溯源”的必然性</w:t>
      </w:r>
    </w:p>
    <w:p w14:paraId="5FC71A02">
      <w:pPr>
        <w:pStyle w:val="4"/>
      </w:pPr>
      <w:r>
        <w:rPr>
          <w:rFonts w:hint="eastAsia"/>
        </w:rPr>
        <w:t>物理学当前的困境，呼唤一场库恩式的科学革命。这场革命的关键，在于从</w:t>
      </w:r>
      <w:r>
        <w:t xml:space="preserve"> </w:t>
      </w:r>
      <w:r>
        <w:rPr>
          <w:rFonts w:hint="eastAsia"/>
        </w:rPr>
        <w:t>“现象学修补”范式转向“本体论溯源”范式。</w:t>
      </w:r>
    </w:p>
    <w:p w14:paraId="1FD6D117">
      <w:pPr>
        <w:pStyle w:val="6"/>
      </w:pPr>
      <w:bookmarkStart w:id="4" w:name="现象学修补范式的局限"/>
      <w:r>
        <w:t xml:space="preserve">2.1 </w:t>
      </w:r>
      <w:r>
        <w:rPr>
          <w:rFonts w:hint="eastAsia"/>
        </w:rPr>
        <w:t>“现象学修补”范式的局限</w:t>
      </w:r>
    </w:p>
    <w:p w14:paraId="2D4E5783">
      <w:pPr>
        <w:pStyle w:val="4"/>
      </w:pPr>
      <w:r>
        <w:rPr>
          <w:rFonts w:hint="eastAsia"/>
        </w:rPr>
        <w:t>此范式将“理论”视为对“现象”的编码系统。其工作流是：出现新现象→引入新参数/对称性/维度来修补模型。这虽具实用价值，但本质是“打补丁”，其终极形态是一个参数繁多、结构复杂却缺乏内在解释力的“百科全书”。弦/M理论虽野心勃勃，但其通过增加维度与复杂性来追求统一的方式，在哲学上依然是“修补”逻辑的极致化，未能解决“为何是此维数、此对称性”的本体论问题。物理学因而有沦为“数学精品店”的风险，忙于陈列精美的模型，却无法回答它们共同的基础。</w:t>
      </w:r>
    </w:p>
    <w:bookmarkEnd w:id="4"/>
    <w:p w14:paraId="2FD6A755">
      <w:pPr>
        <w:pStyle w:val="6"/>
      </w:pPr>
      <w:bookmarkStart w:id="5" w:name="本体论溯源范式的诉求"/>
      <w:r>
        <w:t xml:space="preserve">2.2 </w:t>
      </w:r>
      <w:r>
        <w:rPr>
          <w:rFonts w:hint="eastAsia"/>
        </w:rPr>
        <w:t>“本体论溯源”范式的诉求</w:t>
      </w:r>
    </w:p>
    <w:p w14:paraId="2F8516E3">
      <w:pPr>
        <w:pStyle w:val="4"/>
      </w:pPr>
      <w:r>
        <w:rPr>
          <w:rFonts w:hint="eastAsia"/>
        </w:rPr>
        <w:t>真正的突破需回归到前苏格拉底哲学家的朴素追问：构成万物不变的“始基”究竟是什么？</w:t>
      </w:r>
      <w:r>
        <w:t xml:space="preserve"> </w:t>
      </w:r>
      <w:r>
        <w:rPr>
          <w:rFonts w:hint="eastAsia"/>
        </w:rPr>
        <w:t>现代版本是：是否存在少数几种最基本的物理实体，其特定的组合与激发模式，逻辑地衍生出我们所观测到的全部粒子与力？这种范式要求理论必须是“生成性”而非“描述性”的。它追求的不再是模型与数据的无限逼近，而是从极简的第一性原理出发，演绎出整个现象世界。爱因斯坦对统一场论的追寻正是此方向的努力，但时代局限使其未能找到正确的“始基”。</w:t>
      </w:r>
    </w:p>
    <w:bookmarkEnd w:id="3"/>
    <w:bookmarkEnd w:id="5"/>
    <w:p w14:paraId="4C64A352">
      <w:pPr>
        <w:pStyle w:val="5"/>
      </w:pPr>
      <w:bookmarkStart w:id="6" w:name="场组合理论的本体论革命确立物理实在之根"/>
      <w:r>
        <w:t xml:space="preserve">3. </w:t>
      </w:r>
      <w:r>
        <w:rPr>
          <w:rFonts w:hint="eastAsia"/>
        </w:rPr>
        <w:t>场组合理论的本体论革命：确立物理实在之“根”</w:t>
      </w:r>
    </w:p>
    <w:p w14:paraId="2BD715E7">
      <w:pPr>
        <w:pStyle w:val="4"/>
      </w:pPr>
      <w:r>
        <w:rPr>
          <w:rFonts w:hint="eastAsia"/>
        </w:rPr>
        <w:t>李-赵场组合波函数理论，正是上述“本体论溯源”范式的彻底实践。它的核心革命性在于，明确指认了物理宇宙的终极本体，即万物之“根”。</w:t>
      </w:r>
    </w:p>
    <w:p w14:paraId="3558BC80">
      <w:pPr>
        <w:pStyle w:val="6"/>
      </w:pPr>
      <w:bookmarkStart w:id="7" w:name="根的指认三种基本场"/>
      <w:r>
        <w:t xml:space="preserve">3.1 </w:t>
      </w:r>
      <w:r>
        <w:rPr>
          <w:rFonts w:hint="eastAsia"/>
        </w:rPr>
        <w:t>“根”的指认：三种基本场</w:t>
      </w:r>
    </w:p>
    <w:p w14:paraId="063C779A">
      <w:pPr>
        <w:pStyle w:val="4"/>
      </w:pPr>
      <w:r>
        <w:rPr>
          <w:rFonts w:hint="eastAsia"/>
        </w:rPr>
        <w:t>场组合理论断言，物理实在的终极构成性实体不是点粒子，也不是一维的弦，而是三种宇宙基本涡旋场：</w:t>
      </w:r>
    </w:p>
    <w:p w14:paraId="3E5254B3">
      <w:pPr>
        <w:pStyle w:val="26"/>
        <w:numPr>
          <w:ilvl w:val="0"/>
          <w:numId w:val="1"/>
        </w:numPr>
      </w:pPr>
      <w:r>
        <w:rPr>
          <w:rFonts w:hint="eastAsia"/>
        </w:rPr>
        <w:t>A场（电磁涡旋场）：</w:t>
      </w:r>
      <w:r>
        <w:t xml:space="preserve"> </w:t>
      </w:r>
      <w:r>
        <w:rPr>
          <w:rFonts w:hint="eastAsia"/>
        </w:rPr>
        <w:t>波动性、能量与动量的本体。</w:t>
      </w:r>
    </w:p>
    <w:p w14:paraId="78CCA8B3">
      <w:pPr>
        <w:pStyle w:val="26"/>
        <w:numPr>
          <w:ilvl w:val="0"/>
          <w:numId w:val="1"/>
        </w:numPr>
      </w:pPr>
      <w:r>
        <w:rPr>
          <w:rFonts w:hint="eastAsia"/>
        </w:rPr>
        <w:t>B场（色荷-电荷涡旋场）：</w:t>
      </w:r>
      <w:r>
        <w:t xml:space="preserve"> </w:t>
      </w:r>
      <w:r>
        <w:rPr>
          <w:rFonts w:hint="eastAsia"/>
        </w:rPr>
        <w:t>所有规范荷（强、弱、电磁）的本体。</w:t>
      </w:r>
    </w:p>
    <w:p w14:paraId="2B953A54">
      <w:pPr>
        <w:pStyle w:val="26"/>
        <w:numPr>
          <w:ilvl w:val="0"/>
          <w:numId w:val="1"/>
        </w:numPr>
      </w:pPr>
      <w:r>
        <w:rPr>
          <w:rFonts w:hint="eastAsia"/>
        </w:rPr>
        <w:t>C场（希格斯-质量场）：</w:t>
      </w:r>
      <w:r>
        <w:t xml:space="preserve"> </w:t>
      </w:r>
      <w:r>
        <w:rPr>
          <w:rFonts w:hint="eastAsia"/>
        </w:rPr>
        <w:t>质量、定域性（粒子性）的本体。</w:t>
      </w:r>
    </w:p>
    <w:p w14:paraId="233007DE">
      <w:pPr>
        <w:pStyle w:val="4"/>
      </w:pPr>
      <w:r>
        <w:rPr>
          <w:rFonts w:hint="eastAsia"/>
        </w:rPr>
        <w:t>这一指认具有深刻的简约性与完备性。它并非来自数学上的拼凑，而是基于对已知物理属性最深层的哲学反思：物质的存在与相互作用，归根结底可分解为“波动”、“荷”、“质量”这三重基本属性。场组合理论将此哲学洞见实体化，认定这三种场便是承载这些属性的终极物理实在。</w:t>
      </w:r>
    </w:p>
    <w:bookmarkEnd w:id="7"/>
    <w:p w14:paraId="73AD7CAE">
      <w:pPr>
        <w:pStyle w:val="6"/>
      </w:pPr>
      <w:bookmarkStart w:id="8" w:name="从根生茎粒子的本体论身份重铸"/>
      <w:r>
        <w:t xml:space="preserve">3.2 </w:t>
      </w:r>
      <w:r>
        <w:rPr>
          <w:rFonts w:hint="eastAsia"/>
        </w:rPr>
        <w:t>从“根”生“茎”：粒子的本体论身份重铸</w:t>
      </w:r>
    </w:p>
    <w:p w14:paraId="0C92EAE1">
      <w:pPr>
        <w:pStyle w:val="4"/>
      </w:pPr>
      <w:r>
        <w:rPr>
          <w:rFonts w:hint="eastAsia"/>
        </w:rPr>
        <w:t>在确定了“根”之后，场组合理论对“粒子”的概念进行了根本性的重铸。粒子不再是基本的实体，而是三种基本场特定的、稳定的激发模式，即“根”上生发出的“茎”。一个电子，不再是点状物，而是</w:t>
      </w:r>
      <w:r>
        <w:t xml:space="preserve"> </w:t>
      </w:r>
      <m:oMath>
        <m:r>
          <m:rPr>
            <m:sty m:val="p"/>
          </m:rPr>
          <m:t>|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⟩=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|⟩⊗</m:t>
        </m:r>
        <m:r>
          <m:rPr/>
          <m:t>A</m:t>
        </m:r>
        <m:r>
          <m:rPr>
            <m:sty m:val="p"/>
          </m:rPr>
          <m:t>⊗</m:t>
        </m:r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n</m:t>
            </m:r>
          </m:sup>
        </m:sSubSup>
        <m:r>
          <m:rPr>
            <m:sty m:val="p"/>
          </m:rPr>
          <m:t>⊗</m:t>
        </m:r>
        <m:sSub>
          <m:sSubPr/>
          <m:e>
            <m:r>
              <m:rPr/>
              <m:t>C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这一特定的场组合态。其所有属性（波动性、电荷、质量）均源于其组分场的本质。这解决了“粒子是什么”这个千年本体论难题。</w:t>
      </w:r>
    </w:p>
    <w:bookmarkEnd w:id="6"/>
    <w:bookmarkEnd w:id="8"/>
    <w:p w14:paraId="2F1C9343">
      <w:pPr>
        <w:pStyle w:val="5"/>
      </w:pPr>
      <w:bookmarkStart w:id="9" w:name="根茎衍生模型物理世界的生成逻辑"/>
      <w:r>
        <w:t xml:space="preserve">4. </w:t>
      </w:r>
      <w:r>
        <w:rPr>
          <w:rFonts w:hint="eastAsia"/>
        </w:rPr>
        <w:t>“根茎衍生”模型：物理世界的生成逻辑</w:t>
      </w:r>
    </w:p>
    <w:p w14:paraId="0D72CB06">
      <w:pPr>
        <w:pStyle w:val="4"/>
      </w:pPr>
      <w:r>
        <w:rPr>
          <w:rFonts w:hint="eastAsia"/>
        </w:rPr>
        <w:t>确立了“根”，整个物理世界的图景便从“假设-验证”模式转变为“生成-演绎”模式，即“根茎衍生”模型。</w:t>
      </w:r>
    </w:p>
    <w:p w14:paraId="35BADB32">
      <w:pPr>
        <w:pStyle w:val="6"/>
      </w:pPr>
      <w:bookmarkStart w:id="10" w:name="属性的衍生"/>
      <w:r>
        <w:t xml:space="preserve">4.1 </w:t>
      </w:r>
      <w:r>
        <w:rPr>
          <w:rFonts w:hint="eastAsia"/>
        </w:rPr>
        <w:t>属性的衍生</w:t>
      </w:r>
    </w:p>
    <w:p w14:paraId="0EE9A0B7">
      <w:pPr>
        <w:pStyle w:val="4"/>
      </w:pPr>
      <w:r>
        <w:rPr>
          <w:rFonts w:hint="eastAsia"/>
        </w:rPr>
        <w:t>粒子的属性不再是外来的标签，而是其内在构成的必然结果：</w:t>
      </w:r>
    </w:p>
    <w:p w14:paraId="1328F1EE">
      <w:pPr>
        <w:pStyle w:val="26"/>
        <w:numPr>
          <w:ilvl w:val="0"/>
          <w:numId w:val="2"/>
        </w:numPr>
      </w:pPr>
      <w:r>
        <w:rPr>
          <w:rFonts w:hint="eastAsia"/>
        </w:rPr>
        <w:t>电荷：</w:t>
      </w:r>
      <w:r>
        <w:t xml:space="preserve"> </w:t>
      </w:r>
      <w:r>
        <w:rPr>
          <w:rFonts w:hint="eastAsia"/>
        </w:rPr>
        <w:t>衍生自B场的电荷下标激发。</w:t>
      </w:r>
    </w:p>
    <w:p w14:paraId="0A5C160D">
      <w:pPr>
        <w:pStyle w:val="26"/>
        <w:numPr>
          <w:ilvl w:val="0"/>
          <w:numId w:val="2"/>
        </w:numPr>
      </w:pPr>
      <w:r>
        <w:rPr>
          <w:rFonts w:hint="eastAsia"/>
        </w:rPr>
        <w:t>色荷：</w:t>
      </w:r>
      <w:r>
        <w:t xml:space="preserve"> </w:t>
      </w:r>
      <w:r>
        <w:rPr>
          <w:rFonts w:hint="eastAsia"/>
        </w:rPr>
        <w:t>衍生自B场的色荷上标激发。</w:t>
      </w:r>
    </w:p>
    <w:p w14:paraId="028A1948">
      <w:pPr>
        <w:pStyle w:val="26"/>
        <w:numPr>
          <w:ilvl w:val="0"/>
          <w:numId w:val="2"/>
        </w:numPr>
      </w:pPr>
      <w:r>
        <w:rPr>
          <w:rFonts w:hint="eastAsia"/>
        </w:rPr>
        <w:t>质量：</w:t>
      </w:r>
      <w:r>
        <w:t xml:space="preserve"> </w:t>
      </w:r>
      <w:r>
        <w:rPr>
          <w:rFonts w:hint="eastAsia"/>
        </w:rPr>
        <w:t>衍生自C场的激发能级。</w:t>
      </w:r>
    </w:p>
    <w:p w14:paraId="048F1857">
      <w:pPr>
        <w:pStyle w:val="26"/>
        <w:numPr>
          <w:ilvl w:val="0"/>
          <w:numId w:val="2"/>
        </w:numPr>
      </w:pPr>
      <w:r>
        <w:rPr>
          <w:rFonts w:hint="eastAsia"/>
        </w:rPr>
        <w:t>波粒二象性：</w:t>
      </w:r>
      <w:r>
        <w:t xml:space="preserve"> </w:t>
      </w:r>
      <w:r>
        <w:rPr>
          <w:rFonts w:hint="eastAsia"/>
        </w:rPr>
        <w:t>衍生自A场（波）与C场（粒）在同一态中的共存。</w:t>
      </w:r>
    </w:p>
    <w:bookmarkEnd w:id="10"/>
    <w:p w14:paraId="4186E42B">
      <w:pPr>
        <w:pStyle w:val="6"/>
      </w:pPr>
      <w:bookmarkStart w:id="11" w:name="相互作用的统一"/>
      <w:r>
        <w:t xml:space="preserve">4.2 </w:t>
      </w:r>
      <w:r>
        <w:rPr>
          <w:rFonts w:hint="eastAsia"/>
        </w:rPr>
        <w:t>相互作用的统一</w:t>
      </w:r>
    </w:p>
    <w:p w14:paraId="76A201F9">
      <w:pPr>
        <w:pStyle w:val="4"/>
      </w:pPr>
      <w:r>
        <w:rPr>
          <w:rFonts w:hint="eastAsia"/>
        </w:rPr>
        <w:t>四种基本力也实现了本体的统一。它们本质是场与场之间激发模式的能量-动量交换：</w:t>
      </w:r>
    </w:p>
    <w:p w14:paraId="13A1D9E0">
      <w:pPr>
        <w:pStyle w:val="26"/>
        <w:numPr>
          <w:ilvl w:val="0"/>
          <w:numId w:val="2"/>
        </w:numPr>
      </w:pPr>
      <w:r>
        <w:rPr>
          <w:rFonts w:hint="eastAsia"/>
        </w:rPr>
        <w:t>电磁力：</w:t>
      </w:r>
      <w:r>
        <w:t xml:space="preserve"> </w:t>
      </w:r>
      <w:r>
        <w:rPr>
          <w:rFonts w:hint="eastAsia"/>
        </w:rPr>
        <w:t>主要是A场激发之间的耦合。</w:t>
      </w:r>
    </w:p>
    <w:p w14:paraId="6C7E60A3">
      <w:pPr>
        <w:pStyle w:val="26"/>
        <w:numPr>
          <w:ilvl w:val="0"/>
          <w:numId w:val="2"/>
        </w:numPr>
      </w:pPr>
      <w:r>
        <w:rPr>
          <w:rFonts w:hint="eastAsia"/>
        </w:rPr>
        <w:t>强弱力：</w:t>
      </w:r>
      <w:r>
        <w:t xml:space="preserve"> </w:t>
      </w:r>
      <w:r>
        <w:rPr>
          <w:rFonts w:hint="eastAsia"/>
        </w:rPr>
        <w:t>主要是B场不同激发模式（色荷、弱荷）之间的耦合。</w:t>
      </w:r>
    </w:p>
    <w:p w14:paraId="60BEEF8F">
      <w:pPr>
        <w:pStyle w:val="26"/>
        <w:numPr>
          <w:ilvl w:val="0"/>
          <w:numId w:val="2"/>
        </w:numPr>
      </w:pPr>
      <w:r>
        <w:rPr>
          <w:rFonts w:hint="eastAsia"/>
        </w:rPr>
        <w:t>万有引力：</w:t>
      </w:r>
      <w:r>
        <w:t xml:space="preserve"> </w:t>
      </w:r>
      <w:r>
        <w:rPr>
          <w:rFonts w:hint="eastAsia"/>
        </w:rPr>
        <w:t>被诠释为一种基于C场（质量场）的广义相互作用，其宏观表现（吸引力）源于负质量海洋的排斥效应。</w:t>
      </w:r>
    </w:p>
    <w:p w14:paraId="3447DF21">
      <w:pPr>
        <w:pStyle w:val="4"/>
      </w:pPr>
      <w:r>
        <w:rPr>
          <w:rFonts w:hint="eastAsia"/>
        </w:rPr>
        <w:t>所有这些力和粒子，都源于A、B、C三场这同一“根”上，因组合方式不同而衍生出的不同“茎叶”。这种统一是内在的、逻辑必然的，而非数学形式上的拼凑。</w:t>
      </w:r>
    </w:p>
    <w:bookmarkEnd w:id="9"/>
    <w:bookmarkEnd w:id="11"/>
    <w:p w14:paraId="734A041F">
      <w:pPr>
        <w:pStyle w:val="5"/>
      </w:pPr>
      <w:bookmarkStart w:id="12" w:name="结论走向一门溯源性的物理学"/>
      <w:r>
        <w:t xml:space="preserve">5. </w:t>
      </w:r>
      <w:r>
        <w:rPr>
          <w:rFonts w:hint="eastAsia"/>
        </w:rPr>
        <w:t>结论：走向一门溯源性的物理学</w:t>
      </w:r>
    </w:p>
    <w:p w14:paraId="093F69B4">
      <w:pPr>
        <w:pStyle w:val="4"/>
      </w:pPr>
      <w:r>
        <w:rPr>
          <w:rFonts w:hint="eastAsia"/>
        </w:rPr>
        <w:t>场组合波函数理论的意义，远不止于提供一个可能的大统一模型。其最深刻的价值在于，它践行并阐明了一条物理学发展的新路径：从现象学范式走向本体论范式。</w:t>
      </w:r>
    </w:p>
    <w:p w14:paraId="5E42933F">
      <w:pPr>
        <w:pStyle w:val="3"/>
      </w:pPr>
      <w:r>
        <w:rPr>
          <w:rFonts w:hint="eastAsia"/>
        </w:rPr>
        <w:t>它告诉我们，物理学的终极目标，不应是让模型无限逼近数据，而应是从一个关于世界本质的极简原理出发，逻辑地推导出整个现象世界。当物理学找到了其真正的“根”时，所有的“枝叶”繁茂都将成为必然。纷繁复杂的粒子世界，不过是几个基本场按简单规则演奏出的宏伟交响曲。</w:t>
      </w:r>
    </w:p>
    <w:p w14:paraId="43F5E051">
      <w:pPr>
        <w:pStyle w:val="3"/>
      </w:pPr>
      <w:r>
        <w:rPr>
          <w:rFonts w:hint="eastAsia"/>
        </w:rPr>
        <w:t>因此，场组合理论不仅是一个物理理论，更是一个物理学宣言。它宣告：物理学不应满足于做自然的“记账员”，更应成为自然的“考古学家”与“基因学家”，去发掘现象之下深层的本体论结构，去解读宇宙的“遗传密码”。这门古老的学科，在经历了现象学描述的辉煌之后，正迎来其本体论溯源的黄金时代。在这场范式革命中，场组合理论无疑点亮了最富希望的一盏航灯。</w:t>
      </w:r>
    </w:p>
    <w:bookmarkEnd w:id="12"/>
    <w:p w14:paraId="42DAF2CC">
      <w:pPr>
        <w:pStyle w:val="5"/>
      </w:pPr>
      <w:bookmarkStart w:id="13" w:name="参考文献"/>
      <w:r>
        <w:rPr>
          <w:rFonts w:hint="eastAsia"/>
        </w:rPr>
        <w:t>参考文献</w:t>
      </w:r>
    </w:p>
    <w:p w14:paraId="779F7644">
      <w:pPr>
        <w:pStyle w:val="4"/>
        <w:ind w:left="0" w:leftChars="0" w:firstLine="0" w:firstLineChars="0"/>
      </w:pPr>
      <w:bookmarkStart w:id="14" w:name="_GoBack"/>
      <w:bookmarkEnd w:id="14"/>
      <w:r>
        <w:t>[1] Kuhn, T. S. The Structure of Scientific Revolutions. University of Chicago Press (1962).</w:t>
      </w:r>
      <w:r>
        <w:br w:type="textWrapping"/>
      </w:r>
      <w:r>
        <w:t>[2] Carnap, R. The Logical Structure of the World. University of California Press (1967).</w:t>
      </w:r>
      <w:r>
        <w:br w:type="textWrapping"/>
      </w:r>
      <w:r>
        <w:t>[3] Ladyman, J., Ross, D. Every Thing Must Go: Metaphysics Naturalized. Oxford University Press (2007).</w:t>
      </w:r>
      <w:r>
        <w:br w:type="textWrapping"/>
      </w:r>
      <w:r>
        <w:t>[4] Weinberg, S. Dreams of a Final Theory. Pantheon Books (1992).</w:t>
      </w:r>
      <w:r>
        <w:br w:type="textWrapping"/>
      </w:r>
      <w:r>
        <w:t>[5] Li, Z. J., Zhao, G. Y. Field Combination Theory: A Complete Framework. Preprint (2023).</w:t>
      </w:r>
    </w:p>
    <w:bookmarkEnd w:id="0"/>
    <w:bookmarkEnd w:id="13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43FF7DF1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qFormat/>
    <w:uiPriority w:val="0"/>
    <w:rPr>
      <w:color w:val="40A070"/>
    </w:rPr>
  </w:style>
  <w:style w:type="character" w:customStyle="1" w:styleId="50">
    <w:name w:val="BaseNTok"/>
    <w:qFormat/>
    <w:uiPriority w:val="0"/>
    <w:rPr>
      <w:color w:val="40A070"/>
    </w:rPr>
  </w:style>
  <w:style w:type="character" w:customStyle="1" w:styleId="51">
    <w:name w:val="FloatTok"/>
    <w:qFormat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qFormat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qFormat/>
    <w:uiPriority w:val="0"/>
    <w:rPr>
      <w:i/>
      <w:color w:val="60A0B0"/>
    </w:rPr>
  </w:style>
  <w:style w:type="character" w:customStyle="1" w:styleId="60">
    <w:name w:val="DocumentationTok"/>
    <w:qFormat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qFormat/>
    <w:uiPriority w:val="0"/>
    <w:rPr>
      <w:b/>
      <w:i/>
      <w:color w:val="60A0B0"/>
    </w:rPr>
  </w:style>
  <w:style w:type="character" w:customStyle="1" w:styleId="63">
    <w:name w:val="OtherTok"/>
    <w:qFormat/>
    <w:uiPriority w:val="0"/>
    <w:rPr>
      <w:color w:val="007020"/>
    </w:rPr>
  </w:style>
  <w:style w:type="character" w:customStyle="1" w:styleId="64">
    <w:name w:val="FunctionTok"/>
    <w:qFormat/>
    <w:uiPriority w:val="0"/>
    <w:rPr>
      <w:color w:val="06287E"/>
    </w:rPr>
  </w:style>
  <w:style w:type="character" w:customStyle="1" w:styleId="65">
    <w:name w:val="VariableTok"/>
    <w:qFormat/>
    <w:uiPriority w:val="0"/>
    <w:rPr>
      <w:color w:val="19177C"/>
    </w:rPr>
  </w:style>
  <w:style w:type="character" w:customStyle="1" w:styleId="66">
    <w:name w:val="ControlFlowTok"/>
    <w:qFormat/>
    <w:uiPriority w:val="0"/>
    <w:rPr>
      <w:b/>
      <w:color w:val="007020"/>
    </w:rPr>
  </w:style>
  <w:style w:type="character" w:customStyle="1" w:styleId="67">
    <w:name w:val="OperatorTok"/>
    <w:qFormat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qFormat/>
    <w:uiPriority w:val="0"/>
  </w:style>
  <w:style w:type="character" w:customStyle="1" w:styleId="70">
    <w:name w:val="PreprocessorTok"/>
    <w:qFormat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qFormat/>
    <w:uiPriority w:val="0"/>
  </w:style>
  <w:style w:type="character" w:customStyle="1" w:styleId="73">
    <w:name w:val="InformationTok"/>
    <w:qFormat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qFormat/>
    <w:uiPriority w:val="0"/>
    <w:rPr>
      <w:b/>
      <w:color w:val="FF0000"/>
    </w:rPr>
  </w:style>
  <w:style w:type="character" w:customStyle="1" w:styleId="76">
    <w:name w:val="ErrorTok"/>
    <w:qFormat/>
    <w:uiPriority w:val="0"/>
    <w:rPr>
      <w:b/>
      <w:color w:val="FF0000"/>
    </w:rPr>
  </w:style>
  <w:style w:type="character" w:customStyle="1" w:styleId="77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1056</Words>
  <Characters>1062</Characters>
  <Lines>30</Lines>
  <Paragraphs>8</Paragraphs>
  <TotalTime>70</TotalTime>
  <ScaleCrop>false</ScaleCrop>
  <LinksUpToDate>false</LinksUpToDate>
  <CharactersWithSpaces>1070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2025-11-07T10:26:00Z</dcterms:created>
  <dc:creator>迈斯纳效应</dc:creator>
  <cp:lastModifiedBy>迈斯纳效应</cp:lastModifiedBy>
  <dcterms:modified xsi:type="dcterms:W3CDTF">2025-11-07T10:27:10Z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1792A1E2AF0A45E0A6DC59DD2D881A88_12</vt:lpwstr>
  </property>
</Properties>
</file>