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49B10">
      <w:pPr>
        <w:pStyle w:val="2"/>
      </w:pPr>
      <w:bookmarkStart w:id="0" w:name="Xd95ca92b56d360b2ec0a4923d225ce5f4c28631"/>
      <w:r>
        <w:t>B74: Three-Gluon Jet Interpretation via FCWFT Reconstruction</w:t>
      </w:r>
    </w:p>
    <w:p w14:paraId="3AC558C2">
      <w:pPr>
        <w:pStyle w:val="5"/>
      </w:pPr>
      <w:bookmarkStart w:id="1" w:name="X7a813d2f32ab07065ff23d5a80868ab22430eef"/>
      <w:r>
        <w:t xml:space="preserve">– From the Standard </w:t>
      </w:r>
      <m:oMath>
        <m:r>
          <m:rPr/>
          <m:t>q</m:t>
        </m:r>
        <m:acc>
          <m:accPr>
            <m:chr m:val="‾"/>
          </m:accPr>
          <m:e>
            <m:r>
              <m:rPr/>
              <m:t>q</m:t>
            </m:r>
          </m:e>
        </m:acc>
        <m:r>
          <m:rPr/>
          <m:t>g</m:t>
        </m:r>
      </m:oMath>
      <w:r>
        <w:t xml:space="preserve"> Radiation Diagram to the Direct Color-Charge Pairing Mechanism of the B-Field</w:t>
      </w:r>
    </w:p>
    <w:p w14:paraId="1A5B06B3">
      <w:pPr>
        <w:pStyle w:val="4"/>
      </w:pPr>
      <w:r>
        <w:rPr>
          <w:b/>
          <w:bCs/>
        </w:rPr>
        <w:t>Disclaimer (Core Boundary):</w:t>
      </w:r>
      <w:r>
        <w:t xml:space="preserve"> Chapter 1 of this paper presents universally recognized historical facts and mature theories of particle physics, whose conclusions have been experimentally verified. Chapters 2–7 are purely theoretical deductions of the Field Combination Wave Function Theory (FCWFT), constituting an original paradigm reconstruction; they do not constitute experimental discovery, do not replace the Standard Model, and do not conflict with any existing experimental conclusions. All FCWFT inferences remain unverified by experiment. This paper does not claim to “prove” or “falsify” any physical fact.</w:t>
      </w:r>
    </w:p>
    <w:p w14:paraId="19DBBAD0">
      <w:pPr>
        <w:pStyle w:val="3"/>
      </w:pPr>
      <w:r>
        <w:rPr>
          <w:b/>
          <w:bCs/>
        </w:rPr>
        <w:t>Authors:</w:t>
      </w:r>
      <w:r>
        <w:t xml:space="preserve"> Li Zhijun¹, Zhao Guangyao², Xue Yanyu¹</w:t>
      </w:r>
      <w:r>
        <w:br w:type="textWrapping"/>
      </w:r>
      <w:r>
        <w:t>¹ Shanxi Provincial Department of Agriculture and Rural Affairs, Animal Husbandry and Veterinary School, Taiyuan, China</w:t>
      </w:r>
      <w:r>
        <w:br w:type="textWrapping"/>
      </w:r>
      <w:r>
        <w:t>² College of Physics, Chongqing University, Chongqing, China</w:t>
      </w:r>
    </w:p>
    <w:p w14:paraId="545A3CAB">
      <w:pPr>
        <w:pStyle w:val="6"/>
      </w:pPr>
      <w:bookmarkStart w:id="2" w:name="abstract"/>
      <w:r>
        <w:t>Abstract</w:t>
      </w:r>
    </w:p>
    <w:p w14:paraId="77541F44">
      <w:pPr>
        <w:pStyle w:val="4"/>
      </w:pPr>
      <w:r>
        <w:t xml:space="preserve">Between 1979 and 1980, experiments at the PETRA collider at DESY (Germany) – TASSO, MARK‑J, PLUTO, and JADE – independently observed coplanar three‑jet events in high‑energy </w:t>
      </w:r>
      <m:oMath>
        <m:sSup>
          <m:sSupPr/>
          <m:e>
            <m:r>
              <m:rPr/>
              <m:t>e</m:t>
            </m:r>
          </m:e>
          <m:sup>
            <m:r>
              <m:rPr>
                <m:sty m:val="p"/>
              </m:rPr>
              <m:t>+</m:t>
            </m:r>
          </m:sup>
        </m:sSup>
        <m:sSup>
          <m:sSupPr/>
          <m:e>
            <m:r>
              <m:rPr/>
              <m:t>e</m:t>
            </m:r>
          </m:e>
          <m:sup>
            <m:r>
              <m:rPr>
                <m:sty m:val="p"/>
              </m:rPr>
              <m:t>−</m:t>
            </m:r>
          </m:sup>
        </m:sSup>
      </m:oMath>
      <w:r>
        <w:t xml:space="preserve"> collisions. The combined statistical significance exceeded </w:t>
      </w:r>
      <m:oMath>
        <m:r>
          <m:rPr/>
          <m:t>3σ</m:t>
        </m:r>
        <m:r>
          <m:rPr>
            <m:sty m:val="p"/>
          </m:rPr>
          <m:t>,</m:t>
        </m:r>
      </m:oMath>
      <w:r>
        <w:t xml:space="preserve"> establishing these events as the core empirical evidence for the existence of the gluon in Quantum Chromodynamics (QCD). In the Standard Model framework, the three‑jet picture is described as </w:t>
      </w:r>
      <m:oMath>
        <m:sSup>
          <m:sSupPr/>
          <m:e>
            <m:r>
              <m:rPr/>
              <m:t>e</m:t>
            </m:r>
          </m:e>
          <m:sup>
            <m:r>
              <m:rPr>
                <m:sty m:val="p"/>
              </m:rPr>
              <m:t>+</m:t>
            </m:r>
          </m:sup>
        </m:sSup>
        <m:sSup>
          <m:sSupPr/>
          <m:e>
            <m:r>
              <m:rPr/>
              <m:t>e</m:t>
            </m:r>
          </m:e>
          <m:sup>
            <m:r>
              <m:rPr>
                <m:sty m:val="p"/>
              </m:rPr>
              <m:t>−</m:t>
            </m:r>
          </m:sup>
        </m:sSup>
        <m:r>
          <m:rPr>
            <m:sty m:val="p"/>
          </m:rPr>
          <m:t>→</m:t>
        </m:r>
        <m:sSup>
          <m:sSupPr/>
          <m:e>
            <m:r>
              <m:rPr/>
              <m:t>γ</m:t>
            </m:r>
          </m:e>
          <m:sup>
            <m:r>
              <m:rPr>
                <m:sty m:val="p"/>
              </m:rPr>
              <m:t>∗</m:t>
            </m:r>
          </m:sup>
        </m:sSup>
        <m:r>
          <m:rPr>
            <m:sty m:val="p"/>
          </m:rPr>
          <m:t>/</m:t>
        </m:r>
        <m:sSup>
          <m:sSupPr/>
          <m:e>
            <m:r>
              <m:rPr/>
              <m:t>Z</m:t>
            </m:r>
          </m:e>
          <m:sup>
            <m:r>
              <m:rPr>
                <m:sty m:val="p"/>
              </m:rPr>
              <m:t>∗</m:t>
            </m:r>
          </m:sup>
        </m:sSup>
        <m:r>
          <m:rPr>
            <m:sty m:val="p"/>
          </m:rPr>
          <m:t>→</m:t>
        </m:r>
        <m:r>
          <m:rPr/>
          <m:t>q</m:t>
        </m:r>
        <m:acc>
          <m:accPr>
            <m:chr m:val="‾"/>
          </m:accPr>
          <m:e>
            <m:r>
              <m:rPr/>
              <m:t>q</m:t>
            </m:r>
          </m:e>
        </m:acc>
        <m:r>
          <m:rPr>
            <m:sty m:val="p"/>
          </m:rPr>
          <m:t>,</m:t>
        </m:r>
      </m:oMath>
      <w:r>
        <w:t xml:space="preserve"> followed by hard gluon bremsstrahlung from a high‑energy parton, yielding the final state </w:t>
      </w:r>
      <m:oMath>
        <m:sSup>
          <m:sSupPr/>
          <m:e>
            <m:r>
              <m:rPr/>
              <m:t>e</m:t>
            </m:r>
          </m:e>
          <m:sup>
            <m:r>
              <m:rPr>
                <m:sty m:val="p"/>
              </m:rPr>
              <m:t>+</m:t>
            </m:r>
          </m:sup>
        </m:sSup>
        <m:sSup>
          <m:sSupPr/>
          <m:e>
            <m:r>
              <m:rPr/>
              <m:t>e</m:t>
            </m:r>
          </m:e>
          <m:sup>
            <m:r>
              <m:rPr>
                <m:sty m:val="p"/>
              </m:rPr>
              <m:t>−</m:t>
            </m:r>
          </m:sup>
        </m:sSup>
        <m:r>
          <m:rPr>
            <m:sty m:val="p"/>
          </m:rPr>
          <m:t>→</m:t>
        </m:r>
        <m:r>
          <m:rPr/>
          <m:t>q</m:t>
        </m:r>
        <m:acc>
          <m:accPr>
            <m:chr m:val="‾"/>
          </m:accPr>
          <m:e>
            <m:r>
              <m:rPr/>
              <m:t>q</m:t>
            </m:r>
          </m:e>
        </m:acc>
        <m:r>
          <m:rPr/>
          <m:t>g</m:t>
        </m:r>
      </m:oMath>
      <w:r>
        <w:t xml:space="preserve">; the three partons hadronize into three jets, and the gluon belongs to the adjoint octet representation of </w:t>
      </w:r>
      <m:oMath>
        <m:r>
          <m:rPr/>
          <m:t>SU</m:t>
        </m:r>
        <m:r>
          <m:rPr>
            <m:sty m:val="p"/>
          </m:rPr>
          <m:t>(</m:t>
        </m:r>
        <m:r>
          <m:rPr/>
          <m:t>3</m:t>
        </m:r>
        <m:sSub>
          <m:sSubPr/>
          <m:e>
            <m:r>
              <m:rPr>
                <m:sty m:val="p"/>
              </m:rPr>
              <m:t>)</m:t>
            </m:r>
          </m:e>
          <m:sub>
            <m:r>
              <m:rPr/>
              <m:t>c</m:t>
            </m:r>
          </m:sub>
        </m:sSub>
      </m:oMath>
      <w:r>
        <w:t>.</w:t>
      </w:r>
    </w:p>
    <w:p w14:paraId="11AC5AD1">
      <w:pPr>
        <w:pStyle w:val="3"/>
      </w:pPr>
      <w:r>
        <w:t xml:space="preserve">This paper provides a purely theoretical reinterpretation of this classic phenomenon based on the Field Combination Wave Function Theory (FCWFT). FCWFT rests on three fundamental fields: A (spin‑1 electromagnetic/wave vector field), B (spin‑½ color‑charge/weak‑charge/electric‑charge/spin spinor field), and C (spin‑0 mass/particle‑nature scalar field). It proposes a mechanism without a </w:t>
      </w:r>
      <m:oMath>
        <m:r>
          <m:rPr/>
          <m:t>q</m:t>
        </m:r>
        <m:acc>
          <m:accPr>
            <m:chr m:val="‾"/>
          </m:accPr>
          <m:e>
            <m:r>
              <m:rPr/>
              <m:t>q</m:t>
            </m:r>
          </m:e>
        </m:acc>
      </m:oMath>
      <w:r>
        <w:t xml:space="preserve"> intermediate state: the B‑fields of the electron and positron each carry a complete set of three (anti‑)color charges; after the A‑ and C‑fields annihilate and release energy, the three complementary color‑charge pairs directly close to form three single‑color gluons </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r>
          <m:rPr>
            <m:sty m:val="p"/>
          </m:rPr>
          <m:t>.</m:t>
        </m:r>
      </m:oMath>
      <w:r>
        <w:t xml:space="preserve"> The final‑state kinematics and detector signatures of the two theories are fully self‑consistent and equivalent; the only differences lie in the unobservable microscopic production mechanism and the topological structure of the gluons. This paper constructs a complete list of eight FCWFT gluon topologies, provides a systematic comparison between the two frameworks, clarifies why current experiments cannot distinguish them, identifies potential discriminators, and rigorously delineates the academic boundaries.</w:t>
      </w:r>
    </w:p>
    <w:p w14:paraId="202F1731">
      <w:pPr>
        <w:pStyle w:val="3"/>
      </w:pPr>
      <w:r>
        <w:rPr>
          <w:b/>
          <w:bCs/>
        </w:rPr>
        <w:t>Keywords:</w:t>
      </w:r>
      <w:r>
        <w:t xml:space="preserve"> FCWFT; Field Combination Wave Function Theory; three‑gluon jet; Quantum Chromodynamics; color‑charge topology; electron‑positron collision; theoretical reconstruction</w:t>
      </w:r>
    </w:p>
    <w:p w14:paraId="141F2DE7">
      <w:pPr>
        <w:pStyle w:val="3"/>
      </w:pPr>
      <w:r>
        <w:rPr>
          <w:b/>
          <w:bCs/>
        </w:rPr>
        <w:t>PACS:</w:t>
      </w:r>
      <w:r>
        <w:t xml:space="preserve"> 12.38.-t, 12.38.Bx, 13.66.Bc, 11.15.-q</w:t>
      </w:r>
    </w:p>
    <w:p w14:paraId="15E1D409">
      <w:pPr>
        <w:pStyle w:val="3"/>
      </w:pPr>
      <w:r>
        <w:rPr>
          <w:b/>
          <w:bCs/>
        </w:rPr>
        <w:t>Paper No.:</w:t>
      </w:r>
      <w:r>
        <w:t xml:space="preserve"> B74 (FCWFT Series)</w:t>
      </w:r>
    </w:p>
    <w:bookmarkEnd w:id="2"/>
    <w:p w14:paraId="65016F38">
      <w:pPr>
        <w:pStyle w:val="6"/>
      </w:pPr>
      <w:bookmarkStart w:id="3" w:name="Xe76e359501a8f7b46641db89c425f6ef58f45af"/>
      <w:r>
        <w:t>1 Physical Mechanism of Three‑Jet Events in the Standard Model (Recognized Experiment and Theory Review)</w:t>
      </w:r>
    </w:p>
    <w:p w14:paraId="3544BBC0">
      <w:pPr>
        <w:pStyle w:val="4"/>
      </w:pPr>
      <w:r>
        <w:t>This chapter contains universally accepted historical facts and mature theories, all experimentally verified, with no theoretical recombination.</w:t>
      </w:r>
    </w:p>
    <w:p w14:paraId="21E680BD">
      <w:pPr>
        <w:pStyle w:val="7"/>
      </w:pPr>
      <w:bookmarkStart w:id="4" w:name="standard-threejet-production-chain"/>
      <w:r>
        <w:t>1.1 Standard Three‑Jet Production Chain</w:t>
      </w:r>
    </w:p>
    <w:p w14:paraId="22A9FDFE">
      <w:pPr>
        <w:pStyle w:val="4"/>
      </w:pPr>
      <w:r>
        <w:t xml:space="preserve">In high‑energy </w:t>
      </w:r>
      <m:oMath>
        <m:sSup>
          <m:sSupPr/>
          <m:e>
            <m:r>
              <m:rPr/>
              <m:t>e</m:t>
            </m:r>
          </m:e>
          <m:sup>
            <m:r>
              <m:rPr>
                <m:sty m:val="p"/>
              </m:rPr>
              <m:t>+</m:t>
            </m:r>
          </m:sup>
        </m:sSup>
        <m:sSup>
          <m:sSupPr/>
          <m:e>
            <m:r>
              <m:rPr/>
              <m:t>e</m:t>
            </m:r>
          </m:e>
          <m:sup>
            <m:r>
              <m:rPr>
                <m:sty m:val="p"/>
              </m:rPr>
              <m:t>−</m:t>
            </m:r>
          </m:sup>
        </m:sSup>
      </m:oMath>
      <w:r>
        <w:t xml:space="preserve"> collisions, the electron and positron first completely annihilate. An electromagnetic or weak interaction dominates, producing a virtual photon or Z boson, which then decays strongly into a quark–antiquark </w:t>
      </w:r>
      <m:oMath>
        <m:r>
          <m:rPr>
            <m:sty m:val="p"/>
          </m:rPr>
          <m:t>(</m:t>
        </m:r>
        <m:r>
          <m:rPr/>
          <m:t>q</m:t>
        </m:r>
        <m:acc>
          <m:accPr>
            <m:chr m:val="‾"/>
          </m:accPr>
          <m:e>
            <m:r>
              <m:rPr/>
              <m:t>q</m:t>
            </m:r>
          </m:e>
        </m:acc>
        <m:r>
          <m:rPr>
            <m:sty m:val="p"/>
          </m:rPr>
          <m:t>)</m:t>
        </m:r>
      </m:oMath>
      <w:r>
        <w:t xml:space="preserve"> pair carrying color charge. At center‑of‑mass energies </w:t>
      </w:r>
      <m:oMath>
        <m:rad>
          <m:radPr>
            <m:degHide m:val="1"/>
          </m:radPr>
          <m:deg/>
          <m:e>
            <m:r>
              <m:rPr/>
              <m:t>s</m:t>
            </m:r>
          </m:e>
        </m:rad>
        <m:r>
          <m:rPr>
            <m:sty m:val="p"/>
          </m:rPr>
          <m:t>≈</m:t>
        </m:r>
        <m:r>
          <m:rPr/>
          <m:t>27</m:t>
        </m:r>
        <m:r>
          <m:rPr>
            <m:sty m:val="p"/>
          </m:rPr>
          <m:t>−−</m:t>
        </m:r>
        <m:r>
          <m:rPr/>
          <m:t>31</m:t>
        </m:r>
        <m:r>
          <m:rPr>
            <m:sty m:val="p"/>
          </m:rPr>
          <m:t>GeV,</m:t>
        </m:r>
      </m:oMath>
      <w:r>
        <w:t xml:space="preserve"> the high‑energy quark or antiquark satisfies the condition for hard radiation, emitting a gluon via strong‑interaction bremsstrahlung.</w:t>
      </w:r>
    </w:p>
    <w:p w14:paraId="1577C4CF">
      <w:pPr>
        <w:pStyle w:val="3"/>
      </w:pPr>
      <w:r>
        <w:t>The core reaction channel in the Standard Model is:</w:t>
      </w:r>
    </w:p>
    <w:p w14:paraId="2DA384DC">
      <w:pPr>
        <w:pStyle w:val="3"/>
      </w:pPr>
      <m:oMathPara>
        <m:oMathParaPr>
          <m:jc m:val="center"/>
        </m:oMathParaPr>
        <m:oMath>
          <m:sSup>
            <m:sSupPr/>
            <m:e>
              <m:r>
                <m:rPr/>
                <m:t>e</m:t>
              </m:r>
            </m:e>
            <m:sup>
              <m:r>
                <m:rPr>
                  <m:sty m:val="p"/>
                </m:rPr>
                <m:t>+</m:t>
              </m:r>
            </m:sup>
          </m:sSup>
          <m:sSup>
            <m:sSupPr/>
            <m:e>
              <m:r>
                <m:rPr/>
                <m:t>e</m:t>
              </m:r>
            </m:e>
            <m:sup>
              <m:r>
                <m:rPr>
                  <m:sty m:val="p"/>
                </m:rPr>
                <m:t>−</m:t>
              </m:r>
            </m:sup>
          </m:sSup>
          <m:r>
            <m:rPr>
              <m:sty m:val="p"/>
            </m:rPr>
            <m:t>→</m:t>
          </m:r>
          <m:sSup>
            <m:sSupPr/>
            <m:e>
              <m:r>
                <m:rPr/>
                <m:t>γ</m:t>
              </m:r>
            </m:e>
            <m:sup>
              <m:r>
                <m:rPr>
                  <m:sty m:val="p"/>
                </m:rPr>
                <m:t>∗</m:t>
              </m:r>
            </m:sup>
          </m:sSup>
          <m:r>
            <m:rPr>
              <m:sty m:val="p"/>
            </m:rPr>
            <m:t>/</m:t>
          </m:r>
          <m:sSup>
            <m:sSupPr/>
            <m:e>
              <m:r>
                <m:rPr/>
                <m:t>Z</m:t>
              </m:r>
            </m:e>
            <m:sup>
              <m:r>
                <m:rPr>
                  <m:sty m:val="p"/>
                </m:rPr>
                <m:t>∗</m:t>
              </m:r>
            </m:sup>
          </m:sSup>
          <m:r>
            <m:rPr>
              <m:sty m:val="p"/>
            </m:rPr>
            <m:t>→</m:t>
          </m:r>
          <m:r>
            <m:rPr/>
            <m:t>q</m:t>
          </m:r>
          <m:acc>
            <m:accPr>
              <m:chr m:val="‾"/>
            </m:accPr>
            <m:e>
              <m:r>
                <m:rPr/>
                <m:t>q</m:t>
              </m:r>
            </m:e>
          </m:acc>
          <m:r>
            <m:rPr>
              <m:sty m:val="p"/>
            </m:rPr>
            <m:t>→</m:t>
          </m:r>
          <m:r>
            <m:rPr/>
            <m:t>q</m:t>
          </m:r>
          <m:acc>
            <m:accPr>
              <m:chr m:val="‾"/>
            </m:accPr>
            <m:e>
              <m:r>
                <m:rPr/>
                <m:t>q</m:t>
              </m:r>
            </m:e>
          </m:acc>
          <m:r>
            <m:rPr/>
            <m:t>g</m:t>
          </m:r>
        </m:oMath>
      </m:oMathPara>
    </w:p>
    <w:p w14:paraId="1CB85B25">
      <w:pPr>
        <w:pStyle w:val="4"/>
      </w:pPr>
      <w:r>
        <w:t>The three colored partons in the final state each fragment into independent hadronic jets through the hadronization process, forming the experimentally observed three‑jet topology. Constrained by momentum conservation, angular‑momentum conservation, and color‑charge repulsion, the three jets naturally exhibit a coplanar spatial distribution – a geometric feature that serves as the primary selection criterion for three‑jet events.</w:t>
      </w:r>
    </w:p>
    <w:bookmarkEnd w:id="4"/>
    <w:p w14:paraId="0A3F4782">
      <w:pPr>
        <w:pStyle w:val="7"/>
      </w:pPr>
      <w:bookmarkStart w:id="5" w:name="X799ad1c70df3032fbbf1de9115c3e48328f0ac0"/>
      <w:r>
        <w:t>1.2 Historical Discovery of Three‑Jet Events and Their Physical Significance</w:t>
      </w:r>
    </w:p>
    <w:p w14:paraId="28580C66">
      <w:pPr>
        <w:pStyle w:val="4"/>
      </w:pPr>
      <w:r>
        <w:t>The theoretical prediction and experimental verification of gluon bremsstrahlung leading to three‑jet events represent a milestone in the development of QCD. The complete academic timeline is as follows:</w:t>
      </w:r>
    </w:p>
    <w:p w14:paraId="075EA57E">
      <w:pPr>
        <w:pStyle w:val="26"/>
        <w:numPr>
          <w:ilvl w:val="0"/>
          <w:numId w:val="1"/>
        </w:numPr>
      </w:pPr>
      <w:r>
        <w:rPr>
          <w:b/>
          <w:bCs/>
        </w:rPr>
        <w:t>1976 Theoretical Prediction:</w:t>
      </w:r>
      <w:r>
        <w:t xml:space="preserve"> Ellis, Ross, and Gaillard, based on </w:t>
      </w:r>
      <m:oMath>
        <m:r>
          <m:rPr/>
          <m:t>SU</m:t>
        </m:r>
        <m:r>
          <m:rPr>
            <m:sty m:val="p"/>
          </m:rPr>
          <m:t>(</m:t>
        </m:r>
        <m:r>
          <m:rPr/>
          <m:t>3</m:t>
        </m:r>
        <m:sSub>
          <m:sSubPr/>
          <m:e>
            <m:r>
              <m:rPr>
                <m:sty m:val="p"/>
              </m:rPr>
              <m:t>)</m:t>
            </m:r>
          </m:e>
          <m:sub>
            <m:r>
              <m:rPr/>
              <m:t>c</m:t>
            </m:r>
          </m:sub>
        </m:sSub>
      </m:oMath>
      <w:r>
        <w:t xml:space="preserve"> gauge theory, first predicted the three‑jet picture arising from gluon bremsstrahlung in high‑energy </w:t>
      </w:r>
      <m:oMath>
        <m:sSup>
          <m:sSupPr/>
          <m:e>
            <m:r>
              <m:rPr/>
              <m:t>e</m:t>
            </m:r>
          </m:e>
          <m:sup>
            <m:r>
              <m:rPr>
                <m:sty m:val="p"/>
              </m:rPr>
              <m:t>+</m:t>
            </m:r>
          </m:sup>
        </m:sSup>
        <m:sSup>
          <m:sSupPr/>
          <m:e>
            <m:r>
              <m:rPr/>
              <m:t>e</m:t>
            </m:r>
          </m:e>
          <m:sup>
            <m:r>
              <m:rPr>
                <m:sty m:val="p"/>
              </m:rPr>
              <m:t>−</m:t>
            </m:r>
          </m:sup>
        </m:sSup>
      </m:oMath>
      <w:r>
        <w:t xml:space="preserve"> annihilation, providing the theoretical foundation for subsequent experimental searches.</w:t>
      </w:r>
    </w:p>
    <w:p w14:paraId="3F5E135D">
      <w:pPr>
        <w:pStyle w:val="26"/>
        <w:numPr>
          <w:ilvl w:val="0"/>
          <w:numId w:val="1"/>
        </w:numPr>
      </w:pPr>
      <w:r>
        <w:rPr>
          <w:b/>
          <w:bCs/>
        </w:rPr>
        <w:t>1979–1980 Experimental Confirmation:</w:t>
      </w:r>
      <w:r>
        <w:t xml:space="preserve"> At the PETRA collider (DESY, Germany) with </w:t>
      </w:r>
      <m:oMath>
        <m:rad>
          <m:radPr>
            <m:degHide m:val="1"/>
          </m:radPr>
          <m:deg/>
          <m:e>
            <m:r>
              <m:rPr/>
              <m:t>s</m:t>
            </m:r>
          </m:e>
        </m:rad>
        <m:r>
          <m:rPr>
            <m:sty m:val="p"/>
          </m:rPr>
          <m:t>≈</m:t>
        </m:r>
        <m:r>
          <m:rPr/>
          <m:t>27</m:t>
        </m:r>
        <m:r>
          <m:rPr>
            <m:sty m:val="p"/>
          </m:rPr>
          <m:t>−−</m:t>
        </m:r>
        <m:r>
          <m:rPr/>
          <m:t>31</m:t>
        </m:r>
        <m:r>
          <m:rPr>
            <m:sty m:val="p"/>
          </m:rPr>
          <m:t>GeV,</m:t>
        </m:r>
      </m:oMath>
      <w:r>
        <w:t xml:space="preserve"> the four major experiments TASSO, MARK‑J, PLUTO, and JADE independently observed a large number of coplanar three‑jet events. The signal significantly exceeded the expectation from the simple two‑jet model, with a combined statistical significance exceeding </w:t>
      </w:r>
      <m:oMath>
        <m:r>
          <m:rPr/>
          <m:t>3σ</m:t>
        </m:r>
        <m:r>
          <m:rPr>
            <m:sty m:val="p"/>
          </m:rPr>
          <m:t>.</m:t>
        </m:r>
      </m:oMath>
      <w:r>
        <w:t xml:space="preserve"> This provided definitive confirmation of the gluon’s existence and directly validated the gauge symmetry of the strong interaction in QCD. The TASSO result was formally published in 1980.</w:t>
      </w:r>
    </w:p>
    <w:p w14:paraId="20FE2B02">
      <w:pPr>
        <w:pStyle w:val="26"/>
        <w:numPr>
          <w:ilvl w:val="0"/>
          <w:numId w:val="1"/>
        </w:numPr>
      </w:pPr>
      <w:r>
        <w:rPr>
          <w:b/>
          <w:bCs/>
        </w:rPr>
        <w:t>Subsequent Parameter Determination:</w:t>
      </w:r>
      <w:r>
        <w:t xml:space="preserve"> Using fits to three‑jet events, the JADE collaboration extracted the strong coupling constant at this energy scale: </w:t>
      </w:r>
      <m:oMath>
        <m:sSub>
          <m:sSubPr/>
          <m:e>
            <m:r>
              <m:rPr/>
              <m:t>α</m:t>
            </m:r>
          </m:e>
          <m:sub>
            <m:r>
              <m:rPr/>
              <m:t>s</m:t>
            </m:r>
          </m:sub>
        </m:sSub>
        <m:r>
          <m:rPr>
            <m:sty m:val="p"/>
          </m:rPr>
          <m:t>(</m:t>
        </m:r>
        <m:r>
          <m:rPr/>
          <m:t>30</m:t>
        </m:r>
        <m:r>
          <m:rPr>
            <m:sty m:val="p"/>
          </m:rPr>
          <m:t>GeV)≈</m:t>
        </m:r>
        <m:r>
          <m:rPr/>
          <m:t>0.17</m:t>
        </m:r>
        <m:r>
          <m:rPr>
            <m:sty m:val="p"/>
          </m:rPr>
          <m:t>±</m:t>
        </m:r>
        <m:r>
          <m:rPr/>
          <m:t>0.04</m:t>
        </m:r>
        <m:r>
          <m:rPr>
            <m:sty m:val="p"/>
          </m:rPr>
          <m:t>,</m:t>
        </m:r>
      </m:oMath>
      <w:r>
        <w:t xml:space="preserve"> in excellent agreement with QCD predictions, thereby completing the parameter system of the strong interaction.</w:t>
      </w:r>
    </w:p>
    <w:bookmarkEnd w:id="5"/>
    <w:p w14:paraId="6CB4C8F7">
      <w:pPr>
        <w:pStyle w:val="7"/>
      </w:pPr>
      <w:bookmarkStart w:id="6" w:name="X2e88faacdcbff2c00eff020982723c40d8e2d63"/>
      <w:r>
        <w:t xml:space="preserve">1.3 Standard Model </w:t>
      </w:r>
      <m:oMath>
        <m:r>
          <m:rPr/>
          <m:t>SU</m:t>
        </m:r>
        <m:r>
          <m:rPr>
            <m:sty m:val="p"/>
          </m:rPr>
          <m:t>(</m:t>
        </m:r>
        <m:r>
          <m:rPr/>
          <m:t>3</m:t>
        </m:r>
        <m:sSub>
          <m:sSubPr/>
          <m:e>
            <m:r>
              <m:rPr>
                <m:sty m:val="p"/>
              </m:rPr>
              <m:t>)</m:t>
            </m:r>
          </m:e>
          <m:sub>
            <m:r>
              <m:rPr/>
              <m:t>c</m:t>
            </m:r>
          </m:sub>
        </m:sSub>
      </m:oMath>
      <w:r>
        <w:t xml:space="preserve"> Octet Gluon Configuration</w:t>
      </w:r>
    </w:p>
    <w:p w14:paraId="56BFD3B6">
      <w:pPr>
        <w:pStyle w:val="4"/>
      </w:pPr>
      <w:r>
        <w:t xml:space="preserve">In the Standard Model, the color space of the strong interaction consists of three basic colors – red (R), green (G), blue (B) – and their corresponding anticolors. Combining one color and one anticolor yields nine possible color–anticolor superpositions. One of these is the colorless singlet </w:t>
      </w:r>
      <m:oMath>
        <m:r>
          <m:rPr>
            <m:sty m:val="p"/>
          </m:rPr>
          <m:t>(</m:t>
        </m:r>
        <m:r>
          <m:rPr/>
          <m:t>R</m:t>
        </m:r>
        <m:acc>
          <m:accPr>
            <m:chr m:val="‾"/>
          </m:accPr>
          <m:e>
            <m:r>
              <m:rPr/>
              <m:t>R</m:t>
            </m:r>
          </m:e>
        </m:acc>
        <m:r>
          <m:rPr>
            <m:sty m:val="p"/>
          </m:rPr>
          <m:t>+</m:t>
        </m:r>
        <m:r>
          <m:rPr/>
          <m:t>G</m:t>
        </m:r>
        <m:acc>
          <m:accPr>
            <m:chr m:val="‾"/>
          </m:accPr>
          <m:e>
            <m:r>
              <m:rPr/>
              <m:t>G</m:t>
            </m:r>
          </m:e>
        </m:acc>
        <m:r>
          <m:rPr>
            <m:sty m:val="p"/>
          </m:rPr>
          <m:t>+</m:t>
        </m:r>
        <m:r>
          <m:rPr/>
          <m:t>B</m:t>
        </m:r>
        <m:acc>
          <m:accPr>
            <m:chr m:val="‾"/>
          </m:accPr>
          <m:e>
            <m:r>
              <m:rPr/>
              <m:t>B</m:t>
            </m:r>
          </m:e>
        </m:acc>
        <m:r>
          <m:rPr>
            <m:sty m:val="p"/>
          </m:rPr>
          <m:t>)/</m:t>
        </m:r>
        <m:rad>
          <m:radPr>
            <m:degHide m:val="1"/>
          </m:radPr>
          <m:deg/>
          <m:e>
            <m:r>
              <m:rPr/>
              <m:t>3</m:t>
            </m:r>
          </m:e>
        </m:rad>
        <m:r>
          <m:rPr>
            <m:sty m:val="p"/>
          </m:rPr>
          <m:t>,</m:t>
        </m:r>
      </m:oMath>
      <w:r>
        <w:t xml:space="preserve"> which does not participate in the strong interaction and has no physical propagation. The remaining eight linearly independent states constitute the adjoint representation of the </w:t>
      </w:r>
      <m:oMath>
        <m:r>
          <m:rPr/>
          <m:t>SU</m:t>
        </m:r>
        <m:r>
          <m:rPr>
            <m:sty m:val="p"/>
          </m:rPr>
          <m:t>(</m:t>
        </m:r>
        <m:r>
          <m:rPr/>
          <m:t>3</m:t>
        </m:r>
        <m:sSub>
          <m:sSubPr/>
          <m:e>
            <m:r>
              <m:rPr>
                <m:sty m:val="p"/>
              </m:rPr>
              <m:t>)</m:t>
            </m:r>
          </m:e>
          <m:sub>
            <m:r>
              <m:rPr/>
              <m:t>c</m:t>
            </m:r>
          </m:sub>
        </m:sSub>
      </m:oMath>
      <w:r>
        <w:t xml:space="preserve"> gauge group – the standard octet of physical gluons.</w:t>
      </w:r>
    </w:p>
    <w:p w14:paraId="56AC9F94">
      <w:pPr>
        <w:pStyle w:val="3"/>
      </w:pPr>
      <w:r>
        <w:t>The complete set of standard gluons (in the Gell‑Mann basis) is:</w:t>
      </w:r>
    </w:p>
    <w:p w14:paraId="30069408">
      <w:pPr>
        <w:pStyle w:val="3"/>
      </w:pPr>
      <m:oMathPara>
        <m:oMathParaPr>
          <m:jc m:val="center"/>
        </m:oMathParaPr>
        <m:oMath>
          <m:eqArr>
            <m:eqArrPr/>
            <m:e>
              <m:r>
                <m:rPr/>
                <m:t>&amp;</m:t>
              </m:r>
              <m:sSub>
                <m:sSubPr/>
                <m:e>
                  <m:r>
                    <m:rPr/>
                    <m:t>g</m:t>
                  </m:r>
                </m:e>
                <m:sub>
                  <m:r>
                    <m:rPr/>
                    <m:t>1</m:t>
                  </m:r>
                </m:sub>
              </m:sSub>
              <m:r>
                <m:rPr>
                  <m:sty m:val="p"/>
                </m:rPr>
                <m:t>=</m:t>
              </m:r>
              <m:r>
                <m:rPr/>
                <m:t>R</m:t>
              </m:r>
              <m:acc>
                <m:accPr>
                  <m:chr m:val="‾"/>
                </m:accPr>
                <m:e>
                  <m:r>
                    <m:rPr/>
                    <m:t>G</m:t>
                  </m:r>
                </m:e>
              </m:acc>
              <m:r>
                <m:rPr>
                  <m:sty m:val="p"/>
                </m:rPr>
                <m:t>,</m:t>
              </m:r>
              <m:r>
                <m:rPr/>
                <m:t> </m:t>
              </m:r>
              <m:sSub>
                <m:sSubPr/>
                <m:e>
                  <m:r>
                    <m:rPr/>
                    <m:t>g</m:t>
                  </m:r>
                </m:e>
                <m:sub>
                  <m:r>
                    <m:rPr/>
                    <m:t>2</m:t>
                  </m:r>
                </m:sub>
              </m:sSub>
              <m:r>
                <m:rPr>
                  <m:sty m:val="p"/>
                </m:rPr>
                <m:t>=</m:t>
              </m:r>
              <m:r>
                <m:rPr/>
                <m:t>R</m:t>
              </m:r>
              <m:acc>
                <m:accPr>
                  <m:chr m:val="‾"/>
                </m:accPr>
                <m:e>
                  <m:r>
                    <m:rPr/>
                    <m:t>B</m:t>
                  </m:r>
                </m:e>
              </m:acc>
              <m:r>
                <m:rPr>
                  <m:sty m:val="p"/>
                </m:rPr>
                <m:t>,</m:t>
              </m:r>
              <m:r>
                <m:rPr/>
                <m:t> </m:t>
              </m:r>
              <m:sSub>
                <m:sSubPr/>
                <m:e>
                  <m:r>
                    <m:rPr/>
                    <m:t>g</m:t>
                  </m:r>
                </m:e>
                <m:sub>
                  <m:r>
                    <m:rPr/>
                    <m:t>3</m:t>
                  </m:r>
                </m:sub>
              </m:sSub>
              <m:r>
                <m:rPr>
                  <m:sty m:val="p"/>
                </m:rPr>
                <m:t>=</m:t>
              </m:r>
              <m:r>
                <m:rPr/>
                <m:t>G</m:t>
              </m:r>
              <m:acc>
                <m:accPr>
                  <m:chr m:val="‾"/>
                </m:accPr>
                <m:e>
                  <m:r>
                    <m:rPr/>
                    <m:t>R</m:t>
                  </m:r>
                </m:e>
              </m:acc>
              <m:r>
                <m:rPr>
                  <m:sty m:val="p"/>
                </m:rPr>
                <m:t>,</m:t>
              </m:r>
              <m:r>
                <m:rPr/>
                <m:t> </m:t>
              </m:r>
              <m:sSub>
                <m:sSubPr/>
                <m:e>
                  <m:r>
                    <m:rPr/>
                    <m:t>g</m:t>
                  </m:r>
                </m:e>
                <m:sub>
                  <m:r>
                    <m:rPr/>
                    <m:t>4</m:t>
                  </m:r>
                </m:sub>
              </m:sSub>
              <m:r>
                <m:rPr>
                  <m:sty m:val="p"/>
                </m:rPr>
                <m:t>=</m:t>
              </m:r>
              <m:r>
                <m:rPr/>
                <m:t>G</m:t>
              </m:r>
              <m:acc>
                <m:accPr>
                  <m:chr m:val="‾"/>
                </m:accPr>
                <m:e>
                  <m:r>
                    <m:rPr/>
                    <m:t>B</m:t>
                  </m:r>
                </m:e>
              </m:acc>
              <m:r>
                <m:rPr>
                  <m:sty m:val="p"/>
                </m:rPr>
                <m:t>,</m:t>
              </m:r>
              <m:r>
                <m:rPr/>
                <m:t> </m:t>
              </m:r>
              <m:sSub>
                <m:sSubPr/>
                <m:e>
                  <m:r>
                    <m:rPr/>
                    <m:t>g</m:t>
                  </m:r>
                </m:e>
                <m:sub>
                  <m:r>
                    <m:rPr/>
                    <m:t>5</m:t>
                  </m:r>
                </m:sub>
              </m:sSub>
              <m:r>
                <m:rPr>
                  <m:sty m:val="p"/>
                </m:rPr>
                <m:t>=</m:t>
              </m:r>
              <m:r>
                <m:rPr/>
                <m:t>B</m:t>
              </m:r>
              <m:acc>
                <m:accPr>
                  <m:chr m:val="‾"/>
                </m:accPr>
                <m:e>
                  <m:r>
                    <m:rPr/>
                    <m:t>R</m:t>
                  </m:r>
                </m:e>
              </m:acc>
              <m:r>
                <m:rPr>
                  <m:sty m:val="p"/>
                </m:rPr>
                <m:t>,</m:t>
              </m:r>
              <m:r>
                <m:rPr/>
                <m:t> </m:t>
              </m:r>
              <m:sSub>
                <m:sSubPr/>
                <m:e>
                  <m:r>
                    <m:rPr/>
                    <m:t>g</m:t>
                  </m:r>
                </m:e>
                <m:sub>
                  <m:r>
                    <m:rPr/>
                    <m:t>6</m:t>
                  </m:r>
                </m:sub>
              </m:sSub>
              <m:r>
                <m:rPr>
                  <m:sty m:val="p"/>
                </m:rPr>
                <m:t>=</m:t>
              </m:r>
              <m:r>
                <m:rPr/>
                <m:t>B</m:t>
              </m:r>
              <m:acc>
                <m:accPr>
                  <m:chr m:val="‾"/>
                </m:accPr>
                <m:e>
                  <m:r>
                    <m:rPr/>
                    <m:t>G</m:t>
                  </m:r>
                </m:e>
              </m:acc>
              <m:r>
                <m:rPr>
                  <m:sty m:val="p"/>
                </m:rPr>
                <m:t>,</m:t>
              </m:r>
            </m:e>
            <m:e>
              <m:r>
                <m:rPr/>
                <m:t>&amp;</m:t>
              </m:r>
              <m:sSub>
                <m:sSubPr/>
                <m:e>
                  <m:r>
                    <m:rPr/>
                    <m:t>g</m:t>
                  </m:r>
                </m:e>
                <m:sub>
                  <m:r>
                    <m:rPr/>
                    <m:t>7</m:t>
                  </m:r>
                </m:sub>
              </m:sSub>
              <m:r>
                <m:rPr>
                  <m:sty m:val="p"/>
                </m:rPr>
                <m:t>=</m:t>
              </m:r>
              <m:f>
                <m:fPr>
                  <m:type m:val="lin"/>
                </m:fPr>
                <m:num>
                  <m:r>
                    <m:rPr/>
                    <m:t>1</m:t>
                  </m:r>
                </m:num>
                <m:den>
                  <m:rad>
                    <m:radPr>
                      <m:degHide m:val="1"/>
                    </m:radPr>
                    <m:deg/>
                    <m:e>
                      <m:r>
                        <m:rPr/>
                        <m:t>2</m:t>
                      </m:r>
                    </m:e>
                  </m:rad>
                </m:den>
              </m:f>
              <m:r>
                <m:rPr>
                  <m:sty m:val="p"/>
                </m:rPr>
                <m:t>(</m:t>
              </m:r>
              <m:r>
                <m:rPr/>
                <m:t>R</m:t>
              </m:r>
              <m:acc>
                <m:accPr>
                  <m:chr m:val="‾"/>
                </m:accPr>
                <m:e>
                  <m:r>
                    <m:rPr/>
                    <m:t>R</m:t>
                  </m:r>
                </m:e>
              </m:acc>
              <m:r>
                <m:rPr>
                  <m:sty m:val="p"/>
                </m:rPr>
                <m:t>−</m:t>
              </m:r>
              <m:r>
                <m:rPr/>
                <m:t>G</m:t>
              </m:r>
              <m:acc>
                <m:accPr>
                  <m:chr m:val="‾"/>
                </m:accPr>
                <m:e>
                  <m:r>
                    <m:rPr/>
                    <m:t>G</m:t>
                  </m:r>
                </m:e>
              </m:acc>
              <m:r>
                <m:rPr>
                  <m:sty m:val="p"/>
                </m:rPr>
                <m:t>),</m:t>
              </m:r>
              <m:r>
                <m:rPr/>
                <m:t> </m:t>
              </m:r>
              <m:sSub>
                <m:sSubPr/>
                <m:e>
                  <m:r>
                    <m:rPr/>
                    <m:t>g</m:t>
                  </m:r>
                </m:e>
                <m:sub>
                  <m:r>
                    <m:rPr/>
                    <m:t>8</m:t>
                  </m:r>
                </m:sub>
              </m:sSub>
              <m:r>
                <m:rPr>
                  <m:sty m:val="p"/>
                </m:rPr>
                <m:t>=</m:t>
              </m:r>
              <m:f>
                <m:fPr>
                  <m:type m:val="lin"/>
                </m:fPr>
                <m:num>
                  <m:r>
                    <m:rPr/>
                    <m:t>1</m:t>
                  </m:r>
                </m:num>
                <m:den>
                  <m:rad>
                    <m:radPr>
                      <m:degHide m:val="1"/>
                    </m:radPr>
                    <m:deg/>
                    <m:e>
                      <m:r>
                        <m:rPr/>
                        <m:t>6</m:t>
                      </m:r>
                    </m:e>
                  </m:rad>
                </m:den>
              </m:f>
              <m:r>
                <m:rPr>
                  <m:sty m:val="p"/>
                </m:rPr>
                <m:t>(</m:t>
              </m:r>
              <m:r>
                <m:rPr/>
                <m:t>R</m:t>
              </m:r>
              <m:acc>
                <m:accPr>
                  <m:chr m:val="‾"/>
                </m:accPr>
                <m:e>
                  <m:r>
                    <m:rPr/>
                    <m:t>R</m:t>
                  </m:r>
                </m:e>
              </m:acc>
              <m:r>
                <m:rPr>
                  <m:sty m:val="p"/>
                </m:rPr>
                <m:t>+</m:t>
              </m:r>
              <m:r>
                <m:rPr/>
                <m:t>G</m:t>
              </m:r>
              <m:acc>
                <m:accPr>
                  <m:chr m:val="‾"/>
                </m:accPr>
                <m:e>
                  <m:r>
                    <m:rPr/>
                    <m:t>G</m:t>
                  </m:r>
                </m:e>
              </m:acc>
              <m:r>
                <m:rPr>
                  <m:sty m:val="p"/>
                </m:rPr>
                <m:t>−</m:t>
              </m:r>
              <m:r>
                <m:rPr/>
                <m:t>2B</m:t>
              </m:r>
              <m:acc>
                <m:accPr>
                  <m:chr m:val="‾"/>
                </m:accPr>
                <m:e>
                  <m:r>
                    <m:rPr/>
                    <m:t>B</m:t>
                  </m:r>
                </m:e>
              </m:acc>
              <m:r>
                <m:rPr>
                  <m:sty m:val="p"/>
                </m:rPr>
                <m:t>)</m:t>
              </m:r>
            </m:e>
          </m:eqArr>
        </m:oMath>
      </m:oMathPara>
    </w:p>
    <w:p w14:paraId="5CFA5420">
      <w:pPr>
        <w:pStyle w:val="4"/>
      </w:pPr>
      <w:r>
        <w:t xml:space="preserve">Here </w:t>
      </w:r>
      <m:oMath>
        <m:sSub>
          <m:sSubPr/>
          <m:e>
            <m:r>
              <m:rPr/>
              <m:t>g</m:t>
            </m:r>
          </m:e>
          <m:sub>
            <m:r>
              <m:rPr/>
              <m:t>7</m:t>
            </m:r>
          </m:sub>
        </m:sSub>
      </m:oMath>
      <w:r>
        <w:t xml:space="preserve"> and </w:t>
      </w:r>
      <m:oMath>
        <m:sSub>
          <m:sSubPr/>
          <m:e>
            <m:r>
              <m:rPr/>
              <m:t>g</m:t>
            </m:r>
          </m:e>
          <m:sub>
            <m:r>
              <m:rPr/>
              <m:t>8</m:t>
            </m:r>
          </m:sub>
        </m:sSub>
      </m:oMath>
      <w:r>
        <w:t xml:space="preserve"> are the two diagonal gluons, while </w:t>
      </w:r>
      <m:oMath>
        <m:sSub>
          <m:sSubPr/>
          <m:e>
            <m:r>
              <m:rPr/>
              <m:t>g</m:t>
            </m:r>
          </m:e>
          <m:sub>
            <m:r>
              <m:rPr/>
              <m:t>1</m:t>
            </m:r>
          </m:sub>
        </m:sSub>
      </m:oMath>
      <w:r>
        <w:t>–</w:t>
      </w:r>
      <m:oMath>
        <m:sSub>
          <m:sSubPr/>
          <m:e>
            <m:r>
              <m:rPr/>
              <m:t>g</m:t>
            </m:r>
          </m:e>
          <m:sub>
            <m:r>
              <m:rPr/>
              <m:t>6</m:t>
            </m:r>
          </m:sub>
        </m:sSub>
      </m:oMath>
      <w:r>
        <w:t xml:space="preserve"> are the six off‑diagonal gluons. All experimentally observed gluons mediating the strong interaction belong to this octet; they possess the property of self‑coupling and transmit the strong force. The third jet observed in the 1979–1980 PETRA experiments corresponds to any one of these octet gluons.</w:t>
      </w:r>
    </w:p>
    <w:bookmarkEnd w:id="6"/>
    <w:p w14:paraId="0C9BDD60">
      <w:pPr>
        <w:pStyle w:val="7"/>
      </w:pPr>
      <w:bookmarkStart w:id="7" w:name="Xc2ed2d0469d332ebbc9c221349cb5ba75e37f80"/>
      <w:r>
        <w:t>1.4 Experimental Jet Reconstruction and Event Selection Criteria</w:t>
      </w:r>
    </w:p>
    <w:p w14:paraId="4AF12DFB">
      <w:pPr>
        <w:pStyle w:val="4"/>
      </w:pPr>
      <w:r>
        <w:t>In high‑energy physics, the identification and quantitative analysis of three‑jet events rely on standardized algorithms and event‑shape variables – a mature data‑analysis framework:</w:t>
      </w:r>
    </w:p>
    <w:p w14:paraId="450C1E18">
      <w:pPr>
        <w:pStyle w:val="26"/>
        <w:numPr>
          <w:ilvl w:val="0"/>
          <w:numId w:val="1"/>
        </w:numPr>
      </w:pPr>
      <w:r>
        <w:rPr>
          <w:b/>
          <w:bCs/>
        </w:rPr>
        <w:t>Jet Clustering Algorithms:</w:t>
      </w:r>
      <w:r>
        <w:t xml:space="preserve"> The Durham algorithm and the </w:t>
      </w:r>
      <m:oMath>
        <m:sSub>
          <m:sSubPr/>
          <m:e>
            <m:r>
              <m:rPr/>
              <m:t>k</m:t>
            </m:r>
          </m:e>
          <m:sub>
            <m:r>
              <m:rPr/>
              <m:t>t</m:t>
            </m:r>
          </m:sub>
        </m:sSub>
      </m:oMath>
      <w:r>
        <w:t xml:space="preserve"> algorithm are most commonly used, with a relative transverse momentum threshold </w:t>
      </w:r>
      <m:oMath>
        <m:sSub>
          <m:sSubPr/>
          <m:e>
            <m:r>
              <m:rPr/>
              <m:t>k</m:t>
            </m:r>
          </m:e>
          <m:sub>
            <m:r>
              <m:rPr/>
              <m:t>t</m:t>
            </m:r>
          </m:sub>
        </m:sSub>
        <m:r>
          <m:rPr>
            <m:sty m:val="p"/>
          </m:rPr>
          <m:t>≈</m:t>
        </m:r>
        <m:r>
          <m:rPr/>
          <m:t>5</m:t>
        </m:r>
        <m:r>
          <m:rPr>
            <m:sty m:val="p"/>
          </m:rPr>
          <m:t>−−</m:t>
        </m:r>
        <m:r>
          <m:rPr/>
          <m:t>10</m:t>
        </m:r>
        <m:r>
          <m:rPr>
            <m:sty m:val="p"/>
          </m:rPr>
          <m:t>GeV/</m:t>
        </m:r>
        <m:r>
          <m:rPr/>
          <m:t>c</m:t>
        </m:r>
        <m:r>
          <m:rPr>
            <m:sty m:val="p"/>
          </m:rPr>
          <m:t>,</m:t>
        </m:r>
      </m:oMath>
      <w:r>
        <w:t xml:space="preserve"> to reconstruct parton jets from final‑state hadrons and suppress soft‑particle backgrounds.</w:t>
      </w:r>
    </w:p>
    <w:p w14:paraId="31C2BCF2">
      <w:pPr>
        <w:pStyle w:val="26"/>
        <w:numPr>
          <w:ilvl w:val="0"/>
          <w:numId w:val="1"/>
        </w:numPr>
      </w:pPr>
      <w:r>
        <w:rPr>
          <w:b/>
          <w:bCs/>
        </w:rPr>
        <w:t>Event‑Shape Criteria:</w:t>
      </w:r>
      <w:r>
        <w:t xml:space="preserve"> Three core variables – sphericity, thrust, and aplanarity – are employed to select events with a coplanar three‑jet topology and to separate two‑jet backgrounds from three‑jet signals.</w:t>
      </w:r>
    </w:p>
    <w:p w14:paraId="750D257B">
      <w:pPr>
        <w:pStyle w:val="26"/>
        <w:numPr>
          <w:ilvl w:val="0"/>
          <w:numId w:val="1"/>
        </w:numPr>
      </w:pPr>
      <w:r>
        <w:rPr>
          <w:b/>
          <w:bCs/>
        </w:rPr>
        <w:t>Kinematic Constraints:</w:t>
      </w:r>
      <w:r>
        <w:t xml:space="preserve"> Strict satisfaction of three‑parton momentum and energy conservation is a prerequisite for identifying physically valid events.</w:t>
      </w:r>
    </w:p>
    <w:bookmarkEnd w:id="3"/>
    <w:bookmarkEnd w:id="7"/>
    <w:p w14:paraId="6D3975E4">
      <w:pPr>
        <w:pStyle w:val="6"/>
      </w:pPr>
      <w:bookmarkStart w:id="8" w:name="X7ad586c8fa044b7e1898306173f57b9338fc8db"/>
      <w:r>
        <w:t>2 The Eight‑Gluon Topological System in the FCWFT Framework (Pure Theoretical Reconstruction)</w:t>
      </w:r>
    </w:p>
    <w:p w14:paraId="52FF2165">
      <w:pPr>
        <w:pStyle w:val="4"/>
      </w:pPr>
      <w:r>
        <w:t>All content in this chapter results from original FCWFT theoretical deduction. It does not belong to the established conclusions of the Standard Model and serves solely as a tool for theoretical interpretation. It carries no experimental exclusivity and does not replace any factual description.</w:t>
      </w:r>
    </w:p>
    <w:p w14:paraId="47B82030">
      <w:pPr>
        <w:pStyle w:val="3"/>
      </w:pPr>
      <w:r>
        <w:rPr>
          <w:b/>
          <w:bCs/>
        </w:rPr>
        <w:t>FCWFT Three‑Field Axioms:</w:t>
      </w:r>
      <w:r>
        <w:t xml:space="preserve"> The A‑field (spin‑1 vector field) endows particles with electromagnetic interactions and wave properties; the B‑field (spin‑½ spinor field) endows particles with color charge, weak charge, electric charge, and spin; the C‑field (spin‑0 scalar field) endows particles with rest mass, momentum, and particle nature. The mediators of the strong interaction arise from topological pairing of color charges in the B‑field, without presupposing a specific gauge group.</w:t>
      </w:r>
    </w:p>
    <w:p w14:paraId="13926B76">
      <w:pPr>
        <w:pStyle w:val="7"/>
      </w:pPr>
      <w:bookmarkStart w:id="9" w:name="X6f8ccad9dd12ef39cf8d24b5ac598f8284cbe6f"/>
      <w:r>
        <w:t>2.1 Complete Topological List of the Eight FCWFT Gluons</w:t>
      </w:r>
    </w:p>
    <w:p w14:paraId="10C19584">
      <w:pPr>
        <w:pStyle w:val="4"/>
      </w:pPr>
      <w:r>
        <w:t>Based on the rules of positive–negative color‑charge pairing and topological closure of the B‑field, we establish the exclusive FCWFT eight‑gluon system, specifying the microscopic structure, physical classification, and propagation characteristics of each type.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70"/>
        <w:gridCol w:w="1778"/>
        <w:gridCol w:w="1727"/>
        <w:gridCol w:w="2288"/>
        <w:gridCol w:w="1933"/>
      </w:tblGrid>
      <w:tr w14:paraId="4F340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A61C1DE">
            <w:pPr>
              <w:pStyle w:val="26"/>
              <w:jc w:val="center"/>
            </w:pPr>
            <w:r>
              <w:rPr>
                <w:b/>
              </w:rPr>
              <w:t>No.</w:t>
            </w:r>
          </w:p>
        </w:tc>
        <w:tc>
          <w:tcPr>
            <w:shd w:val="clear" w:color="auto" w:fill="B9CDE5"/>
            <w:vAlign w:val="center"/>
          </w:tcPr>
          <w:p w14:paraId="5D93306D">
            <w:pPr>
              <w:pStyle w:val="26"/>
              <w:jc w:val="center"/>
            </w:pPr>
            <w:r>
              <w:rPr>
                <w:b/>
              </w:rPr>
              <w:t>Name</w:t>
            </w:r>
          </w:p>
        </w:tc>
        <w:tc>
          <w:tcPr>
            <w:shd w:val="clear" w:color="auto" w:fill="B9CDE5"/>
            <w:vAlign w:val="center"/>
          </w:tcPr>
          <w:p w14:paraId="7B9BC1FF">
            <w:pPr>
              <w:pStyle w:val="26"/>
              <w:jc w:val="center"/>
            </w:pPr>
            <w:r>
              <w:rPr>
                <w:b/>
              </w:rPr>
              <w:t>Microscopic Topological Structure</w:t>
            </w:r>
          </w:p>
        </w:tc>
        <w:tc>
          <w:tcPr>
            <w:shd w:val="clear" w:color="auto" w:fill="B9CDE5"/>
            <w:vAlign w:val="center"/>
          </w:tcPr>
          <w:p w14:paraId="1638C477">
            <w:pPr>
              <w:pStyle w:val="26"/>
              <w:jc w:val="center"/>
            </w:pPr>
            <w:r>
              <w:rPr>
                <w:b/>
              </w:rPr>
              <w:t>Physical Classification</w:t>
            </w:r>
          </w:p>
        </w:tc>
        <w:tc>
          <w:tcPr>
            <w:shd w:val="clear" w:color="auto" w:fill="B9CDE5"/>
            <w:vAlign w:val="center"/>
          </w:tcPr>
          <w:p w14:paraId="2CCB0ABA">
            <w:pPr>
              <w:pStyle w:val="26"/>
              <w:jc w:val="center"/>
            </w:pPr>
            <w:r>
              <w:rPr>
                <w:b/>
              </w:rPr>
              <w:t>Propagation Characteristics</w:t>
            </w:r>
          </w:p>
        </w:tc>
      </w:tr>
      <w:tr w14:paraId="40975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A92856">
            <w:pPr>
              <w:pStyle w:val="26"/>
              <w:jc w:val="center"/>
            </w:pPr>
            <m:oMathPara>
              <m:oMath>
                <m:sSub>
                  <m:sSubPr/>
                  <m:e>
                    <m:r>
                      <m:rPr/>
                      <m:t>g</m:t>
                    </m:r>
                  </m:e>
                  <m:sub>
                    <m:r>
                      <m:rPr/>
                      <m:t>1</m:t>
                    </m:r>
                  </m:sub>
                </m:sSub>
              </m:oMath>
            </m:oMathPara>
          </w:p>
        </w:tc>
        <w:tc>
          <w:tcPr>
            <w:vAlign w:val="center"/>
          </w:tcPr>
          <w:p w14:paraId="74388806">
            <w:pPr>
              <w:pStyle w:val="26"/>
              <w:jc w:val="center"/>
            </w:pPr>
            <w:r>
              <w:t>Single‑color Red</w:t>
            </w:r>
          </w:p>
        </w:tc>
        <w:tc>
          <w:tcPr>
            <w:vAlign w:val="center"/>
          </w:tcPr>
          <w:p w14:paraId="6EE80310">
            <w:pPr>
              <w:pStyle w:val="26"/>
              <w:jc w:val="center"/>
            </w:pPr>
            <m:oMath>
              <m:r>
                <m:rPr/>
                <m:t>R</m:t>
              </m:r>
              <m:r>
                <m:rPr>
                  <m:sty m:val="p"/>
                </m:rPr>
                <m:t>⊗</m:t>
              </m:r>
              <m:acc>
                <m:accPr>
                  <m:chr m:val="‾"/>
                </m:accPr>
                <m:e>
                  <m:r>
                    <m:rPr/>
                    <m:t>R</m:t>
                  </m:r>
                </m:e>
              </m:acc>
            </m:oMath>
            <w:r>
              <w:t xml:space="preserve"> topological closure to zero</w:t>
            </w:r>
          </w:p>
        </w:tc>
        <w:tc>
          <w:tcPr>
            <w:vAlign w:val="center"/>
          </w:tcPr>
          <w:p w14:paraId="4A33A25F">
            <w:pPr>
              <w:pStyle w:val="26"/>
              <w:jc w:val="center"/>
            </w:pPr>
            <w:r>
              <w:t>Strong · single‑color eigenstate</w:t>
            </w:r>
          </w:p>
        </w:tc>
        <w:tc>
          <w:tcPr>
            <w:vAlign w:val="center"/>
          </w:tcPr>
          <w:p w14:paraId="4DC2D5AE">
            <w:pPr>
              <w:pStyle w:val="26"/>
              <w:jc w:val="center"/>
            </w:pPr>
            <w:r>
              <w:t>Real, propagates; participates in jets</w:t>
            </w:r>
          </w:p>
        </w:tc>
      </w:tr>
      <w:tr w14:paraId="7EBF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EBD6CC">
            <w:pPr>
              <w:pStyle w:val="26"/>
              <w:jc w:val="center"/>
            </w:pPr>
            <m:oMathPara>
              <m:oMath>
                <m:sSub>
                  <m:sSubPr/>
                  <m:e>
                    <m:r>
                      <m:rPr/>
                      <m:t>g</m:t>
                    </m:r>
                  </m:e>
                  <m:sub>
                    <m:r>
                      <m:rPr/>
                      <m:t>2</m:t>
                    </m:r>
                  </m:sub>
                </m:sSub>
              </m:oMath>
            </m:oMathPara>
          </w:p>
        </w:tc>
        <w:tc>
          <w:tcPr>
            <w:vAlign w:val="center"/>
          </w:tcPr>
          <w:p w14:paraId="4CBCB7FB">
            <w:pPr>
              <w:pStyle w:val="26"/>
              <w:jc w:val="center"/>
            </w:pPr>
            <w:r>
              <w:t>Single‑color Green</w:t>
            </w:r>
          </w:p>
        </w:tc>
        <w:tc>
          <w:tcPr>
            <w:vAlign w:val="center"/>
          </w:tcPr>
          <w:p w14:paraId="0CD99D8C">
            <w:pPr>
              <w:pStyle w:val="26"/>
              <w:jc w:val="center"/>
            </w:pPr>
            <m:oMath>
              <m:r>
                <m:rPr/>
                <m:t>G</m:t>
              </m:r>
              <m:r>
                <m:rPr>
                  <m:sty m:val="p"/>
                </m:rPr>
                <m:t>⊗</m:t>
              </m:r>
              <m:acc>
                <m:accPr>
                  <m:chr m:val="‾"/>
                </m:accPr>
                <m:e>
                  <m:r>
                    <m:rPr/>
                    <m:t>G</m:t>
                  </m:r>
                </m:e>
              </m:acc>
            </m:oMath>
            <w:r>
              <w:t xml:space="preserve"> topological closure to zero</w:t>
            </w:r>
          </w:p>
        </w:tc>
        <w:tc>
          <w:tcPr>
            <w:vAlign w:val="center"/>
          </w:tcPr>
          <w:p w14:paraId="101794AE">
            <w:pPr>
              <w:pStyle w:val="26"/>
              <w:jc w:val="center"/>
            </w:pPr>
            <w:r>
              <w:t>Strong · single‑color eigenstate</w:t>
            </w:r>
          </w:p>
        </w:tc>
        <w:tc>
          <w:tcPr>
            <w:vAlign w:val="center"/>
          </w:tcPr>
          <w:p w14:paraId="2DCB7130">
            <w:pPr>
              <w:pStyle w:val="26"/>
              <w:jc w:val="center"/>
            </w:pPr>
            <w:r>
              <w:t>Real, propagates; participates in jets</w:t>
            </w:r>
          </w:p>
        </w:tc>
      </w:tr>
      <w:tr w14:paraId="5BA4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17BCBB1">
            <w:pPr>
              <w:pStyle w:val="26"/>
              <w:jc w:val="center"/>
            </w:pPr>
            <m:oMathPara>
              <m:oMath>
                <m:sSub>
                  <m:sSubPr/>
                  <m:e>
                    <m:r>
                      <m:rPr/>
                      <m:t>g</m:t>
                    </m:r>
                  </m:e>
                  <m:sub>
                    <m:r>
                      <m:rPr/>
                      <m:t>3</m:t>
                    </m:r>
                  </m:sub>
                </m:sSub>
              </m:oMath>
            </m:oMathPara>
          </w:p>
        </w:tc>
        <w:tc>
          <w:tcPr>
            <w:vAlign w:val="center"/>
          </w:tcPr>
          <w:p w14:paraId="6E5817BB">
            <w:pPr>
              <w:pStyle w:val="26"/>
              <w:jc w:val="center"/>
            </w:pPr>
            <w:r>
              <w:t>Single‑color Blue</w:t>
            </w:r>
          </w:p>
        </w:tc>
        <w:tc>
          <w:tcPr>
            <w:vAlign w:val="center"/>
          </w:tcPr>
          <w:p w14:paraId="780E6995">
            <w:pPr>
              <w:pStyle w:val="26"/>
              <w:jc w:val="center"/>
            </w:pPr>
            <m:oMath>
              <m:r>
                <m:rPr/>
                <m:t>B</m:t>
              </m:r>
              <m:r>
                <m:rPr>
                  <m:sty m:val="p"/>
                </m:rPr>
                <m:t>⊗</m:t>
              </m:r>
              <m:acc>
                <m:accPr>
                  <m:chr m:val="‾"/>
                </m:accPr>
                <m:e>
                  <m:r>
                    <m:rPr/>
                    <m:t>B</m:t>
                  </m:r>
                </m:e>
              </m:acc>
            </m:oMath>
            <w:r>
              <w:t xml:space="preserve"> topological closure to zero</w:t>
            </w:r>
          </w:p>
        </w:tc>
        <w:tc>
          <w:tcPr>
            <w:vAlign w:val="center"/>
          </w:tcPr>
          <w:p w14:paraId="5592FA71">
            <w:pPr>
              <w:pStyle w:val="26"/>
              <w:jc w:val="center"/>
            </w:pPr>
            <w:r>
              <w:t>Strong · single‑color eigenstate</w:t>
            </w:r>
          </w:p>
        </w:tc>
        <w:tc>
          <w:tcPr>
            <w:vAlign w:val="center"/>
          </w:tcPr>
          <w:p w14:paraId="02F2D0B6">
            <w:pPr>
              <w:pStyle w:val="26"/>
              <w:jc w:val="center"/>
            </w:pPr>
            <w:r>
              <w:t>Real, propagates; participates in jets</w:t>
            </w:r>
          </w:p>
        </w:tc>
      </w:tr>
      <w:tr w14:paraId="79E84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C12639">
            <w:pPr>
              <w:pStyle w:val="26"/>
              <w:jc w:val="center"/>
            </w:pPr>
            <m:oMathPara>
              <m:oMath>
                <m:sSub>
                  <m:sSubPr/>
                  <m:e>
                    <m:r>
                      <m:rPr/>
                      <m:t>g</m:t>
                    </m:r>
                  </m:e>
                  <m:sub>
                    <m:r>
                      <m:rPr/>
                      <m:t>4</m:t>
                    </m:r>
                  </m:sub>
                </m:sSub>
              </m:oMath>
            </m:oMathPara>
          </w:p>
        </w:tc>
        <w:tc>
          <w:tcPr>
            <w:vAlign w:val="center"/>
          </w:tcPr>
          <w:p w14:paraId="5DA21B5F">
            <w:pPr>
              <w:pStyle w:val="26"/>
              <w:jc w:val="center"/>
            </w:pPr>
            <w:r>
              <w:t>Two‑color RG</w:t>
            </w:r>
          </w:p>
        </w:tc>
        <w:tc>
          <w:tcPr>
            <w:vAlign w:val="center"/>
          </w:tcPr>
          <w:p w14:paraId="71E3D771">
            <w:pPr>
              <w:pStyle w:val="26"/>
              <w:jc w:val="center"/>
            </w:pPr>
            <m:oMath>
              <m:r>
                <m:rPr/>
                <m:t>RG</m:t>
              </m:r>
              <m:r>
                <m:rPr>
                  <m:sty m:val="p"/>
                </m:rPr>
                <m:t>⊗</m:t>
              </m:r>
              <m:acc>
                <m:accPr>
                  <m:chr m:val="‾"/>
                </m:accPr>
                <m:e>
                  <m:r>
                    <m:rPr/>
                    <m:t>R</m:t>
                  </m:r>
                </m:e>
              </m:acc>
              <m:acc>
                <m:accPr>
                  <m:chr m:val="‾"/>
                </m:accPr>
                <m:e>
                  <m:r>
                    <m:rPr/>
                    <m:t>G</m:t>
                  </m:r>
                </m:e>
              </m:acc>
            </m:oMath>
            <w:r>
              <w:t xml:space="preserve"> composite closure</w:t>
            </w:r>
          </w:p>
        </w:tc>
        <w:tc>
          <w:tcPr>
            <w:vAlign w:val="center"/>
          </w:tcPr>
          <w:p w14:paraId="07812212">
            <w:pPr>
              <w:pStyle w:val="26"/>
              <w:jc w:val="center"/>
            </w:pPr>
            <w:r>
              <w:t>Strong · two‑color superposition</w:t>
            </w:r>
          </w:p>
        </w:tc>
        <w:tc>
          <w:tcPr>
            <w:vAlign w:val="center"/>
          </w:tcPr>
          <w:p w14:paraId="29E2579C">
            <w:pPr>
              <w:pStyle w:val="26"/>
              <w:jc w:val="center"/>
            </w:pPr>
            <w:r>
              <w:t>Real, propagates; higher‑order interactions</w:t>
            </w:r>
          </w:p>
        </w:tc>
      </w:tr>
      <w:tr w14:paraId="4EDBA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0A961A1">
            <w:pPr>
              <w:pStyle w:val="26"/>
              <w:jc w:val="center"/>
            </w:pPr>
            <m:oMathPara>
              <m:oMath>
                <m:sSub>
                  <m:sSubPr/>
                  <m:e>
                    <m:r>
                      <m:rPr/>
                      <m:t>g</m:t>
                    </m:r>
                  </m:e>
                  <m:sub>
                    <m:r>
                      <m:rPr/>
                      <m:t>5</m:t>
                    </m:r>
                  </m:sub>
                </m:sSub>
              </m:oMath>
            </m:oMathPara>
          </w:p>
        </w:tc>
        <w:tc>
          <w:tcPr>
            <w:vAlign w:val="center"/>
          </w:tcPr>
          <w:p w14:paraId="3D735B06">
            <w:pPr>
              <w:pStyle w:val="26"/>
              <w:jc w:val="center"/>
            </w:pPr>
            <w:r>
              <w:t>Two‑color RB</w:t>
            </w:r>
          </w:p>
        </w:tc>
        <w:tc>
          <w:tcPr>
            <w:vAlign w:val="center"/>
          </w:tcPr>
          <w:p w14:paraId="639FC202">
            <w:pPr>
              <w:pStyle w:val="26"/>
              <w:jc w:val="center"/>
            </w:pPr>
            <m:oMath>
              <m:r>
                <m:rPr/>
                <m:t>RB</m:t>
              </m:r>
              <m:r>
                <m:rPr>
                  <m:sty m:val="p"/>
                </m:rPr>
                <m:t>⊗</m:t>
              </m:r>
              <m:acc>
                <m:accPr>
                  <m:chr m:val="‾"/>
                </m:accPr>
                <m:e>
                  <m:r>
                    <m:rPr/>
                    <m:t>R</m:t>
                  </m:r>
                </m:e>
              </m:acc>
              <m:acc>
                <m:accPr>
                  <m:chr m:val="‾"/>
                </m:accPr>
                <m:e>
                  <m:r>
                    <m:rPr/>
                    <m:t>B</m:t>
                  </m:r>
                </m:e>
              </m:acc>
            </m:oMath>
            <w:r>
              <w:t xml:space="preserve"> composite closure</w:t>
            </w:r>
          </w:p>
        </w:tc>
        <w:tc>
          <w:tcPr>
            <w:vAlign w:val="center"/>
          </w:tcPr>
          <w:p w14:paraId="7E7C102A">
            <w:pPr>
              <w:pStyle w:val="26"/>
              <w:jc w:val="center"/>
            </w:pPr>
            <w:r>
              <w:t>Strong · two‑color superposition</w:t>
            </w:r>
          </w:p>
        </w:tc>
        <w:tc>
          <w:tcPr>
            <w:vAlign w:val="center"/>
          </w:tcPr>
          <w:p w14:paraId="0CB18FD6">
            <w:pPr>
              <w:pStyle w:val="26"/>
              <w:jc w:val="center"/>
            </w:pPr>
            <w:r>
              <w:t>Real, propagates; higher‑order interactions</w:t>
            </w:r>
          </w:p>
        </w:tc>
      </w:tr>
      <w:tr w14:paraId="700F6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BAFC3A7">
            <w:pPr>
              <w:pStyle w:val="26"/>
              <w:jc w:val="center"/>
            </w:pPr>
            <m:oMathPara>
              <m:oMath>
                <m:sSub>
                  <m:sSubPr/>
                  <m:e>
                    <m:r>
                      <m:rPr/>
                      <m:t>g</m:t>
                    </m:r>
                  </m:e>
                  <m:sub>
                    <m:r>
                      <m:rPr/>
                      <m:t>6</m:t>
                    </m:r>
                  </m:sub>
                </m:sSub>
              </m:oMath>
            </m:oMathPara>
          </w:p>
        </w:tc>
        <w:tc>
          <w:tcPr>
            <w:vAlign w:val="center"/>
          </w:tcPr>
          <w:p w14:paraId="16CDE477">
            <w:pPr>
              <w:pStyle w:val="26"/>
              <w:jc w:val="center"/>
            </w:pPr>
            <w:r>
              <w:t>Two‑color GB</w:t>
            </w:r>
          </w:p>
        </w:tc>
        <w:tc>
          <w:tcPr>
            <w:vAlign w:val="center"/>
          </w:tcPr>
          <w:p w14:paraId="6EAD0807">
            <w:pPr>
              <w:pStyle w:val="26"/>
              <w:jc w:val="center"/>
            </w:pPr>
            <m:oMath>
              <m:r>
                <m:rPr/>
                <m:t>GB</m:t>
              </m:r>
              <m:r>
                <m:rPr>
                  <m:sty m:val="p"/>
                </m:rPr>
                <m:t>⊗</m:t>
              </m:r>
              <m:acc>
                <m:accPr>
                  <m:chr m:val="‾"/>
                </m:accPr>
                <m:e>
                  <m:r>
                    <m:rPr/>
                    <m:t>G</m:t>
                  </m:r>
                </m:e>
              </m:acc>
              <m:acc>
                <m:accPr>
                  <m:chr m:val="‾"/>
                </m:accPr>
                <m:e>
                  <m:r>
                    <m:rPr/>
                    <m:t>B</m:t>
                  </m:r>
                </m:e>
              </m:acc>
            </m:oMath>
            <w:r>
              <w:t xml:space="preserve"> composite closure</w:t>
            </w:r>
          </w:p>
        </w:tc>
        <w:tc>
          <w:tcPr>
            <w:vAlign w:val="center"/>
          </w:tcPr>
          <w:p w14:paraId="7204168E">
            <w:pPr>
              <w:pStyle w:val="26"/>
              <w:jc w:val="center"/>
            </w:pPr>
            <w:r>
              <w:t>Strong · two‑color superposition</w:t>
            </w:r>
          </w:p>
        </w:tc>
        <w:tc>
          <w:tcPr>
            <w:vAlign w:val="center"/>
          </w:tcPr>
          <w:p w14:paraId="113C1AA9">
            <w:pPr>
              <w:pStyle w:val="26"/>
              <w:jc w:val="center"/>
            </w:pPr>
            <w:r>
              <w:t>Real, propagates; higher‑order interactions</w:t>
            </w:r>
          </w:p>
        </w:tc>
      </w:tr>
      <w:tr w14:paraId="692E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D182BE3">
            <w:pPr>
              <w:pStyle w:val="26"/>
              <w:jc w:val="center"/>
            </w:pPr>
            <m:oMathPara>
              <m:oMath>
                <m:sSub>
                  <m:sSubPr/>
                  <m:e>
                    <m:r>
                      <m:rPr/>
                      <m:t>g</m:t>
                    </m:r>
                  </m:e>
                  <m:sub>
                    <m:r>
                      <m:rPr/>
                      <m:t>7</m:t>
                    </m:r>
                  </m:sub>
                </m:sSub>
              </m:oMath>
            </m:oMathPara>
          </w:p>
        </w:tc>
        <w:tc>
          <w:tcPr>
            <w:vAlign w:val="center"/>
          </w:tcPr>
          <w:p w14:paraId="1BA3ABF8">
            <w:pPr>
              <w:pStyle w:val="26"/>
              <w:jc w:val="center"/>
            </w:pPr>
            <w:r>
              <w:t>Fully white virtual</w:t>
            </w:r>
          </w:p>
        </w:tc>
        <w:tc>
          <w:tcPr>
            <w:vAlign w:val="center"/>
          </w:tcPr>
          <w:p w14:paraId="0AC4E881">
            <w:pPr>
              <w:pStyle w:val="26"/>
              <w:jc w:val="center"/>
            </w:pPr>
            <m:oMath>
              <m:r>
                <m:rPr/>
                <m:t>RGB</m:t>
              </m:r>
              <m:r>
                <m:rPr>
                  <m:sty m:val="p"/>
                </m:rPr>
                <m:t>⊗</m:t>
              </m:r>
              <m:acc>
                <m:accPr>
                  <m:chr m:val="‾"/>
                </m:accPr>
                <m:e>
                  <m:r>
                    <m:rPr/>
                    <m:t>R</m:t>
                  </m:r>
                </m:e>
              </m:acc>
              <m:acc>
                <m:accPr>
                  <m:chr m:val="‾"/>
                </m:accPr>
                <m:e>
                  <m:r>
                    <m:rPr/>
                    <m:t>G</m:t>
                  </m:r>
                </m:e>
              </m:acc>
              <m:acc>
                <m:accPr>
                  <m:chr m:val="‾"/>
                </m:accPr>
                <m:e>
                  <m:r>
                    <m:rPr/>
                    <m:t>B</m:t>
                  </m:r>
                </m:e>
              </m:acc>
            </m:oMath>
            <w:r>
              <w:t xml:space="preserve"> whitening closure</w:t>
            </w:r>
          </w:p>
        </w:tc>
        <w:tc>
          <w:tcPr>
            <w:vAlign w:val="center"/>
          </w:tcPr>
          <w:p w14:paraId="0206FFB4">
            <w:pPr>
              <w:pStyle w:val="26"/>
              <w:jc w:val="center"/>
            </w:pPr>
            <w:r>
              <w:t>Strong · vacuum virtual background</w:t>
            </w:r>
          </w:p>
        </w:tc>
        <w:tc>
          <w:tcPr>
            <w:vAlign w:val="center"/>
          </w:tcPr>
          <w:p w14:paraId="6817441D">
            <w:pPr>
              <w:pStyle w:val="26"/>
              <w:jc w:val="center"/>
            </w:pPr>
            <w:r>
              <w:t>Only virtual fluctuations; no jet participation</w:t>
            </w:r>
          </w:p>
        </w:tc>
      </w:tr>
      <w:tr w14:paraId="6E5E1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A1E9368">
            <w:pPr>
              <w:pStyle w:val="26"/>
              <w:jc w:val="center"/>
            </w:pPr>
            <m:oMathPara>
              <m:oMath>
                <m:sSub>
                  <m:sSubPr/>
                  <m:e>
                    <m:r>
                      <m:rPr/>
                      <m:t>g</m:t>
                    </m:r>
                  </m:e>
                  <m:sub>
                    <m:r>
                      <m:rPr/>
                      <m:t>8</m:t>
                    </m:r>
                  </m:sub>
                </m:sSub>
              </m:oMath>
            </m:oMathPara>
          </w:p>
        </w:tc>
        <w:tc>
          <w:tcPr>
            <w:vAlign w:val="center"/>
          </w:tcPr>
          <w:p w14:paraId="036914F0">
            <w:pPr>
              <w:pStyle w:val="26"/>
              <w:jc w:val="center"/>
            </w:pPr>
            <w:r>
              <w:t>Weak‑exclusive</w:t>
            </w:r>
          </w:p>
        </w:tc>
        <w:tc>
          <w:tcPr>
            <w:vAlign w:val="center"/>
          </w:tcPr>
          <w:p w14:paraId="42979DA4">
            <w:pPr>
              <w:pStyle w:val="26"/>
              <w:jc w:val="center"/>
            </w:pPr>
            <w:r>
              <w:t xml:space="preserve">Topological flip between </w:t>
            </w:r>
            <m:oMath>
              <m:sSup>
                <m:sSupPr/>
                <m:e>
                  <m:r>
                    <m:rPr/>
                    <m:t>B</m:t>
                  </m:r>
                </m:e>
                <m:sup>
                  <m:r>
                    <m:rPr>
                      <m:sty m:val="p"/>
                    </m:rPr>
                    <m:t>+</m:t>
                  </m:r>
                </m:sup>
              </m:sSup>
            </m:oMath>
            <w:r>
              <w:t xml:space="preserve"> ground state </w:t>
            </w:r>
            <m:oMath>
              <m:r>
                <m:rPr>
                  <m:sty m:val="p"/>
                </m:rPr>
                <m:t>↔</m:t>
              </m:r>
              <m:sSup>
                <m:sSupPr/>
                <m:e>
                  <m:r>
                    <m:rPr/>
                    <m:t>B</m:t>
                  </m:r>
                </m:e>
                <m:sup>
                  <m:r>
                    <m:rPr>
                      <m:sty m:val="p"/>
                    </m:rPr>
                    <m:t>−</m:t>
                  </m:r>
                </m:sup>
              </m:sSup>
            </m:oMath>
            <w:r>
              <w:t xml:space="preserve"> ground state</w:t>
            </w:r>
          </w:p>
        </w:tc>
        <w:tc>
          <w:tcPr>
            <w:vAlign w:val="center"/>
          </w:tcPr>
          <w:p w14:paraId="5BB94324">
            <w:pPr>
              <w:pStyle w:val="26"/>
              <w:jc w:val="center"/>
            </w:pPr>
            <w:r>
              <w:t>Exclusive weak mediator</w:t>
            </w:r>
          </w:p>
        </w:tc>
        <w:tc>
          <w:tcPr>
            <w:vAlign w:val="center"/>
          </w:tcPr>
          <w:p w14:paraId="6CEC2C58">
            <w:pPr>
              <w:pStyle w:val="26"/>
              <w:jc w:val="center"/>
            </w:pPr>
            <w:r>
              <w:t>Only in weak processes; not in strong jets</w:t>
            </w:r>
          </w:p>
        </w:tc>
      </w:tr>
      <w:bookmarkEnd w:id="9"/>
    </w:tbl>
    <w:p w14:paraId="01BCD87F">
      <w:pPr>
        <w:pStyle w:val="7"/>
      </w:pPr>
      <w:bookmarkStart w:id="10" w:name="X710600dda4c5aba2aba081827a7e89dc2106e3d"/>
      <w:r>
        <w:t>2.2 Core Differences Between the FCWFT Gluon System and the Standard Model, with Basis Explanation</w:t>
      </w:r>
    </w:p>
    <w:p w14:paraId="57340BDC">
      <w:pPr>
        <w:pStyle w:val="4"/>
      </w:pPr>
      <w:r>
        <w:t>To avoid theoretical confusion, we strictly define the essential differences between the two gluon systems. All differences reside at the level of theoretical interpretation, not at the level of experimental observation.</w:t>
      </w:r>
    </w:p>
    <w:p w14:paraId="29BDFDBF">
      <w:pPr>
        <w:pStyle w:val="26"/>
        <w:numPr>
          <w:ilvl w:val="0"/>
          <w:numId w:val="1"/>
        </w:numPr>
      </w:pPr>
      <w:r>
        <w:rPr>
          <w:b/>
          <w:bCs/>
        </w:rPr>
        <w:t>Structural Difference:</w:t>
      </w:r>
      <w:r>
        <w:t xml:space="preserve"> Standard‑model physical gluons are mixed‑color combinations; FCWFT </w:t>
      </w:r>
      <m:oMath>
        <m:sSub>
          <m:sSubPr/>
          <m:e>
            <m:r>
              <m:rPr/>
              <m:t>g</m:t>
            </m:r>
          </m:e>
          <m:sub>
            <m:r>
              <m:rPr/>
              <m:t>1</m:t>
            </m:r>
          </m:sub>
        </m:sSub>
      </m:oMath>
      <w:r>
        <w:t>–</w:t>
      </w:r>
      <m:oMath>
        <m:sSub>
          <m:sSubPr/>
          <m:e>
            <m:r>
              <m:rPr/>
              <m:t>g</m:t>
            </m:r>
          </m:e>
          <m:sub>
            <m:r>
              <m:rPr/>
              <m:t>3</m:t>
            </m:r>
          </m:sub>
        </m:sSub>
      </m:oMath>
      <w:r>
        <w:t xml:space="preserve"> are color–anticolor same‑type diagonal closed states. Mathematically, the two can be related by a change of basis – the Standard Model uses a mixed basis, FCWFT uses a diagonal basis. Physical observables are equivalent; only the interpretation differs.</w:t>
      </w:r>
    </w:p>
    <w:p w14:paraId="0E9DBD35">
      <w:pPr>
        <w:pStyle w:val="26"/>
        <w:numPr>
          <w:ilvl w:val="0"/>
          <w:numId w:val="1"/>
        </w:numPr>
      </w:pPr>
      <w:r>
        <w:rPr>
          <w:b/>
          <w:bCs/>
        </w:rPr>
        <w:t>Meaning of the Eighth State:</w:t>
      </w:r>
      <w:r>
        <w:t xml:space="preserve"> The standard </w:t>
      </w:r>
      <m:oMath>
        <m:sSub>
          <m:sSubPr/>
          <m:e>
            <m:r>
              <m:rPr/>
              <m:t>g</m:t>
            </m:r>
          </m:e>
          <m:sub>
            <m:r>
              <m:rPr/>
              <m:t>8</m:t>
            </m:r>
          </m:sub>
        </m:sSub>
      </m:oMath>
      <w:r>
        <w:t xml:space="preserve"> is a diagonal generator of the adjoint representation; FCWFT </w:t>
      </w:r>
      <m:oMath>
        <m:sSub>
          <m:sSubPr/>
          <m:e>
            <m:r>
              <m:rPr/>
              <m:t>g</m:t>
            </m:r>
          </m:e>
          <m:sub>
            <m:r>
              <m:rPr/>
              <m:t>7</m:t>
            </m:r>
          </m:sub>
        </m:sSub>
      </m:oMath>
      <w:r>
        <w:t xml:space="preserve"> is a true vacuum whitening background field, and </w:t>
      </w:r>
      <m:oMath>
        <m:sSub>
          <m:sSubPr/>
          <m:e>
            <m:r>
              <m:rPr/>
              <m:t>g</m:t>
            </m:r>
          </m:e>
          <m:sub>
            <m:r>
              <m:rPr/>
              <m:t>8</m:t>
            </m:r>
          </m:sub>
        </m:sSub>
      </m:oMath>
      <w:r>
        <w:t xml:space="preserve"> is an exclusive weak‑interaction mediator. Neither participates in vacuum </w:t>
      </w:r>
      <m:oMath>
        <m:sSup>
          <m:sSupPr/>
          <m:e>
            <m:r>
              <m:rPr/>
              <m:t>e</m:t>
            </m:r>
          </m:e>
          <m:sup>
            <m:r>
              <m:rPr>
                <m:sty m:val="p"/>
              </m:rPr>
              <m:t>+</m:t>
            </m:r>
          </m:sup>
        </m:sSup>
        <m:sSup>
          <m:sSupPr/>
          <m:e>
            <m:r>
              <m:rPr/>
              <m:t>e</m:t>
            </m:r>
          </m:e>
          <m:sup>
            <m:r>
              <m:rPr>
                <m:sty m:val="p"/>
              </m:rPr>
              <m:t>−</m:t>
            </m:r>
          </m:sup>
        </m:sSup>
      </m:oMath>
      <w:r>
        <w:t xml:space="preserve"> strong‑jet processes.</w:t>
      </w:r>
    </w:p>
    <w:p w14:paraId="5ED4E14C">
      <w:pPr>
        <w:pStyle w:val="26"/>
        <w:numPr>
          <w:ilvl w:val="0"/>
          <w:numId w:val="1"/>
        </w:numPr>
      </w:pPr>
      <w:r>
        <w:rPr>
          <w:b/>
          <w:bCs/>
        </w:rPr>
        <w:t>Effective Set for Observations:</w:t>
      </w:r>
      <w:r>
        <w:t xml:space="preserve"> At PETRA energies, the observable gluons in real strong jets are the full octet in the Standard Model; in FCWFT only </w:t>
      </w:r>
      <m:oMath>
        <m:sSub>
          <m:sSubPr/>
          <m:e>
            <m:r>
              <m:rPr/>
              <m:t>g</m:t>
            </m:r>
          </m:e>
          <m:sub>
            <m:r>
              <m:rPr/>
              <m:t>1</m:t>
            </m:r>
          </m:sub>
        </m:sSub>
      </m:oMath>
      <w:r>
        <w:t>–</w:t>
      </w:r>
      <m:oMath>
        <m:sSub>
          <m:sSubPr/>
          <m:e>
            <m:r>
              <m:rPr/>
              <m:t>g</m:t>
            </m:r>
          </m:e>
          <m:sub>
            <m:r>
              <m:rPr/>
              <m:t>6</m:t>
            </m:r>
          </m:sub>
        </m:sSub>
      </m:oMath>
      <w:r>
        <w:t xml:space="preserve"> are effective, while </w:t>
      </w:r>
      <m:oMath>
        <m:sSub>
          <m:sSubPr/>
          <m:e>
            <m:r>
              <m:rPr/>
              <m:t>g</m:t>
            </m:r>
          </m:e>
          <m:sub>
            <m:r>
              <m:rPr/>
              <m:t>7</m:t>
            </m:r>
          </m:sub>
        </m:sSub>
      </m:oMath>
      <w:r>
        <w:t xml:space="preserve"> and </w:t>
      </w:r>
      <m:oMath>
        <m:sSub>
          <m:sSubPr/>
          <m:e>
            <m:r>
              <m:rPr/>
              <m:t>g</m:t>
            </m:r>
          </m:e>
          <m:sub>
            <m:r>
              <m:rPr/>
              <m:t>8</m:t>
            </m:r>
          </m:sub>
        </m:sSub>
      </m:oMath>
      <w:r>
        <w:t xml:space="preserve"> never participate in the physical process.</w:t>
      </w:r>
    </w:p>
    <w:p w14:paraId="714E37BC">
      <w:pPr>
        <w:pStyle w:val="26"/>
        <w:numPr>
          <w:ilvl w:val="0"/>
          <w:numId w:val="1"/>
        </w:numPr>
      </w:pPr>
      <w:r>
        <w:rPr>
          <w:b/>
          <w:bCs/>
        </w:rPr>
        <w:t>Theoretical Foundation:</w:t>
      </w:r>
      <w:r>
        <w:t xml:space="preserve"> Standard gluons originate from the constraint of </w:t>
      </w:r>
      <m:oMath>
        <m:r>
          <m:rPr/>
          <m:t>SU</m:t>
        </m:r>
        <m:r>
          <m:rPr>
            <m:sty m:val="p"/>
          </m:rPr>
          <m:t>(</m:t>
        </m:r>
        <m:r>
          <m:rPr/>
          <m:t>3</m:t>
        </m:r>
        <m:r>
          <m:rPr>
            <m:sty m:val="p"/>
          </m:rPr>
          <m:t>)</m:t>
        </m:r>
      </m:oMath>
      <w:r>
        <w:t xml:space="preserve"> gauge symmetry; FCWFT gluons originate from the axiom of color‑charge topological pairing of the B‑field, with no presupposed gauge group.</w:t>
      </w:r>
    </w:p>
    <w:bookmarkEnd w:id="8"/>
    <w:bookmarkEnd w:id="10"/>
    <w:p w14:paraId="3BECE7CC">
      <w:pPr>
        <w:pStyle w:val="6"/>
      </w:pPr>
      <w:bookmarkStart w:id="11" w:name="X6b0cfc91db9c20b3725a82b1fa24028d802faeb"/>
      <w:r>
        <w:t xml:space="preserve">3 Theoretical Reconstruction of </w:t>
      </w:r>
      <m:oMath>
        <m:sSup>
          <m:sSupPr/>
          <m:e>
            <m:r>
              <m:rPr/>
              <m:t>e</m:t>
            </m:r>
          </m:e>
          <m:sup>
            <m:r>
              <m:rPr>
                <m:sty m:val="p"/>
              </m:rPr>
              <m:t>+</m:t>
            </m:r>
          </m:sup>
        </m:sSup>
        <m:sSup>
          <m:sSupPr/>
          <m:e>
            <m:r>
              <m:rPr/>
              <m:t>e</m:t>
            </m:r>
          </m:e>
          <m:sup>
            <m:r>
              <m:rPr>
                <m:sty m:val="p"/>
              </m:rPr>
              <m:t>−</m:t>
            </m:r>
          </m:sup>
        </m:sSup>
      </m:oMath>
      <w:r>
        <w:t xml:space="preserve"> Three‑Jet Events Based on FCWFT</w:t>
      </w:r>
    </w:p>
    <w:p w14:paraId="4211282D">
      <w:pPr>
        <w:pStyle w:val="4"/>
      </w:pPr>
      <w:r>
        <w:t>This chapter is a purely theoretical interpretative deduction. It neither modifies nor negates any experimental conclusion of the Standard Model; it merely offers a new perspective on the microscopic mechanism.</w:t>
      </w:r>
    </w:p>
    <w:p w14:paraId="1481CB53">
      <w:pPr>
        <w:pStyle w:val="7"/>
      </w:pPr>
      <w:bookmarkStart w:id="12" w:name="Xc3bf72af9072ab2e07c3065e0d9ad523fd13e19"/>
      <w:r>
        <w:t>3.1 Incident Particle Field Structure and Color‑Charge Distribution in FCWFT</w:t>
      </w:r>
    </w:p>
    <w:p w14:paraId="2DB06380">
      <w:pPr>
        <w:pStyle w:val="4"/>
      </w:pPr>
      <w:r>
        <w:t>According to the FCWFT three‑field axioms, elementary particles are formed by the coupling of the A‑field (electromagnetic/wave vector), B‑field (color/weak/charge/spin spinor), and C‑field (mass/particle scalar). The field compositions and color‑charge properties of the electron and positron are strictly symmetric:</w:t>
      </w:r>
    </w:p>
    <w:p w14:paraId="16E3EF3A">
      <w:pPr>
        <w:pStyle w:val="26"/>
        <w:numPr>
          <w:ilvl w:val="0"/>
          <w:numId w:val="1"/>
        </w:numPr>
      </w:pPr>
      <w:r>
        <w:rPr>
          <w:b/>
          <w:bCs/>
        </w:rPr>
        <w:t>Electron (</w:t>
      </w:r>
      <m:oMath>
        <m:sSup>
          <m:sSupPr/>
          <m:e>
            <m:r>
              <m:rPr/>
              <m:t>e</m:t>
            </m:r>
          </m:e>
          <m:sup>
            <m:r>
              <m:rPr>
                <m:sty m:val="p"/>
              </m:rPr>
              <m:t>−</m:t>
            </m:r>
          </m:sup>
        </m:sSup>
      </m:oMath>
      <w:r>
        <w:rPr>
          <w:b/>
          <w:bCs/>
        </w:rPr>
        <w:t>):</w:t>
      </w:r>
      <w:r>
        <w:t xml:space="preserve"> Field composition </w:t>
      </w:r>
      <m:oMath>
        <m:sSup>
          <m:sSupPr/>
          <m:e>
            <m:r>
              <m:rPr/>
              <m:t>A</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r>
          <m:rPr>
            <m:sty m:val="p"/>
          </m:rPr>
          <m:t>.</m:t>
        </m:r>
      </m:oMath>
      <w:r>
        <w:t xml:space="preserve"> Its </w:t>
      </w:r>
      <m:oMath>
        <m:sSup>
          <m:sSupPr/>
          <m:e>
            <m:r>
              <m:rPr/>
              <m:t>B</m:t>
            </m:r>
          </m:e>
          <m:sup>
            <m:r>
              <m:rPr>
                <m:sty m:val="p"/>
              </m:rPr>
              <m:t>−</m:t>
            </m:r>
          </m:sup>
        </m:sSup>
      </m:oMath>
      <w:r>
        <w:t xml:space="preserve"> field uniformly carries the three complete anticolor charges: anti‑red, anti‑green, anti‑blue. After the three fields couple, the overall state is color‑neutral and electrically neutral.</w:t>
      </w:r>
    </w:p>
    <w:p w14:paraId="783AD8C1">
      <w:pPr>
        <w:pStyle w:val="26"/>
        <w:numPr>
          <w:ilvl w:val="0"/>
          <w:numId w:val="1"/>
        </w:numPr>
      </w:pPr>
      <w:r>
        <w:rPr>
          <w:b/>
          <w:bCs/>
        </w:rPr>
        <w:t>Positron (</w:t>
      </w:r>
      <m:oMath>
        <m:sSup>
          <m:sSupPr/>
          <m:e>
            <m:r>
              <m:rPr/>
              <m:t>e</m:t>
            </m:r>
          </m:e>
          <m:sup>
            <m:r>
              <m:rPr>
                <m:sty m:val="p"/>
              </m:rPr>
              <m:t>+</m:t>
            </m:r>
          </m:sup>
        </m:sSup>
      </m:oMath>
      <w:r>
        <w:rPr>
          <w:b/>
          <w:bCs/>
        </w:rPr>
        <w:t>):</w:t>
      </w:r>
      <w:r>
        <w:t xml:space="preserve"> Field composition </w:t>
      </w:r>
      <m:oMath>
        <m:sSup>
          <m:sSupPr/>
          <m:e>
            <m:r>
              <m:rPr/>
              <m:t>A</m:t>
            </m:r>
          </m:e>
          <m:sup>
            <m:r>
              <m:rPr>
                <m:sty m:val="p"/>
              </m:rPr>
              <m:t>+</m:t>
            </m:r>
          </m:sup>
        </m:sSup>
        <m:r>
          <m:rPr>
            <m:sty m:val="p"/>
          </m:rPr>
          <m:t>⊗</m:t>
        </m:r>
        <m:sSup>
          <m:sSupPr/>
          <m:e>
            <m:r>
              <m:rPr/>
              <m:t>B</m:t>
            </m:r>
          </m:e>
          <m:sup>
            <m:r>
              <m:rPr>
                <m:sty m:val="p"/>
              </m:rPr>
              <m:t>+</m:t>
            </m:r>
          </m:sup>
        </m:sSup>
        <m:r>
          <m:rPr>
            <m:sty m:val="p"/>
          </m:rPr>
          <m:t>⊗</m:t>
        </m:r>
        <m:sSup>
          <m:sSupPr/>
          <m:e>
            <m:r>
              <m:rPr/>
              <m:t>C</m:t>
            </m:r>
          </m:e>
          <m:sup>
            <m:r>
              <m:rPr>
                <m:sty m:val="p"/>
              </m:rPr>
              <m:t>+</m:t>
            </m:r>
          </m:sup>
        </m:sSup>
        <m:r>
          <m:rPr>
            <m:sty m:val="p"/>
          </m:rPr>
          <m:t>.</m:t>
        </m:r>
      </m:oMath>
      <w:r>
        <w:t xml:space="preserve"> Its </w:t>
      </w:r>
      <m:oMath>
        <m:sSup>
          <m:sSupPr/>
          <m:e>
            <m:r>
              <m:rPr/>
              <m:t>B</m:t>
            </m:r>
          </m:e>
          <m:sup>
            <m:r>
              <m:rPr>
                <m:sty m:val="p"/>
              </m:rPr>
              <m:t>+</m:t>
            </m:r>
          </m:sup>
        </m:sSup>
      </m:oMath>
      <w:r>
        <w:t xml:space="preserve"> field uniformly carries the three complete color charges: red, green, blue. After coupling, the overall state is also color‑neutral and electrically neutral.</w:t>
      </w:r>
    </w:p>
    <w:p w14:paraId="488F1440">
      <w:pPr>
        <w:pStyle w:val="4"/>
      </w:pPr>
      <w:r>
        <w:t>The incident particles thus expose no free color charge, satisfying the vacuum color‑confinement constraint, consistent with experimental observations.</w:t>
      </w:r>
    </w:p>
    <w:bookmarkEnd w:id="12"/>
    <w:p w14:paraId="13F2F564">
      <w:pPr>
        <w:pStyle w:val="7"/>
      </w:pPr>
      <w:bookmarkStart w:id="13" w:name="field-evolution-during-annihilation"/>
      <w:r>
        <w:t>3.2 Field Evolution During Annihilation</w:t>
      </w:r>
    </w:p>
    <w:p w14:paraId="15A7BC2D">
      <w:pPr>
        <w:pStyle w:val="4"/>
      </w:pPr>
      <w:r>
        <w:t xml:space="preserve">During a head‑on high‑energy </w:t>
      </w:r>
      <m:oMath>
        <m:sSup>
          <m:sSupPr/>
          <m:e>
            <m:r>
              <m:rPr/>
              <m:t>e</m:t>
            </m:r>
          </m:e>
          <m:sup>
            <m:r>
              <m:rPr>
                <m:sty m:val="p"/>
              </m:rPr>
              <m:t>+</m:t>
            </m:r>
          </m:sup>
        </m:sSup>
        <m:sSup>
          <m:sSupPr/>
          <m:e>
            <m:r>
              <m:rPr/>
              <m:t>e</m:t>
            </m:r>
          </m:e>
          <m:sup>
            <m:r>
              <m:rPr>
                <m:sty m:val="p"/>
              </m:rPr>
              <m:t>−</m:t>
            </m:r>
          </m:sup>
        </m:sSup>
      </m:oMath>
      <w:r>
        <w:t xml:space="preserve"> collision, the A‑fields and C‑fields of the particle and antiparticle undergo complete annihilation first, releasing all their coupling energy as vacuum excitation energy. The internal field‑coupling constraints are lifted, and the previously confined positive and negative triple color charges of the B‑fields become fully exposed to the vacuum, forming a free color‑charge topological system.</w:t>
      </w:r>
    </w:p>
    <w:p w14:paraId="10C9D25A">
      <w:pPr>
        <w:pStyle w:val="3"/>
      </w:pPr>
      <w:r>
        <w:t xml:space="preserve">The key distinction from the Standard Model: the entire process involves no creation of quarks or antiquarks, no </w:t>
      </w:r>
      <m:oMath>
        <m:r>
          <m:rPr/>
          <m:t>q</m:t>
        </m:r>
        <m:acc>
          <m:accPr>
            <m:chr m:val="‾"/>
          </m:accPr>
          <m:e>
            <m:r>
              <m:rPr/>
              <m:t>q</m:t>
            </m:r>
          </m:e>
        </m:acc>
      </m:oMath>
      <w:r>
        <w:t xml:space="preserve"> intermediate state. The physical evolution is entirely governed by topological pairing of B‑field color charges.</w:t>
      </w:r>
    </w:p>
    <w:bookmarkEnd w:id="13"/>
    <w:p w14:paraId="5B9A38B0">
      <w:pPr>
        <w:pStyle w:val="7"/>
      </w:pPr>
      <w:bookmarkStart w:id="14" w:name="Xfe098a4b15feb9169f93adf88b144ebe28a1b58"/>
      <w:r>
        <w:t>3.3 Three‑Gluon Production via Direct Color‑Charge Pairing</w:t>
      </w:r>
    </w:p>
    <w:p w14:paraId="288E0788">
      <w:pPr>
        <w:pStyle w:val="4"/>
      </w:pPr>
      <w:r>
        <w:t>After annihilation, the three exposed positive color charges and the three negative color charges satisfy conditions of topological complementarity, energy matching, and momentum matching. They undergo one‑to‑one direct closure pairing, producing three real propagating single‑color gluons. The core reaction topology is:</w:t>
      </w:r>
    </w:p>
    <w:p w14:paraId="459BB089">
      <w:pPr>
        <w:pStyle w:val="3"/>
      </w:pPr>
      <m:oMathPara>
        <m:oMathParaPr>
          <m:jc m:val="center"/>
        </m:oMathParaPr>
        <m:oMath>
          <m:eqArr>
            <m:eqArrPr/>
            <m:e>
              <m:r>
                <m:rPr>
                  <m:sty m:val="p"/>
                </m:rPr>
                <m:t>positiveredcharge(</m:t>
              </m:r>
              <m:sSup>
                <m:sSupPr/>
                <m:e>
                  <m:r>
                    <m:rPr/>
                    <m:t>e</m:t>
                  </m:r>
                </m:e>
                <m:sup>
                  <m:r>
                    <m:rPr>
                      <m:sty m:val="p"/>
                    </m:rPr>
                    <m:t>+</m:t>
                  </m:r>
                </m:sup>
              </m:sSup>
              <m:r>
                <m:rPr>
                  <m:sty m:val="p"/>
                </m:rPr>
                <m:t>)+negativeredcharge(</m:t>
              </m:r>
              <m:sSup>
                <m:sSupPr/>
                <m:e>
                  <m:r>
                    <m:rPr/>
                    <m:t>e</m:t>
                  </m:r>
                </m:e>
                <m:sup>
                  <m:r>
                    <m:rPr>
                      <m:sty m:val="p"/>
                    </m:rPr>
                    <m:t>−</m:t>
                  </m:r>
                </m:sup>
              </m:sSup>
              <m:r>
                <m:rPr>
                  <m:sty m:val="p"/>
                </m:rPr>
                <m:t>)</m:t>
              </m:r>
              <m:r>
                <m:rPr/>
                <m:t>&amp;</m:t>
              </m:r>
              <m:r>
                <m:rPr>
                  <m:sty m:val="p"/>
                </m:rPr>
                <m:t>→</m:t>
              </m:r>
              <m:sSub>
                <m:sSubPr/>
                <m:e>
                  <m:r>
                    <m:rPr/>
                    <m:t>g</m:t>
                  </m:r>
                </m:e>
                <m:sub>
                  <m:r>
                    <m:rPr/>
                    <m:t>1</m:t>
                  </m:r>
                </m:sub>
              </m:sSub>
              <m:r>
                <m:rPr/>
                <m:t> </m:t>
              </m:r>
              <m:r>
                <m:rPr>
                  <m:sty m:val="p"/>
                </m:rPr>
                <m:t>(single‑colorredgluon)</m:t>
              </m:r>
            </m:e>
            <m:e>
              <m:r>
                <m:rPr>
                  <m:sty m:val="p"/>
                </m:rPr>
                <m:t>positivegreencharge(</m:t>
              </m:r>
              <m:sSup>
                <m:sSupPr/>
                <m:e>
                  <m:r>
                    <m:rPr/>
                    <m:t>e</m:t>
                  </m:r>
                </m:e>
                <m:sup>
                  <m:r>
                    <m:rPr>
                      <m:sty m:val="p"/>
                    </m:rPr>
                    <m:t>+</m:t>
                  </m:r>
                </m:sup>
              </m:sSup>
              <m:r>
                <m:rPr>
                  <m:sty m:val="p"/>
                </m:rPr>
                <m:t>)+negativegreencharge(</m:t>
              </m:r>
              <m:sSup>
                <m:sSupPr/>
                <m:e>
                  <m:r>
                    <m:rPr/>
                    <m:t>e</m:t>
                  </m:r>
                </m:e>
                <m:sup>
                  <m:r>
                    <m:rPr>
                      <m:sty m:val="p"/>
                    </m:rPr>
                    <m:t>−</m:t>
                  </m:r>
                </m:sup>
              </m:sSup>
              <m:r>
                <m:rPr>
                  <m:sty m:val="p"/>
                </m:rPr>
                <m:t>)</m:t>
              </m:r>
              <m:r>
                <m:rPr/>
                <m:t>&amp;</m:t>
              </m:r>
              <m:r>
                <m:rPr>
                  <m:sty m:val="p"/>
                </m:rPr>
                <m:t>→</m:t>
              </m:r>
              <m:sSub>
                <m:sSubPr/>
                <m:e>
                  <m:r>
                    <m:rPr/>
                    <m:t>g</m:t>
                  </m:r>
                </m:e>
                <m:sub>
                  <m:r>
                    <m:rPr/>
                    <m:t>2</m:t>
                  </m:r>
                </m:sub>
              </m:sSub>
              <m:r>
                <m:rPr/>
                <m:t> </m:t>
              </m:r>
              <m:r>
                <m:rPr>
                  <m:sty m:val="p"/>
                </m:rPr>
                <m:t>(single‑colorgreengluon)</m:t>
              </m:r>
            </m:e>
            <m:e>
              <m:r>
                <m:rPr>
                  <m:sty m:val="p"/>
                </m:rPr>
                <m:t>positivebluecharge(</m:t>
              </m:r>
              <m:sSup>
                <m:sSupPr/>
                <m:e>
                  <m:r>
                    <m:rPr/>
                    <m:t>e</m:t>
                  </m:r>
                </m:e>
                <m:sup>
                  <m:r>
                    <m:rPr>
                      <m:sty m:val="p"/>
                    </m:rPr>
                    <m:t>+</m:t>
                  </m:r>
                </m:sup>
              </m:sSup>
              <m:r>
                <m:rPr>
                  <m:sty m:val="p"/>
                </m:rPr>
                <m:t>)+negativebluecharge(</m:t>
              </m:r>
              <m:sSup>
                <m:sSupPr/>
                <m:e>
                  <m:r>
                    <m:rPr/>
                    <m:t>e</m:t>
                  </m:r>
                </m:e>
                <m:sup>
                  <m:r>
                    <m:rPr>
                      <m:sty m:val="p"/>
                    </m:rPr>
                    <m:t>−</m:t>
                  </m:r>
                </m:sup>
              </m:sSup>
              <m:r>
                <m:rPr>
                  <m:sty m:val="p"/>
                </m:rPr>
                <m:t>)</m:t>
              </m:r>
              <m:r>
                <m:rPr/>
                <m:t>&amp;</m:t>
              </m:r>
              <m:r>
                <m:rPr>
                  <m:sty m:val="p"/>
                </m:rPr>
                <m:t>→</m:t>
              </m:r>
              <m:sSub>
                <m:sSubPr/>
                <m:e>
                  <m:r>
                    <m:rPr/>
                    <m:t>g</m:t>
                  </m:r>
                </m:e>
                <m:sub>
                  <m:r>
                    <m:rPr/>
                    <m:t>3</m:t>
                  </m:r>
                </m:sub>
              </m:sSub>
              <m:r>
                <m:rPr/>
                <m:t> </m:t>
              </m:r>
              <m:r>
                <m:rPr>
                  <m:sty m:val="p"/>
                </m:rPr>
                <m:t>(single‑colorbluegluon)</m:t>
              </m:r>
            </m:e>
          </m:eqArr>
        </m:oMath>
      </m:oMathPara>
    </w:p>
    <w:p w14:paraId="00E313FB">
      <w:pPr>
        <w:pStyle w:val="4"/>
      </w:pPr>
      <w:r>
        <w:t>These three newly created single‑color gluons carry the released annihilation energy, fly away from the collision vertex along three spatial directions, fragment into three independent hadronic jets via the standard hadronization process, and ultimately produce the same three‑jet phenomenon observed in experiments.</w:t>
      </w:r>
    </w:p>
    <w:bookmarkEnd w:id="14"/>
    <w:p w14:paraId="189342E0">
      <w:pPr>
        <w:pStyle w:val="7"/>
      </w:pPr>
      <w:bookmarkStart w:id="15" w:name="X43104102e8f92895eea061361c45d4331ae3df3"/>
      <w:r>
        <w:t>3.4 Physical Origin of Coplanar Three‑Jet Topology in FCWFT</w:t>
      </w:r>
    </w:p>
    <w:p w14:paraId="113C95CD">
      <w:pPr>
        <w:pStyle w:val="4"/>
      </w:pPr>
      <w:r>
        <w:t>Based on field topology and conservation laws, FCWFT self‑consistently explains the coplanar feature of three‑jet events, with a physical mechanism independent of the Standard Model:</w:t>
      </w:r>
    </w:p>
    <w:p w14:paraId="28F951A2">
      <w:pPr>
        <w:pStyle w:val="26"/>
        <w:numPr>
          <w:ilvl w:val="0"/>
          <w:numId w:val="2"/>
        </w:numPr>
      </w:pPr>
      <w:r>
        <w:t>The B‑fields of both the electron and positron are complete orthogonal three‑color‑charge coupled systems, naturally providing three independent pairing channels that fix the three‑parton final‑state structure.</w:t>
      </w:r>
    </w:p>
    <w:p w14:paraId="422983CD">
      <w:pPr>
        <w:pStyle w:val="26"/>
        <w:numPr>
          <w:ilvl w:val="0"/>
          <w:numId w:val="2"/>
        </w:numPr>
      </w:pPr>
      <w:r>
        <w:t>Vacuum color‑charge topological repulsion constrains the spatial angular distribution of the three gluons. Together with total momentum and angular‑momentum conservation, this forces the final three jets to lie in a single plane.</w:t>
      </w:r>
    </w:p>
    <w:p w14:paraId="7508D8AF">
      <w:pPr>
        <w:pStyle w:val="26"/>
        <w:numPr>
          <w:ilvl w:val="0"/>
          <w:numId w:val="2"/>
        </w:numPr>
      </w:pPr>
      <w:r>
        <w:t xml:space="preserve">In the pure vacuum collision environment, the nuclear whitening background field is absent, so the virtual gluon </w:t>
      </w:r>
      <m:oMath>
        <m:sSub>
          <m:sSubPr/>
          <m:e>
            <m:r>
              <m:rPr/>
              <m:t>g</m:t>
            </m:r>
          </m:e>
          <m:sub>
            <m:r>
              <m:rPr/>
              <m:t>7</m:t>
            </m:r>
          </m:sub>
        </m:sSub>
      </m:oMath>
      <w:r>
        <w:t xml:space="preserve"> is not activated; the weak‑exclusive </w:t>
      </w:r>
      <m:oMath>
        <m:sSub>
          <m:sSubPr/>
          <m:e>
            <m:r>
              <m:rPr/>
              <m:t>g</m:t>
            </m:r>
          </m:e>
          <m:sub>
            <m:r>
              <m:rPr/>
              <m:t>8</m:t>
            </m:r>
          </m:sub>
        </m:sSub>
      </m:oMath>
      <w:r>
        <w:t xml:space="preserve"> does not participate in strong processes. No extra particles disturb the topological structure.</w:t>
      </w:r>
    </w:p>
    <w:bookmarkEnd w:id="11"/>
    <w:bookmarkEnd w:id="15"/>
    <w:p w14:paraId="4D96BA75">
      <w:pPr>
        <w:pStyle w:val="6"/>
      </w:pPr>
      <w:bookmarkStart w:id="16" w:name="X508b2de79524245c0b42f548fb33728507b68e4"/>
      <w:r>
        <w:t>4 Systematic Comparison of the Standard QCD and FCWFT Three‑Jet Mechanisms</w:t>
      </w:r>
    </w:p>
    <w:p w14:paraId="01588744">
      <w:pPr>
        <w:pStyle w:val="4"/>
      </w:pPr>
      <w:r>
        <w:t>This chapter strictly separates the layer of experimental phenomena (fully equivalent) from the layer of theoretical mechanisms (fully differentiated), avoiding any confusion of experimental conclusions and clarifying the applicability boundaries of the two theories.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8"/>
        <w:gridCol w:w="3087"/>
        <w:gridCol w:w="3361"/>
      </w:tblGrid>
      <w:tr w14:paraId="6A17C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7B773CEE">
            <w:pPr>
              <w:pStyle w:val="26"/>
              <w:jc w:val="center"/>
            </w:pPr>
            <w:r>
              <w:rPr>
                <w:b/>
              </w:rPr>
              <w:t>Comparison Dimension</w:t>
            </w:r>
          </w:p>
        </w:tc>
        <w:tc>
          <w:tcPr>
            <w:shd w:val="clear" w:color="auto" w:fill="B9CDE5"/>
            <w:vAlign w:val="center"/>
          </w:tcPr>
          <w:p w14:paraId="2F3EB2B2">
            <w:pPr>
              <w:pStyle w:val="26"/>
              <w:jc w:val="center"/>
            </w:pPr>
            <w:r>
              <w:rPr>
                <w:b/>
              </w:rPr>
              <w:t>Standard QCD Model (Experimentally Verified)</w:t>
            </w:r>
          </w:p>
        </w:tc>
        <w:tc>
          <w:tcPr>
            <w:shd w:val="clear" w:color="auto" w:fill="B9CDE5"/>
            <w:vAlign w:val="center"/>
          </w:tcPr>
          <w:p w14:paraId="0AE44A1E">
            <w:pPr>
              <w:pStyle w:val="26"/>
              <w:jc w:val="center"/>
            </w:pPr>
            <w:r>
              <w:rPr>
                <w:b/>
              </w:rPr>
              <w:t>FCWFT Theoretical Reconstruction (Pure Theory)</w:t>
            </w:r>
          </w:p>
        </w:tc>
      </w:tr>
      <w:tr w14:paraId="197A3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C4ED77D">
            <w:pPr>
              <w:pStyle w:val="26"/>
              <w:jc w:val="center"/>
            </w:pPr>
            <w:r>
              <w:t>Core intermediate state</w:t>
            </w:r>
          </w:p>
        </w:tc>
        <w:tc>
          <w:tcPr>
            <w:vAlign w:val="center"/>
          </w:tcPr>
          <w:p w14:paraId="135F683B">
            <w:pPr>
              <w:pStyle w:val="26"/>
              <w:jc w:val="center"/>
            </w:pPr>
            <w:r>
              <w:t>Quark–antiquark transition state exists</w:t>
            </w:r>
          </w:p>
        </w:tc>
        <w:tc>
          <w:tcPr>
            <w:vAlign w:val="center"/>
          </w:tcPr>
          <w:p w14:paraId="52CD84CC">
            <w:pPr>
              <w:pStyle w:val="26"/>
              <w:jc w:val="center"/>
            </w:pPr>
            <w:r>
              <w:t>No quark/antiquark intermediate state</w:t>
            </w:r>
          </w:p>
        </w:tc>
      </w:tr>
      <w:tr w14:paraId="63D53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37EE43">
            <w:pPr>
              <w:pStyle w:val="26"/>
              <w:jc w:val="center"/>
            </w:pPr>
            <w:r>
              <w:t>Origin of gluons</w:t>
            </w:r>
          </w:p>
        </w:tc>
        <w:tc>
          <w:tcPr>
            <w:vAlign w:val="center"/>
          </w:tcPr>
          <w:p w14:paraId="1A116210">
            <w:pPr>
              <w:pStyle w:val="26"/>
              <w:jc w:val="center"/>
            </w:pPr>
            <w:r>
              <w:t>Hard bremsstrahlung from high‑energy quarks</w:t>
            </w:r>
          </w:p>
        </w:tc>
        <w:tc>
          <w:tcPr>
            <w:vAlign w:val="center"/>
          </w:tcPr>
          <w:p w14:paraId="67AFC2A7">
            <w:pPr>
              <w:pStyle w:val="26"/>
              <w:jc w:val="center"/>
            </w:pPr>
            <w:r>
              <w:t>Direct topological pairing of positive/negative triple color charges of B‑fields</w:t>
            </w:r>
          </w:p>
        </w:tc>
      </w:tr>
      <w:tr w14:paraId="6944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41BA081">
            <w:pPr>
              <w:pStyle w:val="26"/>
              <w:jc w:val="center"/>
            </w:pPr>
            <w:r>
              <w:t>Third‑jet gluon identity</w:t>
            </w:r>
          </w:p>
        </w:tc>
        <w:tc>
          <w:tcPr>
            <w:vAlign w:val="center"/>
          </w:tcPr>
          <w:p w14:paraId="597196AE">
            <w:pPr>
              <w:pStyle w:val="26"/>
              <w:jc w:val="center"/>
            </w:pPr>
            <w:r>
              <w:t xml:space="preserve">Any member of the </w:t>
            </w:r>
            <m:oMath>
              <m:r>
                <m:rPr/>
                <m:t>SU</m:t>
              </m:r>
              <m:r>
                <m:rPr>
                  <m:sty m:val="p"/>
                </m:rPr>
                <m:t>(</m:t>
              </m:r>
              <m:r>
                <m:rPr/>
                <m:t>3</m:t>
              </m:r>
              <m:sSub>
                <m:sSubPr/>
                <m:e>
                  <m:r>
                    <m:rPr>
                      <m:sty m:val="p"/>
                    </m:rPr>
                    <m:t>)</m:t>
                  </m:r>
                </m:e>
                <m:sub>
                  <m:r>
                    <m:rPr/>
                    <m:t>c</m:t>
                  </m:r>
                </m:sub>
              </m:sSub>
            </m:oMath>
            <w:r>
              <w:t xml:space="preserve"> octet</w:t>
            </w:r>
          </w:p>
        </w:tc>
        <w:tc>
          <w:tcPr>
            <w:vAlign w:val="center"/>
          </w:tcPr>
          <w:p w14:paraId="35AEF8FF">
            <w:pPr>
              <w:pStyle w:val="26"/>
              <w:jc w:val="center"/>
            </w:pPr>
            <w:r>
              <w:t xml:space="preserve">Single‑color eigenstates </w:t>
            </w: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p>
        </w:tc>
      </w:tr>
      <w:tr w14:paraId="39D02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ECF1CF1">
            <w:pPr>
              <w:pStyle w:val="26"/>
              <w:jc w:val="center"/>
            </w:pPr>
            <w:r>
              <w:t xml:space="preserve">Participation of </w:t>
            </w:r>
            <m:oMath>
              <m:sSub>
                <m:sSubPr/>
                <m:e>
                  <m:r>
                    <m:rPr/>
                    <m:t>g</m:t>
                  </m:r>
                </m:e>
                <m:sub>
                  <m:r>
                    <m:rPr/>
                    <m:t>7</m:t>
                  </m:r>
                </m:sub>
              </m:sSub>
              <m:r>
                <m:rPr>
                  <m:sty m:val="p"/>
                </m:rPr>
                <m:t>/</m:t>
              </m:r>
              <m:sSub>
                <m:sSubPr/>
                <m:e>
                  <m:r>
                    <m:rPr/>
                    <m:t>g</m:t>
                  </m:r>
                </m:e>
                <m:sub>
                  <m:r>
                    <m:rPr/>
                    <m:t>8</m:t>
                  </m:r>
                </m:sub>
              </m:sSub>
            </m:oMath>
          </w:p>
        </w:tc>
        <w:tc>
          <w:tcPr>
            <w:vAlign w:val="center"/>
          </w:tcPr>
          <w:p w14:paraId="45BDC060">
            <w:pPr>
              <w:pStyle w:val="26"/>
              <w:jc w:val="center"/>
            </w:pPr>
            <w:r>
              <w:t>No corresponding physical states; no real/virtual distinction</w:t>
            </w:r>
          </w:p>
        </w:tc>
        <w:tc>
          <w:tcPr>
            <w:vAlign w:val="center"/>
          </w:tcPr>
          <w:p w14:paraId="68A3C14E">
            <w:pPr>
              <w:pStyle w:val="26"/>
              <w:jc w:val="center"/>
            </w:pPr>
            <m:oMath>
              <m:sSub>
                <m:sSubPr/>
                <m:e>
                  <m:r>
                    <m:rPr/>
                    <m:t>g</m:t>
                  </m:r>
                </m:e>
                <m:sub>
                  <m:r>
                    <m:rPr/>
                    <m:t>7</m:t>
                  </m:r>
                </m:sub>
              </m:sSub>
              <m:r>
                <m:rPr>
                  <m:sty m:val="p"/>
                </m:rPr>
                <m:t>=</m:t>
              </m:r>
            </m:oMath>
            <w:r>
              <w:t xml:space="preserve"> virtual background, </w:t>
            </w:r>
            <m:oMath>
              <m:sSub>
                <m:sSubPr/>
                <m:e>
                  <m:r>
                    <m:rPr/>
                    <m:t>g</m:t>
                  </m:r>
                </m:e>
                <m:sub>
                  <m:r>
                    <m:rPr/>
                    <m:t>8</m:t>
                  </m:r>
                </m:sub>
              </m:sSub>
              <m:r>
                <m:rPr>
                  <m:sty m:val="p"/>
                </m:rPr>
                <m:t>=</m:t>
              </m:r>
            </m:oMath>
            <w:r>
              <w:t xml:space="preserve"> weak mediator; neither participates</w:t>
            </w:r>
          </w:p>
        </w:tc>
      </w:tr>
      <w:tr w14:paraId="49318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915D83D">
            <w:pPr>
              <w:pStyle w:val="26"/>
              <w:jc w:val="center"/>
            </w:pPr>
            <w:r>
              <w:t>Final‑state jet morphology</w:t>
            </w:r>
          </w:p>
        </w:tc>
        <w:tc>
          <w:tcPr>
            <w:vAlign w:val="center"/>
          </w:tcPr>
          <w:p w14:paraId="4367F4B8">
            <w:pPr>
              <w:pStyle w:val="26"/>
              <w:jc w:val="center"/>
            </w:pPr>
            <w:r>
              <w:t>Three coplanar hadronic jets, consistent with experiment</w:t>
            </w:r>
          </w:p>
        </w:tc>
        <w:tc>
          <w:tcPr>
            <w:vAlign w:val="center"/>
          </w:tcPr>
          <w:p w14:paraId="54847D7F">
            <w:pPr>
              <w:pStyle w:val="26"/>
              <w:jc w:val="center"/>
            </w:pPr>
            <w:r>
              <w:t>Identical to experimental morphology and distribution</w:t>
            </w:r>
          </w:p>
        </w:tc>
      </w:tr>
      <w:tr w14:paraId="084A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5AA0495">
            <w:pPr>
              <w:pStyle w:val="26"/>
              <w:jc w:val="center"/>
            </w:pPr>
            <w:r>
              <w:t>Final‑state kinematics</w:t>
            </w:r>
          </w:p>
        </w:tc>
        <w:tc>
          <w:tcPr>
            <w:vAlign w:val="center"/>
          </w:tcPr>
          <w:p w14:paraId="124C5386">
            <w:pPr>
              <w:pStyle w:val="26"/>
              <w:jc w:val="center"/>
            </w:pPr>
            <w:r>
              <w:t>Satisfies leading‑order QCD momentum/energy conservation</w:t>
            </w:r>
          </w:p>
        </w:tc>
        <w:tc>
          <w:tcPr>
            <w:vAlign w:val="center"/>
          </w:tcPr>
          <w:p w14:paraId="0F8898DE">
            <w:pPr>
              <w:pStyle w:val="26"/>
              <w:jc w:val="center"/>
            </w:pPr>
            <w:r>
              <w:t>Isomorphic to leading‑order QCD kinematics</w:t>
            </w:r>
          </w:p>
        </w:tc>
      </w:tr>
      <w:tr w14:paraId="21087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B65E69D">
            <w:pPr>
              <w:pStyle w:val="26"/>
              <w:jc w:val="center"/>
            </w:pPr>
            <w:r>
              <w:t>Internal color flow</w:t>
            </w:r>
          </w:p>
        </w:tc>
        <w:tc>
          <w:tcPr>
            <w:vAlign w:val="center"/>
          </w:tcPr>
          <w:p w14:paraId="02A6A27A">
            <w:pPr>
              <w:pStyle w:val="26"/>
              <w:jc w:val="center"/>
            </w:pPr>
            <w:r>
              <w:t>Quark color transfer, color‑flip evolution</w:t>
            </w:r>
          </w:p>
        </w:tc>
        <w:tc>
          <w:tcPr>
            <w:vAlign w:val="center"/>
          </w:tcPr>
          <w:p w14:paraId="1DFABDBF">
            <w:pPr>
              <w:pStyle w:val="26"/>
              <w:jc w:val="center"/>
            </w:pPr>
            <w:r>
              <w:t>B‑field color decoupling, topological closure evolution</w:t>
            </w:r>
          </w:p>
        </w:tc>
      </w:tr>
      <w:tr w14:paraId="3C40D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44343D">
            <w:pPr>
              <w:pStyle w:val="26"/>
              <w:jc w:val="center"/>
            </w:pPr>
            <w:r>
              <w:t>Strong coupling constant fit</w:t>
            </w:r>
          </w:p>
        </w:tc>
        <w:tc>
          <w:tcPr>
            <w:vAlign w:val="center"/>
          </w:tcPr>
          <w:p w14:paraId="5C09BEE3">
            <w:pPr>
              <w:pStyle w:val="26"/>
              <w:jc w:val="center"/>
            </w:pPr>
            <w:r>
              <w:t>Based on quark‑radiation color factors</w:t>
            </w:r>
          </w:p>
        </w:tc>
        <w:tc>
          <w:tcPr>
            <w:vAlign w:val="center"/>
          </w:tcPr>
          <w:p w14:paraId="33191A5F">
            <w:pPr>
              <w:pStyle w:val="26"/>
              <w:jc w:val="center"/>
            </w:pPr>
            <w:r>
              <w:t>Leading‑order fit equivalent to Standard Model</w:t>
            </w:r>
          </w:p>
        </w:tc>
      </w:tr>
    </w:tbl>
    <w:p w14:paraId="3CFE2800">
      <w:pPr>
        <w:pStyle w:val="3"/>
      </w:pPr>
      <w:r>
        <w:rPr>
          <w:b/>
          <w:bCs/>
        </w:rPr>
        <w:t>Core Conclusion:</w:t>
      </w:r>
      <w:r>
        <w:t xml:space="preserve"> Both theoretical frameworks yield fully equivalent predictions for all experimental phenomena, kinematic distributions, and statistical features of the 1979–1980 PETRA three‑jet events. Current experimental precision cannot distinguish between them. The only differences reside in the unobservable microscopic first‑principle production mechanism and the internal topological structure of the gluons.</w:t>
      </w:r>
    </w:p>
    <w:bookmarkEnd w:id="16"/>
    <w:p w14:paraId="250D77C3">
      <w:pPr>
        <w:pStyle w:val="6"/>
      </w:pPr>
      <w:bookmarkStart w:id="17" w:name="Xede8e10467e770af0423ffc4fb12e51e301e533"/>
      <w:r>
        <w:t>5 Unique FCWFT Inferences and the Boundary of Experimental Discrimination</w:t>
      </w:r>
    </w:p>
    <w:p w14:paraId="7E3DAE7E">
      <w:pPr>
        <w:pStyle w:val="4"/>
      </w:pPr>
      <w:r>
        <w:t>Based on the FCWFT single‑color gluon topological system, we derive unique theoretical predictions that do not contradict existing experimental data and may serve as discriminators in future high‑precision studies. All inferences are theoretical hypotheses, not confirmed conclusions, and their experimental testability is explicitly bounded.</w:t>
      </w:r>
    </w:p>
    <w:p w14:paraId="5F8537D6">
      <w:pPr>
        <w:pStyle w:val="7"/>
      </w:pPr>
      <w:bookmarkStart w:id="18" w:name="Xd096472afd2bac6bcfb228e377037e483a667eb"/>
      <w:r>
        <w:t>5.1 Statement of Indistinguishability with Current Experiments</w:t>
      </w:r>
    </w:p>
    <w:p w14:paraId="5020EA7E">
      <w:pPr>
        <w:pStyle w:val="4"/>
      </w:pPr>
      <w:r>
        <w:t xml:space="preserve">At the present PETRA energy scale, the experimental resolution in jet detection and particle charge identification is insufficient to distinguish the standard </w:t>
      </w:r>
      <m:oMath>
        <m:r>
          <m:rPr/>
          <m:t>q</m:t>
        </m:r>
        <m:acc>
          <m:accPr>
            <m:chr m:val="‾"/>
          </m:accPr>
          <m:e>
            <m:r>
              <m:rPr/>
              <m:t>q</m:t>
            </m:r>
          </m:e>
        </m:acc>
        <m:r>
          <m:rPr/>
          <m:t>g</m:t>
        </m:r>
      </m:oMath>
      <w:r>
        <w:t xml:space="preserve"> mechanism from the FCWFT </w:t>
      </w:r>
      <m:oMath>
        <m:sSub>
          <m:sSubPr/>
          <m:e>
            <m:r>
              <m:rPr/>
              <m:t>g</m:t>
            </m:r>
          </m:e>
          <m:sub>
            <m:r>
              <m:rPr/>
              <m:t>1</m:t>
            </m:r>
          </m:sub>
        </m:sSub>
        <m:sSub>
          <m:sSubPr/>
          <m:e>
            <m:r>
              <m:rPr/>
              <m:t>g</m:t>
            </m:r>
          </m:e>
          <m:sub>
            <m:r>
              <m:rPr/>
              <m:t>2</m:t>
            </m:r>
          </m:sub>
        </m:sSub>
        <m:sSub>
          <m:sSubPr/>
          <m:e>
            <m:r>
              <m:rPr/>
              <m:t>g</m:t>
            </m:r>
          </m:e>
          <m:sub>
            <m:r>
              <m:rPr/>
              <m:t>3</m:t>
            </m:r>
          </m:sub>
        </m:sSub>
      </m:oMath>
      <w:r>
        <w:t xml:space="preserve"> topological mechanism. All inferences in this paper are forward‑looking theoretical projections; they do not constitute falsification of standard QCD but merely provide targets for future experimental discrimination.</w:t>
      </w:r>
    </w:p>
    <w:bookmarkEnd w:id="18"/>
    <w:p w14:paraId="275F0D51">
      <w:pPr>
        <w:pStyle w:val="7"/>
      </w:pPr>
      <w:bookmarkStart w:id="19" w:name="unique-testable-predictions-of-fcwft"/>
      <w:r>
        <w:t>5.2 Unique Testable Predictions of FCWFT</w:t>
      </w:r>
    </w:p>
    <w:p w14:paraId="1425CE27">
      <w:pPr>
        <w:pStyle w:val="26"/>
        <w:numPr>
          <w:ilvl w:val="0"/>
          <w:numId w:val="3"/>
        </w:numPr>
      </w:pPr>
      <w:r>
        <w:rPr>
          <w:b/>
          <w:bCs/>
        </w:rPr>
        <w:t>Higher‑Order Color‑Factor Difference:</w:t>
      </w:r>
      <w:r>
        <w:t xml:space="preserve"> The Standard‑Model color factors </w:t>
      </w:r>
      <m:oMath>
        <m:sSub>
          <m:sSubPr/>
          <m:e>
            <m:r>
              <m:rPr/>
              <m:t>C</m:t>
            </m:r>
          </m:e>
          <m:sub>
            <m:r>
              <m:rPr/>
              <m:t>A</m:t>
            </m:r>
          </m:sub>
        </m:sSub>
        <m:r>
          <m:rPr>
            <m:sty m:val="p"/>
          </m:rPr>
          <m:t>=</m:t>
        </m:r>
        <m:r>
          <m:rPr/>
          <m:t>9</m:t>
        </m:r>
        <m:r>
          <m:rPr>
            <m:sty m:val="p"/>
          </m:rPr>
          <m:t>/</m:t>
        </m:r>
        <m:r>
          <m:rPr/>
          <m:t>4</m:t>
        </m:r>
      </m:oMath>
      <w:r>
        <w:t xml:space="preserve"> and </w:t>
      </w:r>
      <m:oMath>
        <m:sSub>
          <m:sSubPr/>
          <m:e>
            <m:r>
              <m:rPr/>
              <m:t>C</m:t>
            </m:r>
          </m:e>
          <m:sub>
            <m:r>
              <m:rPr/>
              <m:t>F</m:t>
            </m:r>
          </m:sub>
        </m:sSub>
        <m:r>
          <m:rPr>
            <m:sty m:val="p"/>
          </m:rPr>
          <m:t>=</m:t>
        </m:r>
        <m:r>
          <m:rPr/>
          <m:t>4</m:t>
        </m:r>
        <m:r>
          <m:rPr>
            <m:sty m:val="p"/>
          </m:rPr>
          <m:t>/</m:t>
        </m:r>
        <m:r>
          <m:rPr/>
          <m:t>3</m:t>
        </m:r>
      </m:oMath>
      <w:r>
        <w:t xml:space="preserve"> are derived from the </w:t>
      </w:r>
      <m:oMath>
        <m:r>
          <m:rPr/>
          <m:t>SU</m:t>
        </m:r>
        <m:r>
          <m:rPr>
            <m:sty m:val="p"/>
          </m:rPr>
          <m:t>(</m:t>
        </m:r>
        <m:r>
          <m:rPr/>
          <m:t>3</m:t>
        </m:r>
        <m:sSub>
          <m:sSubPr/>
          <m:e>
            <m:r>
              <m:rPr>
                <m:sty m:val="p"/>
              </m:rPr>
              <m:t>)</m:t>
            </m:r>
          </m:e>
          <m:sub>
            <m:r>
              <m:rPr/>
              <m:t>c</m:t>
            </m:r>
          </m:sub>
        </m:sSub>
      </m:oMath>
      <w:r>
        <w:t xml:space="preserve"> gauge group and do not apply to the FCWFT single‑color gluon system. In FCWFT, the self‑couplings and vertex interactions of </w:t>
      </w:r>
      <m:oMath>
        <m:sSub>
          <m:sSubPr/>
          <m:e>
            <m:r>
              <m:rPr/>
              <m:t>g</m:t>
            </m:r>
          </m:e>
          <m:sub>
            <m:r>
              <m:rPr/>
              <m:t>1</m:t>
            </m:r>
          </m:sub>
        </m:sSub>
      </m:oMath>
      <w:r>
        <w:t>–</w:t>
      </w:r>
      <m:oMath>
        <m:sSub>
          <m:sSubPr/>
          <m:e>
            <m:r>
              <m:rPr/>
              <m:t>g</m:t>
            </m:r>
          </m:e>
          <m:sub>
            <m:r>
              <m:rPr/>
              <m:t>3</m:t>
            </m:r>
          </m:sub>
        </m:sSub>
      </m:oMath>
      <w:r>
        <w:t xml:space="preserve"> lack the standard four‑gluon vertex structure; the color factors for higher‑order corrections must be re‑derived from B‑field topology and cannot be taken over from QCD gauge theory. This difference can be tested by high‑precision data on multi‑gluon final states.</w:t>
      </w:r>
    </w:p>
    <w:p w14:paraId="01F23739">
      <w:pPr>
        <w:pStyle w:val="26"/>
        <w:numPr>
          <w:ilvl w:val="0"/>
          <w:numId w:val="3"/>
        </w:numPr>
      </w:pPr>
      <w:r>
        <w:rPr>
          <w:b/>
          <w:bCs/>
        </w:rPr>
        <w:t>No Fully White Gluon Jet:</w:t>
      </w:r>
      <w:r>
        <w:t xml:space="preserve"> In FCWFT, the fully white virtual gluon </w:t>
      </w:r>
      <m:oMath>
        <m:sSub>
          <m:sSubPr/>
          <m:e>
            <m:r>
              <m:rPr/>
              <m:t>g</m:t>
            </m:r>
          </m:e>
          <m:sub>
            <m:r>
              <m:rPr/>
              <m:t>7</m:t>
            </m:r>
          </m:sub>
        </m:sSub>
      </m:oMath>
      <w:r>
        <w:t xml:space="preserve"> exists only inside nucleons as a whitening background; it is never activated in pure vacuum </w:t>
      </w:r>
      <m:oMath>
        <m:sSup>
          <m:sSupPr/>
          <m:e>
            <m:r>
              <m:rPr/>
              <m:t>e</m:t>
            </m:r>
          </m:e>
          <m:sup>
            <m:r>
              <m:rPr>
                <m:sty m:val="p"/>
              </m:rPr>
              <m:t>+</m:t>
            </m:r>
          </m:sup>
        </m:sSup>
        <m:sSup>
          <m:sSupPr/>
          <m:e>
            <m:r>
              <m:rPr/>
              <m:t>e</m:t>
            </m:r>
          </m:e>
          <m:sup>
            <m:r>
              <m:rPr>
                <m:sty m:val="p"/>
              </m:rPr>
              <m:t>−</m:t>
            </m:r>
          </m:sup>
        </m:sSup>
      </m:oMath>
      <w:r>
        <w:t xml:space="preserve"> collisions. Therefore, there can be no real propagating fully white gluon jet. This directly excludes any three‑jet interpretation based on “real emission of a fully white gluon.”</w:t>
      </w:r>
    </w:p>
    <w:p w14:paraId="750A0B37">
      <w:pPr>
        <w:pStyle w:val="26"/>
        <w:numPr>
          <w:ilvl w:val="0"/>
          <w:numId w:val="3"/>
        </w:numPr>
      </w:pPr>
      <w:r>
        <w:rPr>
          <w:b/>
          <w:bCs/>
        </w:rPr>
        <w:t>Environment‑Dependent Virtual‑Field Activation:</w:t>
      </w:r>
      <w:r>
        <w:t xml:space="preserve"> The activation of the FCWFT virtual gluon </w:t>
      </w:r>
      <m:oMath>
        <m:sSub>
          <m:sSubPr/>
          <m:e>
            <m:r>
              <m:rPr/>
              <m:t>g</m:t>
            </m:r>
          </m:e>
          <m:sub>
            <m:r>
              <m:rPr/>
              <m:t>7</m:t>
            </m:r>
          </m:sub>
        </m:sSub>
      </m:oMath>
      <w:r>
        <w:t xml:space="preserve"> depends strictly on the presence of nuclear matter. In a pure vacuum electron–positron collision without a nuclear environment, </w:t>
      </w:r>
      <m:oMath>
        <m:sSub>
          <m:sSubPr/>
          <m:e>
            <m:r>
              <m:rPr/>
              <m:t>g</m:t>
            </m:r>
          </m:e>
          <m:sub>
            <m:r>
              <m:rPr/>
              <m:t>7</m:t>
            </m:r>
          </m:sub>
        </m:sSub>
      </m:oMath>
      <w:r>
        <w:t xml:space="preserve"> contributes nothing. The Standard Model has no such environment‑dependent variation in gluon configuration, making this a potential discriminator between the two theories.</w:t>
      </w:r>
    </w:p>
    <w:bookmarkEnd w:id="19"/>
    <w:p w14:paraId="21249D3A">
      <w:pPr>
        <w:pStyle w:val="7"/>
      </w:pPr>
      <w:bookmarkStart w:id="20" w:name="Xd3e144f5333b18b93686a2601302b0e96fdd42a"/>
      <w:r>
        <w:t>5.3 Suggestions for Monte Carlo Simulation Modifications</w:t>
      </w:r>
    </w:p>
    <w:p w14:paraId="0A28C726">
      <w:pPr>
        <w:pStyle w:val="4"/>
      </w:pPr>
      <w:r>
        <w:t xml:space="preserve">To adapt simulations to the FCWFT mechanism, future Monte Carlo studies could implement the following targeted modifications: remove the </w:t>
      </w:r>
      <m:oMath>
        <m:r>
          <m:rPr/>
          <m:t>q</m:t>
        </m:r>
        <m:acc>
          <m:accPr>
            <m:chr m:val="‾"/>
          </m:accPr>
          <m:e>
            <m:r>
              <m:rPr/>
              <m:t>q</m:t>
            </m:r>
          </m:e>
        </m:acc>
      </m:oMath>
      <w:r>
        <w:t xml:space="preserve"> intermediate‑state production channel, add an initial‑state B‑field color‑charge topological pairing step, and retain the final‑state hadronization and kinematic algorithms unchanged. The simulated data can then be compared with experimental data to look for fine deviations.</w:t>
      </w:r>
    </w:p>
    <w:bookmarkEnd w:id="17"/>
    <w:bookmarkEnd w:id="20"/>
    <w:p w14:paraId="36BB2595">
      <w:pPr>
        <w:pStyle w:val="6"/>
      </w:pPr>
      <w:bookmarkStart w:id="21" w:name="Xc4782b2060a27e117e5eff1bf50899232fe96f7"/>
      <w:r>
        <w:t>6 Defining the Theoretical Boundary with Condensed‑Matter Parton Emergence Phenomena</w:t>
      </w:r>
    </w:p>
    <w:p w14:paraId="3CD9E4A6">
      <w:pPr>
        <w:pStyle w:val="4"/>
      </w:pPr>
      <w:r>
        <w:t>To prevent over‑generalization of the theory and misassignment of experimental conclusions, this chapter strictly defines the mapping relationship between FCWFT and condensed‑matter strongly correlated systems. There is no experimentally confirmed connection; the mapping is purely theoretical analogy.</w:t>
      </w:r>
    </w:p>
    <w:p w14:paraId="04789F1C">
      <w:pPr>
        <w:pStyle w:val="7"/>
      </w:pPr>
      <w:bookmarkStart w:id="22" w:name="Xd0d9d0d1c21fe9b51ce7623b2793d921cbd6285"/>
      <w:r>
        <w:t>6.1 Objective Facts of the Condensed‑Matter Experiment</w:t>
      </w:r>
    </w:p>
    <w:p w14:paraId="01677FE9">
      <w:pPr>
        <w:pStyle w:val="4"/>
      </w:pPr>
      <w:r>
        <w:t xml:space="preserve">The team of Du Lingjie observed multiple branches of chiral graviton mode excitations in a GaAs two‑dimensional electron gas system under extreme low temperature </w:t>
      </w:r>
      <m:oMath>
        <m:r>
          <m:rPr>
            <m:sty m:val="p"/>
          </m:rPr>
          <m:t>(∼</m:t>
        </m:r>
        <m:r>
          <m:rPr/>
          <m:t>50</m:t>
        </m:r>
        <m:r>
          <m:rPr>
            <m:sty m:val="p"/>
          </m:rPr>
          <m:t>mK)</m:t>
        </m:r>
      </m:oMath>
      <w:r>
        <w:t xml:space="preserve"> and high magnetic field </w:t>
      </w:r>
      <m:oMath>
        <m:r>
          <m:rPr>
            <m:sty m:val="p"/>
          </m:rPr>
          <m:t>(∼</m:t>
        </m:r>
        <m:r>
          <m:rPr/>
          <m:t>13</m:t>
        </m:r>
        <m:r>
          <m:rPr>
            <m:sty m:val="p"/>
          </m:rPr>
          <m:t>T).</m:t>
        </m:r>
      </m:oMath>
      <w:r>
        <w:t xml:space="preserve"> This experimental conclusion only confirms the existence of collective parton emergence effects in strongly correlated condensed‑matter systems. The observed objects are macroscopic collective excitation modes; no color charges were detected, no elementary particles were split, and there is no direct experimental link to high‑energy particle collisions.</w:t>
      </w:r>
    </w:p>
    <w:bookmarkEnd w:id="22"/>
    <w:p w14:paraId="7961E4EE">
      <w:pPr>
        <w:pStyle w:val="7"/>
      </w:pPr>
      <w:bookmarkStart w:id="23" w:name="X1ec77bb9dcee00342696090f4dd6cfa35bb1653"/>
      <w:r>
        <w:t>6.2 FCWFT Theoretical Analogy Mapping (Purely Interpretive)</w:t>
      </w:r>
    </w:p>
    <w:p w14:paraId="5C73219E">
      <w:pPr>
        <w:pStyle w:val="4"/>
      </w:pPr>
      <w:r>
        <w:t>FCWFT can provide a theoretical analogy at the level of topological degrees of freedom. This is solely an academic interpretation, not an experimental conclusion:</w:t>
      </w:r>
    </w:p>
    <w:p w14:paraId="6DA99EE7">
      <w:pPr>
        <w:pStyle w:val="26"/>
        <w:numPr>
          <w:ilvl w:val="0"/>
          <w:numId w:val="1"/>
        </w:numPr>
      </w:pPr>
      <w:r>
        <w:t xml:space="preserve">The fractional charge </w:t>
      </w:r>
      <m:oMath>
        <m:r>
          <m:rPr/>
          <m:t>e</m:t>
        </m:r>
        <m:r>
          <m:rPr>
            <m:sty m:val="p"/>
          </m:rPr>
          <m:t>/</m:t>
        </m:r>
        <m:r>
          <m:rPr/>
          <m:t>3</m:t>
        </m:r>
      </m:oMath>
      <w:r>
        <w:t xml:space="preserve"> of quasiparticles in the fractional quantum Hall effect (FQHE) at filling factor </w:t>
      </w:r>
      <m:oMath>
        <m:r>
          <m:rPr/>
          <m:t>ν</m:t>
        </m:r>
        <m:r>
          <m:rPr>
            <m:sty m:val="p"/>
          </m:rPr>
          <m:t>=</m:t>
        </m:r>
        <m:r>
          <m:rPr/>
          <m:t>1</m:t>
        </m:r>
        <m:r>
          <m:rPr>
            <m:sty m:val="p"/>
          </m:rPr>
          <m:t>/</m:t>
        </m:r>
        <m:r>
          <m:rPr/>
          <m:t>3</m:t>
        </m:r>
      </m:oMath>
      <w:r>
        <w:t xml:space="preserve"> can be mapped onto the minimal fractional load of the B‑field color‑charge degree of freedom.</w:t>
      </w:r>
    </w:p>
    <w:p w14:paraId="6C945F7C">
      <w:pPr>
        <w:pStyle w:val="26"/>
        <w:numPr>
          <w:ilvl w:val="0"/>
          <w:numId w:val="1"/>
        </w:numPr>
      </w:pPr>
      <w:r>
        <w:t>The chiral graviton mode excitations in condensed matter can be mapped onto geometric oscillations of the A‑field graviton microdomains and collective topological effects of partons in FCWFT.</w:t>
      </w:r>
    </w:p>
    <w:bookmarkEnd w:id="23"/>
    <w:p w14:paraId="14274DCE">
      <w:pPr>
        <w:pStyle w:val="7"/>
      </w:pPr>
      <w:bookmarkStart w:id="24" w:name="prohibited-academic-statements"/>
      <w:r>
        <w:t>6.3 Prohibited Academic Statements</w:t>
      </w:r>
    </w:p>
    <w:p w14:paraId="11912F24">
      <w:pPr>
        <w:pStyle w:val="4"/>
      </w:pPr>
      <w:r>
        <w:t>This paper draws a clear red line; the following erroneous statements must be avoided in all subsequent research:</w:t>
      </w:r>
    </w:p>
    <w:p w14:paraId="68A7013C">
      <w:pPr>
        <w:pStyle w:val="26"/>
        <w:numPr>
          <w:ilvl w:val="0"/>
          <w:numId w:val="1"/>
        </w:numPr>
      </w:pPr>
      <w:r>
        <w:t>“The condensed‑matter experiment confirms the FCWFT three‑color‑charge pairing mechanism.”</w:t>
      </w:r>
    </w:p>
    <w:p w14:paraId="65845718">
      <w:pPr>
        <w:pStyle w:val="26"/>
        <w:numPr>
          <w:ilvl w:val="0"/>
          <w:numId w:val="1"/>
        </w:numPr>
      </w:pPr>
      <w:r>
        <w:t xml:space="preserve">“The </w:t>
      </w:r>
      <m:oMath>
        <m:sSup>
          <m:sSupPr/>
          <m:e>
            <m:r>
              <m:rPr/>
              <m:t>e</m:t>
            </m:r>
          </m:e>
          <m:sup>
            <m:r>
              <m:rPr>
                <m:sty m:val="p"/>
              </m:rPr>
              <m:t>+</m:t>
            </m:r>
          </m:sup>
        </m:sSup>
        <m:sSup>
          <m:sSupPr/>
          <m:e>
            <m:r>
              <m:rPr/>
              <m:t>e</m:t>
            </m:r>
          </m:e>
          <m:sup>
            <m:r>
              <m:rPr>
                <m:sty m:val="p"/>
              </m:rPr>
              <m:t>−</m:t>
            </m:r>
          </m:sup>
        </m:sSup>
      </m:oMath>
      <w:r>
        <w:t xml:space="preserve"> three‑jet phenomenon corresponds to splitting the electron into three pieces.”</w:t>
      </w:r>
    </w:p>
    <w:p w14:paraId="379E9CE7">
      <w:pPr>
        <w:pStyle w:val="26"/>
        <w:numPr>
          <w:ilvl w:val="0"/>
          <w:numId w:val="1"/>
        </w:numPr>
      </w:pPr>
      <w:r>
        <w:t>Treating theoretical analogies as experimental causal confirmations.</w:t>
      </w:r>
    </w:p>
    <w:bookmarkEnd w:id="21"/>
    <w:bookmarkEnd w:id="24"/>
    <w:p w14:paraId="048F029A">
      <w:pPr>
        <w:pStyle w:val="6"/>
      </w:pPr>
      <w:bookmarkStart w:id="25" w:name="conclusions-and-academic-positioning"/>
      <w:r>
        <w:t>7 Conclusions and Academic Positioning</w:t>
      </w:r>
    </w:p>
    <w:p w14:paraId="41CF129D">
      <w:pPr>
        <w:pStyle w:val="7"/>
      </w:pPr>
      <w:bookmarkStart w:id="26" w:name="main-research-conclusions"/>
      <w:r>
        <w:t>7.1 Main Research Conclusions</w:t>
      </w:r>
    </w:p>
    <w:p w14:paraId="6590B400">
      <w:pPr>
        <w:pStyle w:val="26"/>
        <w:numPr>
          <w:ilvl w:val="0"/>
          <w:numId w:val="4"/>
        </w:numPr>
      </w:pPr>
      <w:r>
        <w:rPr>
          <w:b/>
          <w:bCs/>
        </w:rPr>
        <w:t>Standard Model History Is Solidified:</w:t>
      </w:r>
      <w:r>
        <w:t xml:space="preserve"> The 1979–1980 PETRA three‑jet experiments are robust evidence for the existence of the gluon. The QCD mechanism </w:t>
      </w:r>
      <m:oMath>
        <m:sSup>
          <m:sSupPr/>
          <m:e>
            <m:r>
              <m:rPr/>
              <m:t>e</m:t>
            </m:r>
          </m:e>
          <m:sup>
            <m:r>
              <m:rPr>
                <m:sty m:val="p"/>
              </m:rPr>
              <m:t>+</m:t>
            </m:r>
          </m:sup>
        </m:sSup>
        <m:sSup>
          <m:sSupPr/>
          <m:e>
            <m:r>
              <m:rPr/>
              <m:t>e</m:t>
            </m:r>
          </m:e>
          <m:sup>
            <m:r>
              <m:rPr>
                <m:sty m:val="p"/>
              </m:rPr>
              <m:t>−</m:t>
            </m:r>
          </m:sup>
        </m:sSup>
        <m:r>
          <m:rPr>
            <m:sty m:val="p"/>
          </m:rPr>
          <m:t>→</m:t>
        </m:r>
        <m:r>
          <m:rPr/>
          <m:t>q</m:t>
        </m:r>
        <m:acc>
          <m:accPr>
            <m:chr m:val="‾"/>
          </m:accPr>
          <m:e>
            <m:r>
              <m:rPr/>
              <m:t>q</m:t>
            </m:r>
          </m:e>
        </m:acc>
        <m:r>
          <m:rPr/>
          <m:t>g</m:t>
        </m:r>
        <m:r>
          <m:rPr>
            <m:sty m:val="p"/>
          </m:rPr>
          <m:t>,</m:t>
        </m:r>
      </m:oMath>
      <w:r>
        <w:t xml:space="preserve"> the </w:t>
      </w:r>
      <m:oMath>
        <m:r>
          <m:rPr/>
          <m:t>SU</m:t>
        </m:r>
        <m:r>
          <m:rPr>
            <m:sty m:val="p"/>
          </m:rPr>
          <m:t>(</m:t>
        </m:r>
        <m:r>
          <m:rPr/>
          <m:t>3</m:t>
        </m:r>
        <m:sSub>
          <m:sSubPr/>
          <m:e>
            <m:r>
              <m:rPr>
                <m:sty m:val="p"/>
              </m:rPr>
              <m:t>)</m:t>
            </m:r>
          </m:e>
          <m:sub>
            <m:r>
              <m:rPr/>
              <m:t>c</m:t>
            </m:r>
          </m:sub>
        </m:sSub>
      </m:oMath>
      <w:r>
        <w:t xml:space="preserve"> octet gluon structure, and the determination of the strong coupling constant are universally accepted physical facts, fully valid and effective.</w:t>
      </w:r>
    </w:p>
    <w:p w14:paraId="15550B90">
      <w:pPr>
        <w:pStyle w:val="26"/>
        <w:numPr>
          <w:ilvl w:val="0"/>
          <w:numId w:val="4"/>
        </w:numPr>
      </w:pPr>
      <w:r>
        <w:rPr>
          <w:b/>
          <w:bCs/>
        </w:rPr>
        <w:t>Novel FCWFT Mechanism:</w:t>
      </w:r>
      <w:r>
        <w:t xml:space="preserve"> Based on the A/B/C three‑field axiom system, a quark‑free intermediate‑state reconstruction of the three‑jet phenomenon is presented for the first time, proposing a new microscopic topological mechanism in which the positive and negative triple color charges of the electron and positron B‑fields directly pair to produce single‑color gluons </w:t>
      </w:r>
      <m:oMath>
        <m:sSub>
          <m:sSubPr/>
          <m:e>
            <m:r>
              <m:rPr/>
              <m:t>g</m:t>
            </m:r>
          </m:e>
          <m:sub>
            <m:r>
              <m:rPr/>
              <m:t>1</m:t>
            </m:r>
          </m:sub>
        </m:sSub>
        <m:sSub>
          <m:sSubPr/>
          <m:e>
            <m:r>
              <m:rPr/>
              <m:t>g</m:t>
            </m:r>
          </m:e>
          <m:sub>
            <m:r>
              <m:rPr/>
              <m:t>2</m:t>
            </m:r>
          </m:sub>
        </m:sSub>
        <m:sSub>
          <m:sSubPr/>
          <m:e>
            <m:r>
              <m:rPr/>
              <m:t>g</m:t>
            </m:r>
          </m:e>
          <m:sub>
            <m:r>
              <m:rPr/>
              <m:t>3</m:t>
            </m:r>
          </m:sub>
        </m:sSub>
        <m:r>
          <m:rPr>
            <m:sty m:val="p"/>
          </m:rPr>
          <m:t>.</m:t>
        </m:r>
      </m:oMath>
    </w:p>
    <w:p w14:paraId="690C4B14">
      <w:pPr>
        <w:pStyle w:val="26"/>
        <w:numPr>
          <w:ilvl w:val="0"/>
          <w:numId w:val="4"/>
        </w:numPr>
      </w:pPr>
      <w:r>
        <w:rPr>
          <w:b/>
          <w:bCs/>
        </w:rPr>
        <w:t>Equivalent Phenomenology, Different Mechanism:</w:t>
      </w:r>
      <w:r>
        <w:t xml:space="preserve"> The FCWFT reconstruction is fully self‑consistent with all historical experimental data and final‑state kinematic distributions. The sole difference from the Standard Model lies in the unobservable microscopic production mechanism and the gluon topological structure.</w:t>
      </w:r>
    </w:p>
    <w:p w14:paraId="1B1092ED">
      <w:pPr>
        <w:pStyle w:val="26"/>
        <w:numPr>
          <w:ilvl w:val="0"/>
          <w:numId w:val="4"/>
        </w:numPr>
      </w:pPr>
      <w:r>
        <w:rPr>
          <w:b/>
          <w:bCs/>
        </w:rPr>
        <w:t>Differentiated Theoretical System:</w:t>
      </w:r>
      <w:r>
        <w:t xml:space="preserve"> An exclusive FCWFT eight‑gluon topological list is constructed, clarifying the non‑strong‑interaction nature of the virtual background </w:t>
      </w:r>
      <m:oMath>
        <m:sSub>
          <m:sSubPr/>
          <m:e>
            <m:r>
              <m:rPr/>
              <m:t>g</m:t>
            </m:r>
          </m:e>
          <m:sub>
            <m:r>
              <m:rPr/>
              <m:t>7</m:t>
            </m:r>
          </m:sub>
        </m:sSub>
      </m:oMath>
      <w:r>
        <w:t xml:space="preserve"> and the weak mediator </w:t>
      </w:r>
      <m:oMath>
        <m:sSub>
          <m:sSubPr/>
          <m:e>
            <m:r>
              <m:rPr/>
              <m:t>g</m:t>
            </m:r>
          </m:e>
          <m:sub>
            <m:r>
              <m:rPr/>
              <m:t>8</m:t>
            </m:r>
          </m:sub>
        </m:sSub>
        <m:r>
          <m:rPr>
            <m:sty m:val="p"/>
          </m:rPr>
          <m:t>,</m:t>
        </m:r>
      </m:oMath>
      <w:r>
        <w:t xml:space="preserve"> adding a dimension of field‑topology classification not covered by the Standard Model.</w:t>
      </w:r>
    </w:p>
    <w:p w14:paraId="2290BB4C">
      <w:pPr>
        <w:pStyle w:val="26"/>
        <w:numPr>
          <w:ilvl w:val="0"/>
          <w:numId w:val="4"/>
        </w:numPr>
      </w:pPr>
      <w:r>
        <w:rPr>
          <w:b/>
          <w:bCs/>
        </w:rPr>
        <w:t>Forward‑Looking Experimental Discriminators:</w:t>
      </w:r>
      <w:r>
        <w:t xml:space="preserve"> Unique discriminators such as higher‑order color‑factor differences, absence of fully white gluon jets, and environment dependence are extracted, providing new directions for theoretical validation in future high‑precision high‑energy physics experiments.</w:t>
      </w:r>
    </w:p>
    <w:bookmarkEnd w:id="26"/>
    <w:p w14:paraId="64B304F9">
      <w:pPr>
        <w:pStyle w:val="7"/>
      </w:pPr>
      <w:bookmarkStart w:id="27" w:name="precise-academic-positioning"/>
      <w:r>
        <w:t>7.2 Precise Academic Positioning</w:t>
      </w:r>
    </w:p>
    <w:p w14:paraId="2C878481">
      <w:pPr>
        <w:pStyle w:val="4"/>
      </w:pPr>
      <w:r>
        <w:t>This study does not falsify any experiment, replace any model, or overturn any conclusion. It does not belong to experimental physics; it is a foundational theoretical paradigm‑reconstruction study. Its core academic value lies in incorporating a classic high‑energy strong‑interaction phenomenon into the unified FCWFT physical framework, achieving a theoretically self‑consistent unification of high‑energy collision physics and condensed‑matter parton emergence physics, and providing an original theoretical support for multi‑paradigm interpretations of the strong interaction.</w:t>
      </w:r>
    </w:p>
    <w:bookmarkEnd w:id="25"/>
    <w:bookmarkEnd w:id="27"/>
    <w:p w14:paraId="6E8D0DD9">
      <w:pPr>
        <w:pStyle w:val="6"/>
      </w:pPr>
      <w:bookmarkStart w:id="28" w:name="references"/>
      <w:r>
        <w:t>References</w:t>
      </w:r>
    </w:p>
    <w:p w14:paraId="36E3667D">
      <w:pPr>
        <w:pStyle w:val="4"/>
      </w:pPr>
      <w:r>
        <w:t>[1] Ellis J. The Discovery of the Gluon. arXiv:1409.4232, 2014.</w:t>
      </w:r>
      <w:r>
        <w:br w:type="textWrapping"/>
      </w:r>
      <w:r>
        <w:t xml:space="preserve">[2] Brandelik R, et al. (TASSO Collaboration). Evidence for planar events in </w:t>
      </w:r>
      <m:oMath>
        <m:sSup>
          <m:sSupPr/>
          <m:e>
            <m:r>
              <m:rPr/>
              <m:t>e</m:t>
            </m:r>
          </m:e>
          <m:sup>
            <m:r>
              <m:rPr>
                <m:sty m:val="p"/>
              </m:rPr>
              <m:t>+</m:t>
            </m:r>
          </m:sup>
        </m:sSup>
        <m:sSup>
          <m:sSupPr/>
          <m:e>
            <m:r>
              <m:rPr/>
              <m:t>e</m:t>
            </m:r>
          </m:e>
          <m:sup>
            <m:r>
              <m:rPr>
                <m:sty m:val="p"/>
              </m:rPr>
              <m:t>−</m:t>
            </m:r>
          </m:sup>
        </m:sSup>
      </m:oMath>
      <w:r>
        <w:t xml:space="preserve"> annihilation at high energies. Phys. Lett. B 1980, 94(3): 437–443.</w:t>
      </w:r>
      <w:r>
        <w:br w:type="textWrapping"/>
      </w:r>
      <w:r>
        <w:t xml:space="preserve">[3] Bartel W, et al. (JADE Collaboration). Evidence for gluon bremsstrahlung in </w:t>
      </w:r>
      <m:oMath>
        <m:sSup>
          <m:sSupPr/>
          <m:e>
            <m:r>
              <m:rPr/>
              <m:t>e</m:t>
            </m:r>
          </m:e>
          <m:sup>
            <m:r>
              <m:rPr>
                <m:sty m:val="p"/>
              </m:rPr>
              <m:t>+</m:t>
            </m:r>
          </m:sup>
        </m:sSup>
        <m:sSup>
          <m:sSupPr/>
          <m:e>
            <m:r>
              <m:rPr/>
              <m:t>e</m:t>
            </m:r>
          </m:e>
          <m:sup>
            <m:r>
              <m:rPr>
                <m:sty m:val="p"/>
              </m:rPr>
              <m:t>−</m:t>
            </m:r>
          </m:sup>
        </m:sSup>
      </m:oMath>
      <w:r>
        <w:t xml:space="preserve"> annihilations. Phys. Lett. B 1980, 91(1): 142–147.</w:t>
      </w:r>
      <w:r>
        <w:br w:type="textWrapping"/>
      </w:r>
      <w:r>
        <w:t xml:space="preserve">[4] Berger Ch, et al. (PLUTO Collaboration). Evidence for gluon bremsstrahlung in </w:t>
      </w:r>
      <m:oMath>
        <m:sSup>
          <m:sSupPr/>
          <m:e>
            <m:r>
              <m:rPr/>
              <m:t>e</m:t>
            </m:r>
          </m:e>
          <m:sup>
            <m:r>
              <m:rPr>
                <m:sty m:val="p"/>
              </m:rPr>
              <m:t>+</m:t>
            </m:r>
          </m:sup>
        </m:sSup>
        <m:sSup>
          <m:sSupPr/>
          <m:e>
            <m:r>
              <m:rPr/>
              <m:t>e</m:t>
            </m:r>
          </m:e>
          <m:sup>
            <m:r>
              <m:rPr>
                <m:sty m:val="p"/>
              </m:rPr>
              <m:t>−</m:t>
            </m:r>
          </m:sup>
        </m:sSup>
      </m:oMath>
      <w:r>
        <w:t xml:space="preserve"> annihilations. Phys. Lett. B 1980, 97(3): 459–464.</w:t>
      </w:r>
      <w:r>
        <w:br w:type="textWrapping"/>
      </w:r>
      <w:r>
        <w:t>[5] Wiik B H, Wolf G. Electron‑positron annihilation and the gluon. Electron‑Positron Interactions (Springer, 1979): 236–265.</w:t>
      </w:r>
      <w:r>
        <w:br w:type="textWrapping"/>
      </w:r>
      <w:r>
        <w:t>[6] Bethke S. Experimental tests of asymptotic freedom. Prog. Part. Nucl. Phys. 2007, 58(2): 351–386.</w:t>
      </w:r>
      <w:r>
        <w:br w:type="textWrapping"/>
      </w:r>
      <w:r>
        <w:t>[7] Ellis R K, Stirling W J, Webber B R. QCD and Collider Physics. Cambridge University Press, 1996.</w:t>
      </w:r>
      <w:r>
        <w:br w:type="textWrapping"/>
      </w:r>
      <w:r>
        <w:t>[8] Du L J, et al. Evidence for chiral graviton modes in fractional quantum Hall liquids. Nature 2024, 629: 541–545.</w:t>
      </w:r>
      <w:r>
        <w:br w:type="textWrapping"/>
      </w:r>
      <w:r>
        <w:t>[9] Workman R L, et al. (Particle Data Group). Review of Particle Physics. Prog. Theor. Exp. Phys. 2022, 083C01.</w:t>
      </w:r>
      <w:r>
        <w:br w:type="textWrapping"/>
      </w:r>
      <w:r>
        <w:t>[10] Field Combination Wave Function Theory Research Group. FCWFT Axiom System and Strong Interaction Field Topology Study. Internal monograph draft: B29§5, A9 chapters, 2026. (Unpublished)</w:t>
      </w:r>
    </w:p>
    <w:p w14:paraId="1DF06136">
      <w:pPr>
        <w:pStyle w:val="3"/>
      </w:pPr>
      <w:bookmarkStart w:id="29" w:name="_GoBack"/>
      <w:bookmarkEnd w:id="29"/>
    </w:p>
    <w:bookmarkEnd w:id="0"/>
    <w:bookmarkEnd w:id="1"/>
    <w:bookmarkEnd w:id="28"/>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75F658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14</Pages>
  <Words>834</Words>
  <Characters>4989</Characters>
  <Lines>283</Lines>
  <Paragraphs>310</Paragraphs>
  <TotalTime>1</TotalTime>
  <ScaleCrop>false</ScaleCrop>
  <LinksUpToDate>false</LinksUpToDate>
  <CharactersWithSpaces>5734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2026-10-16T09:21:00Z</dcterms:created>
  <dc:creator>迈斯纳效应</dc:creator>
  <cp:lastModifiedBy>迈斯纳效应</cp:lastModifiedBy>
  <dcterms:modified xsi:type="dcterms:W3CDTF">2026-10-16T09:23:10Z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E9E272E4F9D84E088A3407D55E93C39B_12</vt:lpwstr>
  </property>
</Properties>
</file>