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7FD823">
      <w:pPr>
        <w:pStyle w:val="2"/>
      </w:pPr>
      <w:bookmarkStart w:id="0" w:name="X60b87578eeb61431661db17c5e22ca57c875044"/>
      <w:r>
        <w:t>B14: Gamma-Ray Burst Shock Bowstring Cascade under the FCWFT Framework</w:t>
      </w:r>
    </w:p>
    <w:p w14:paraId="4E6DF969">
      <w:pPr>
        <w:pStyle w:val="5"/>
      </w:pPr>
      <w:bookmarkStart w:id="1" w:name="X4407b0abcf5012a5b739df1760205ac6f8db9ee"/>
      <w:r>
        <w:t xml:space="preserve">A-field Fermi Acceleration, Positron-Electron Pair Feedback, and C-field </w:t>
      </w:r>
      <m:oMath>
        <m:r>
          <m:rPr/>
          <m:t>γ</m:t>
        </m:r>
      </m:oMath>
      <w:r>
        <w:t xml:space="preserve"> Projection</w:t>
      </w:r>
    </w:p>
    <w:p w14:paraId="1831B926">
      <w:pPr>
        <w:pStyle w:val="4"/>
      </w:pPr>
      <w:r>
        <w:rPr>
          <w:b/>
          <w:bCs/>
        </w:rPr>
        <w:t>Authors:</w:t>
      </w:r>
      <w:r>
        <w:t xml:space="preserve"> Li Zhijun¹, Zhao Guangyao², Xue Yanyu³</w:t>
      </w:r>
      <w:r>
        <w:br w:type="textWrapping"/>
      </w:r>
      <w:r>
        <w:t>¹ Shanxi Provincial Department of Agriculture and Rural Affairs, School of Animal Husbandry and Veterinary Medicine, Taiyuan, China</w:t>
      </w:r>
      <w:r>
        <w:br w:type="textWrapping"/>
      </w:r>
      <w:r>
        <w:t>² College of Physics, Chongqing University, Chongqing, China</w:t>
      </w:r>
      <w:r>
        <w:br w:type="textWrapping"/>
      </w:r>
      <w:r>
        <w:t>³ Shanxi Provincial Department of Agriculture and Rural Affairs, School of Animal Husbandry and Veterinary Medicine, Taiyuan, China</w:t>
      </w:r>
    </w:p>
    <w:p w14:paraId="722ED249">
      <w:pPr>
        <w:pStyle w:val="6"/>
      </w:pPr>
      <w:bookmarkStart w:id="2" w:name="abstract"/>
      <w:r>
        <w:t>Abstract</w:t>
      </w:r>
    </w:p>
    <w:p w14:paraId="641DAFE8">
      <w:pPr>
        <w:pStyle w:val="4"/>
      </w:pPr>
      <w:r>
        <w:t>Based on standard QED and relativistic plasma physics, this paper encapsulates the particle acceleration, high-energy radiation, and photon annihilation cascade processes of gamma-ray burst (GRB) external shocks into a standardized mathematical framework using the FCWFT three-field topological system. The A-field uniformly encapsulates all charged relativistic degrees of freedom, serving as the dynamical carrier of first-order Fermi acceleration at the shock. The B-field, centered on magnetic topological winding number conservation, quantifies the plasma return efficiency and the probability of repeated particle capture. The C-field acts as an energy-radiation projection operator, mapping the energy spectrum of A-field charged particles onto the observed gamma-ray spectrum. Using GRB 221009A as the observational anchor point, this paper presents quantitative fitting results for the LHAASO 0.2–7 TeV afterglow and 3–20 TeV high-energy sample via standard external shock synchrotron radiation, synchrotron self-Compton (SSC), and external Compton (EC) mechanisms (fitting statistics are given in Table 1). For the anomalous 251–300 TeV extreme high-energy photons, we construct an A-field bowstring multi-stage cascade feedback mechanism. After systematically examining internal generation pathways, we find that under the given parameters, neither the CMB target nor the synchrotron photon target can produce photons in the target energy band under the Thomson approximation, and the high-energy target photon channel is suppressed by the Klein-Nishina cross-section. Therefore, the internal generation of 250–300 TeV photons is listed as an open question. For propagation corrections, the axion-like particle (ALP) oscillation scheme is adopted as the primary solution, with exclusive observational markers provided for each of the three propagation pathways. The model establishes a quadruple physical saturation constraint system to ensure theoretical convergence. All physical processes strictly follow classical high-energy astrophysical principles; FCWFT serves only as a unified topological encapsulation language, introducing no new physical mechanisms and modifying no fundamental laws of physics.</w:t>
      </w:r>
    </w:p>
    <w:p w14:paraId="66C923DB">
      <w:pPr>
        <w:pStyle w:val="3"/>
      </w:pPr>
      <w:r>
        <w:rPr>
          <w:b/>
          <w:bCs/>
        </w:rPr>
        <w:t>Keywords:</w:t>
      </w:r>
      <w:r>
        <w:t xml:space="preserve"> Gamma-ray burst; External shock; Fermi acceleration; Electron-positron pair cascade; FCWFT three-field topology; GRB 221009A; ALP oscillation; Klein-Nishina suppression</w:t>
      </w:r>
    </w:p>
    <w:bookmarkEnd w:id="2"/>
    <w:p w14:paraId="7C22342C">
      <w:pPr>
        <w:pStyle w:val="6"/>
      </w:pPr>
      <w:bookmarkStart w:id="3" w:name="introduction"/>
      <w:r>
        <w:t>1 Introduction</w:t>
      </w:r>
    </w:p>
    <w:p w14:paraId="02530AC9">
      <w:pPr>
        <w:pStyle w:val="4"/>
      </w:pPr>
      <w:r>
        <w:t>The anomaly of cosmic transparency for high-energy gamma-ray afterglows and the excess of ultra-high-energy photons represent one of the core puzzles in contemporary high-energy astrophysics, manifested in two major contradictions to the standard model.</w:t>
      </w:r>
    </w:p>
    <w:p w14:paraId="4900C425">
      <w:pPr>
        <w:pStyle w:val="3"/>
      </w:pPr>
      <w:r>
        <w:t xml:space="preserve">First, the TeV gamma-ray opacity paradox. Standard EBL absorption models indicate that within the redshift range </w:t>
      </w:r>
      <m:oMath>
        <m:r>
          <m:rPr/>
          <m:t>z</m:t>
        </m:r>
        <m:r>
          <m:rPr>
            <m:sty m:val="p"/>
          </m:rPr>
          <m:t>∼</m:t>
        </m:r>
        <m:r>
          <m:rPr/>
          <m:t>0.15</m:t>
        </m:r>
        <m:r>
          <m:rPr>
            <m:sty m:val="p"/>
          </m:rPr>
          <m:t>,</m:t>
        </m:r>
      </m:oMath>
      <w:r>
        <w:t xml:space="preserve"> the intergalactic absorption rate for 10 TeV gamma rays exceeds 99.5%, and photons at the hundred-TeV level can barely penetrate the cosmic medium. However, the LHAASO collaboration not only detected a large number of 10–20 TeV high-energy afterglow photons from GRB 221009A, but the Carpet-2/3 instruments also reported extreme high-energy gamma-ray events at 251 TeV and 300 TeV (significance approximately </w:t>
      </w:r>
      <m:oMath>
        <m:r>
          <m:rPr/>
          <m:t>2.6σ</m:t>
        </m:r>
      </m:oMath>
      <w:r>
        <w:t>; these are single-photon events, and their physical association with this burst remains controversial, pending further confirmation). This anomaly constitutes the core paradox of the standard radiation-absorption model.</w:t>
      </w:r>
    </w:p>
    <w:p w14:paraId="5B35D7D2">
      <w:pPr>
        <w:pStyle w:val="3"/>
      </w:pPr>
      <w:r>
        <w:t xml:space="preserve">Second, the GZK limit constraint contradiction. Standard cosmic ray theory states that ultra-high-energy protons with energies above </w:t>
      </w:r>
      <m:oMath>
        <m:r>
          <m:rPr/>
          <m:t>5</m:t>
        </m:r>
        <m:r>
          <m:rPr>
            <m:sty m:val="p"/>
          </m:rPr>
          <m:t>×</m:t>
        </m:r>
        <m:sSup>
          <m:sSupPr/>
          <m:e>
            <m:r>
              <m:rPr/>
              <m:t>10</m:t>
            </m:r>
          </m:e>
          <m:sup>
            <m:r>
              <m:rPr/>
              <m:t>19</m:t>
            </m:r>
          </m:sup>
        </m:sSup>
        <m:r>
          <m:rPr/>
          <m:t> </m:t>
        </m:r>
        <m:r>
          <m:rPr>
            <m:sty m:val="p"/>
          </m:rPr>
          <m:t>eV,</m:t>
        </m:r>
      </m:oMath>
      <w:r>
        <w:t xml:space="preserve"> when propagating through the universe, undergo photopion production reactions with CMB photons, rapidly losing energy over a cosmological scale of about 50 Mpc, forming the GZK cutoff (propagation cutoff). Yet cosmic ray observations continue to detect events exceeding the GZK limit, which cannot be fully explained by traditional acceleration and propagation models. It should be emphasized: the GZK cutoff is an energy-loss cutoff during propagation, not an upper limit of the acceleration mechanism.</w:t>
      </w:r>
    </w:p>
    <w:p w14:paraId="2E68CB97">
      <w:pPr>
        <w:pStyle w:val="3"/>
      </w:pPr>
      <w:r>
        <w:t>The classical GRB fireball shock model attributes the origin of high-energy photons to the Fermi acceleration of charged particles in relativistic external shocks and subsequent radiative processes. However, this model lacks a unified topological constraint system; the causal logic, saturation mechanisms, and particle return rules of multi-stage cascades are all empirically parameterized, making it impossible to quantitatively explain the extreme high-energy excess phenomenon.</w:t>
      </w:r>
    </w:p>
    <w:p w14:paraId="51FB0D97">
      <w:pPr>
        <w:pStyle w:val="3"/>
      </w:pPr>
      <w:r>
        <w:t>Several theoretical schemes have been proposed regarding the 251/300 TeV anomaly of GRB 221009A:</w:t>
      </w:r>
    </w:p>
    <w:p w14:paraId="42305DCF">
      <w:pPr>
        <w:pStyle w:val="26"/>
        <w:numPr>
          <w:ilvl w:val="0"/>
          <w:numId w:val="1"/>
        </w:numPr>
      </w:pPr>
      <w:r>
        <w:t>Galanti et al. (2023) used the ALP oscillation mechanism to explain the TeV transparency anomaly of this burst;</w:t>
      </w:r>
    </w:p>
    <w:p w14:paraId="668EC46F">
      <w:pPr>
        <w:pStyle w:val="26"/>
        <w:numPr>
          <w:ilvl w:val="0"/>
          <w:numId w:val="1"/>
        </w:numPr>
      </w:pPr>
      <w:r>
        <w:t>The LHAASO collaboration (2023) analyzed the energy spectrum and light curve of the standard afterglow;</w:t>
      </w:r>
    </w:p>
    <w:p w14:paraId="4A3825E8">
      <w:pPr>
        <w:pStyle w:val="26"/>
        <w:numPr>
          <w:ilvl w:val="0"/>
          <w:numId w:val="1"/>
        </w:numPr>
      </w:pPr>
      <w:r>
        <w:t>The Carpet-2 collaboration (2022) reported the 251 TeV single-photon event;</w:t>
      </w:r>
    </w:p>
    <w:p w14:paraId="6A3EECE4">
      <w:pPr>
        <w:pStyle w:val="26"/>
        <w:numPr>
          <w:ilvl w:val="0"/>
          <w:numId w:val="1"/>
        </w:numPr>
      </w:pPr>
      <w:r>
        <w:t>Additionally, hadronic cascade models, heavy-nucleus secondary photon models, etc., have been discussed.</w:t>
      </w:r>
    </w:p>
    <w:p w14:paraId="4902F538">
      <w:pPr>
        <w:pStyle w:val="4"/>
      </w:pPr>
      <w:r>
        <w:t>Building upon these works, this paper attempts to provide a unified topological encapsulation perspective: reorganizing existing standard physical processes (Fermi acceleration, synchrotron radiation, inverse Compton scattering, two-photon pair production) using FCWFT three-field language, thereby making their causal structure and saturation conditions more transparent.</w:t>
      </w:r>
    </w:p>
    <w:p w14:paraId="02F10BBB">
      <w:pPr>
        <w:pStyle w:val="3"/>
      </w:pPr>
      <w:r>
        <w:t>This paper explicitly declares: FCWFT serves only as a unified topological encapsulation language, introducing no new physical mechanisms and modifying no fundamental laws of physics. The core methodological increment of this paper relative to existing work lies in the following: whereas the “capture probability of particles returning to the shock” in the standard model is an empirically parameterized quantity, this paper introduces B-field magnetic topological winding number conservation, elevating it to a quantifiable quantity driven by a topological invariant (see Section 2.2). This is a specific methodological contribution of this paper relative to existing models, not a replacement of standard physics.</w:t>
      </w:r>
    </w:p>
    <w:p w14:paraId="092F07BC">
      <w:pPr>
        <w:pStyle w:val="3"/>
      </w:pPr>
      <w:r>
        <w:t>The structure of this paper is as follows: Section 2 defines the specific form of the FCWFT three fields in the astrophysical context; Section 3 constructs the A-field bowstring cascade acceleration mechanism; Section 4 provides the main formulas for C-field radiation projection; Section 5 elaborates the electron-positron pair feedback loop; Section 6 establishes the quadruple saturation system; Section 7 uses GRB 221009A as the anchor point for numerical fitting and anomaly explanation; Section 8 extends to the UHECR domain; Section 9 presents testable predictions; Section 10 concludes. A pre-submission review note is attached at the end.</w:t>
      </w:r>
    </w:p>
    <w:bookmarkEnd w:id="3"/>
    <w:p w14:paraId="40EE207A">
      <w:pPr>
        <w:pStyle w:val="6"/>
      </w:pPr>
      <w:bookmarkStart w:id="4" w:name="core-postulates-of-fcwft-three-fields"/>
      <w:r>
        <w:t>2 Core Postulates of FCWFT Three Fields</w:t>
      </w:r>
    </w:p>
    <w:p w14:paraId="7FC548F3">
      <w:pPr>
        <w:pStyle w:val="4"/>
      </w:pPr>
      <w:r>
        <w:t>Inheriting the three-field axiom system of B5/B15/B70, we adaptively define the fields for the relativistic shock plasma environment. All three-field physical quantities are observable, quantifiable, and substitutable into standard physical equations.</w:t>
      </w:r>
    </w:p>
    <w:p w14:paraId="292CD5D2">
      <w:pPr>
        <w:pStyle w:val="7"/>
      </w:pPr>
      <w:bookmarkStart w:id="5" w:name="X9cd8a4d9711fa5244f5ef694d720e07b3ff6c62"/>
      <w:r>
        <w:t>2.1 A-Field: Charge-Energy String Dynamical Field</w:t>
      </w:r>
    </w:p>
    <w:p w14:paraId="050DCA75">
      <w:pPr>
        <w:pStyle w:val="4"/>
      </w:pPr>
      <w:r>
        <w:t>The A-field is the degree-of-freedom encapsulation field for all charged relativistic particles, serving as the dynamical subject of shock acceleration, energy storage, and cascade evolution. It does not contain neutral particle degrees of freedom such as photons or neutrinos. The field quantity is defined as:</w:t>
      </w:r>
    </w:p>
    <w:p w14:paraId="372D6465">
      <w:pPr>
        <w:pStyle w:val="3"/>
      </w:pPr>
      <m:oMathPara>
        <m:oMathParaPr>
          <m:jc m:val="center"/>
        </m:oMathParaPr>
        <m:oMath>
          <m:r>
            <m:rPr/>
            <m:t>A</m:t>
          </m:r>
          <m:r>
            <m:rPr>
              <m:sty m:val="p"/>
            </m:rPr>
            <m:t>(</m:t>
          </m:r>
          <m:r>
            <m:rPr/>
            <m:t>x</m:t>
          </m:r>
          <m:r>
            <m:rPr>
              <m:sty m:val="p"/>
            </m:rPr>
            <m:t>)=</m:t>
          </m:r>
          <m:nary>
            <m:naryPr>
              <m:chr m:val="∑"/>
              <m:limLoc m:val="undOvr"/>
              <m:supHide m:val="1"/>
            </m:naryPr>
            <m:sub>
              <m:r>
                <m:rPr/>
                <m:t>i</m:t>
              </m:r>
            </m:sub>
            <m:sup>
              <m:r>
                <m:rPr/>
                <m:t>​</m:t>
              </m:r>
            </m:sup>
            <m:e>
              <m:sSub>
                <m:sSubPr/>
                <m:e>
                  <m:r>
                    <m:rPr/>
                    <m:t>q</m:t>
                  </m:r>
                </m:e>
                <m:sub>
                  <m:r>
                    <m:rPr/>
                    <m:t>i</m:t>
                  </m:r>
                </m:sub>
              </m:sSub>
            </m:e>
          </m:nary>
          <m:sSub>
            <m:sSubPr/>
            <m:e>
              <m:r>
                <m:rPr/>
                <m:t>ψ</m:t>
              </m:r>
            </m:e>
            <m:sub>
              <m:r>
                <m:rPr/>
                <m:t>i</m:t>
              </m:r>
            </m:sub>
          </m:sSub>
          <m:r>
            <m:rPr>
              <m:sty m:val="p"/>
            </m:rPr>
            <m:t>(</m:t>
          </m:r>
          <m:r>
            <m:rPr/>
            <m:t>x</m:t>
          </m:r>
          <m:r>
            <m:rPr>
              <m:sty m:val="p"/>
            </m:rPr>
            <m:t>),</m:t>
          </m:r>
          <m:r>
            <m:rPr/>
            <m:t> </m:t>
          </m:r>
          <m:sSub>
            <m:sSubPr/>
            <m:e>
              <m:r>
                <m:rPr/>
                <m:t>ε</m:t>
              </m:r>
            </m:e>
            <m:sub>
              <m:r>
                <m:rPr/>
                <m:t>A</m:t>
              </m:r>
            </m:sub>
          </m:sSub>
          <m:r>
            <m:rPr>
              <m:sty m:val="p"/>
            </m:rPr>
            <m:t>=⟨</m:t>
          </m:r>
          <m:sSub>
            <m:sSubPr/>
            <m:e>
              <m:r>
                <m:rPr/>
                <m:t>γ</m:t>
              </m:r>
            </m:e>
            <m:sub>
              <m:r>
                <m:rPr/>
                <m:t>i</m:t>
              </m:r>
            </m:sub>
          </m:sSub>
          <m:sSub>
            <m:sSubPr/>
            <m:e>
              <m:r>
                <m:rPr/>
                <m:t>m</m:t>
              </m:r>
            </m:e>
            <m:sub>
              <m:r>
                <m:rPr/>
                <m:t>i</m:t>
              </m:r>
            </m:sub>
          </m:sSub>
          <m:sSup>
            <m:sSupPr/>
            <m:e>
              <m:r>
                <m:rPr/>
                <m:t>c</m:t>
              </m:r>
            </m:e>
            <m:sup>
              <m:r>
                <m:rPr/>
                <m:t>2</m:t>
              </m:r>
            </m:sup>
          </m:sSup>
          <m:r>
            <m:rPr>
              <m:sty m:val="p"/>
            </m:rPr>
            <m:t>⟩</m:t>
          </m:r>
        </m:oMath>
      </m:oMathPara>
    </w:p>
    <w:p w14:paraId="53A004B8">
      <w:pPr>
        <w:pStyle w:val="4"/>
      </w:pPr>
      <w:r>
        <w:t xml:space="preserve">where </w:t>
      </w:r>
      <m:oMath>
        <m:sSub>
          <m:sSubPr/>
          <m:e>
            <m:r>
              <m:rPr/>
              <m:t>q</m:t>
            </m:r>
          </m:e>
          <m:sub>
            <m:r>
              <m:rPr/>
              <m:t>i</m:t>
            </m:r>
          </m:sub>
        </m:sSub>
      </m:oMath>
      <w:r>
        <w:t xml:space="preserve"> and </w:t>
      </w:r>
      <m:oMath>
        <m:sSub>
          <m:sSubPr/>
          <m:e>
            <m:r>
              <m:rPr/>
              <m:t>ψ</m:t>
            </m:r>
          </m:e>
          <m:sub>
            <m:r>
              <m:rPr/>
              <m:t>i</m:t>
            </m:r>
          </m:sub>
        </m:sSub>
        <m:r>
          <m:rPr>
            <m:sty m:val="p"/>
          </m:rPr>
          <m:t>(</m:t>
        </m:r>
        <m:r>
          <m:rPr/>
          <m:t>x</m:t>
        </m:r>
        <m:r>
          <m:rPr>
            <m:sty m:val="p"/>
          </m:rPr>
          <m:t>)</m:t>
        </m:r>
      </m:oMath>
      <w:r>
        <w:t xml:space="preserve"> are the charge and wavefunction of the i-th type of charged particle (</w:t>
      </w:r>
      <m:oMath>
        <m:sSup>
          <m:sSupPr/>
          <m:e>
            <m:r>
              <m:rPr/>
              <m:t>e</m:t>
            </m:r>
          </m:e>
          <m:sup>
            <m:r>
              <m:rPr>
                <m:sty m:val="p"/>
              </m:rPr>
              <m:t>−</m:t>
            </m:r>
          </m:sup>
        </m:sSup>
        <m:r>
          <m:rPr>
            <m:sty m:val="p"/>
          </m:rPr>
          <m:t>,</m:t>
        </m:r>
        <m:sSup>
          <m:sSupPr/>
          <m:e>
            <m:r>
              <m:rPr/>
              <m:t>e</m:t>
            </m:r>
          </m:e>
          <m:sup>
            <m:r>
              <m:rPr>
                <m:sty m:val="p"/>
              </m:rPr>
              <m:t>+</m:t>
            </m:r>
          </m:sup>
        </m:sSup>
        <m:r>
          <m:rPr>
            <m:sty m:val="p"/>
          </m:rPr>
          <m:t>,</m:t>
        </m:r>
        <m:r>
          <m:rPr/>
          <m:t>p</m:t>
        </m:r>
        <m:r>
          <m:rPr>
            <m:sty m:val="p"/>
          </m:rPr>
          <m:t>,</m:t>
        </m:r>
      </m:oMath>
      <w:r>
        <w:t xml:space="preserve"> heavy nuclear ions), respectively; </w:t>
      </w:r>
      <m:oMath>
        <m:sSub>
          <m:sSubPr/>
          <m:e>
            <m:r>
              <m:rPr/>
              <m:t>ε</m:t>
            </m:r>
          </m:e>
          <m:sub>
            <m:r>
              <m:rPr/>
              <m:t>A</m:t>
            </m:r>
          </m:sub>
        </m:sSub>
      </m:oMath>
      <w:r>
        <w:t xml:space="preserve"> is the average relativistic energy density of the A-field; </w:t>
      </w:r>
      <m:oMath>
        <m:sSub>
          <m:sSubPr/>
          <m:e>
            <m:r>
              <m:rPr/>
              <m:t>γ</m:t>
            </m:r>
          </m:e>
          <m:sub>
            <m:r>
              <m:rPr/>
              <m:t>i</m:t>
            </m:r>
          </m:sub>
        </m:sSub>
      </m:oMath>
      <w:r>
        <w:t xml:space="preserve"> is the Lorentz factor of the particle. Core physical property of the A-field: all energy gain, loss, and transfer processes in the high-energy cascade occur only among A-field charged particles; neutral background photons participate only in interactions, not in dynamical evolution.</w:t>
      </w:r>
    </w:p>
    <w:bookmarkEnd w:id="5"/>
    <w:p w14:paraId="4D23CD99">
      <w:pPr>
        <w:pStyle w:val="7"/>
      </w:pPr>
      <w:bookmarkStart w:id="6" w:name="X0be2d0b6ac20107aca4bfc9e9811ac33d8504e0"/>
      <w:r>
        <w:t>2.2 B-Field: Magnetic Topological Winding – Plasma Return Conservation Field</w:t>
      </w:r>
    </w:p>
    <w:p w14:paraId="69D28927">
      <w:pPr>
        <w:pStyle w:val="4"/>
      </w:pPr>
      <w:r>
        <w:t xml:space="preserve">The B-field focuses on the conservation law of magnetic topology at the shock front and in the interstellar plasma, quantifying the recycling probability of particles in multi-stage acceleration. It is the core topological condition for the sustainability of the bowstring cascade. Define the magnetic flux winding number (topological invariant) on the shock surface </w:t>
      </w:r>
      <m:oMath>
        <m:r>
          <m:rPr>
            <m:sty m:val="p"/>
          </m:rPr>
          <m:t>Σ</m:t>
        </m:r>
      </m:oMath>
      <w:r>
        <w:t>:</w:t>
      </w:r>
    </w:p>
    <w:p w14:paraId="6AEF12F0">
      <w:pPr>
        <w:pStyle w:val="3"/>
      </w:pPr>
      <m:oMathPara>
        <m:oMathParaPr>
          <m:jc m:val="center"/>
        </m:oMathParaPr>
        <m:oMath>
          <m:sSub>
            <m:sSubPr/>
            <m:e>
              <m:r>
                <m:rPr/>
                <m:t>N</m:t>
              </m:r>
            </m:e>
            <m:sub>
              <m:r>
                <m:rPr/>
                <m:t>B</m:t>
              </m:r>
            </m:sub>
          </m:sSub>
          <m:r>
            <m:rPr>
              <m:sty m:val="p"/>
            </m:rPr>
            <m:t>=</m:t>
          </m:r>
          <m:f>
            <m:fPr/>
            <m:num>
              <m:r>
                <m:rPr/>
                <m:t>1</m:t>
              </m:r>
            </m:num>
            <m:den>
              <m:sSub>
                <m:sSubPr/>
                <m:e>
                  <m:r>
                    <m:rPr>
                      <m:sty m:val="p"/>
                    </m:rPr>
                    <m:t>Φ</m:t>
                  </m:r>
                </m:e>
                <m:sub>
                  <m:r>
                    <m:rPr/>
                    <m:t>0</m:t>
                  </m:r>
                </m:sub>
              </m:sSub>
            </m:den>
          </m:f>
          <m:nary>
            <m:naryPr>
              <m:chr m:val="∮"/>
              <m:limLoc m:val="subSup"/>
              <m:supHide m:val="1"/>
            </m:naryPr>
            <m:sub>
              <m:r>
                <m:rPr>
                  <m:sty m:val="p"/>
                </m:rPr>
                <m:t>Σ</m:t>
              </m:r>
            </m:sub>
            <m:sup>
              <m:r>
                <m:rPr/>
                <m:t>​</m:t>
              </m:r>
            </m:sup>
            <m:e>
              <m:r>
                <m:rPr>
                  <m:sty m:val="b"/>
                </m:rPr>
                <m:t>B</m:t>
              </m:r>
            </m:e>
          </m:nary>
          <m:r>
            <m:rPr>
              <m:sty m:val="p"/>
            </m:rPr>
            <m:t>⋅</m:t>
          </m:r>
          <m:r>
            <m:rPr/>
            <m:t>d</m:t>
          </m:r>
          <m:r>
            <m:rPr>
              <m:sty m:val="b"/>
            </m:rPr>
            <m:t>S</m:t>
          </m:r>
          <m:r>
            <m:rPr>
              <m:sty m:val="p"/>
            </m:rPr>
            <m:t>,</m:t>
          </m:r>
          <m:r>
            <m:rPr/>
            <m:t> </m:t>
          </m:r>
          <m:sSub>
            <m:sSubPr/>
            <m:e>
              <m:r>
                <m:rPr>
                  <m:sty m:val="p"/>
                </m:rPr>
                <m:t>∂</m:t>
              </m:r>
            </m:e>
            <m:sub>
              <m:r>
                <m:rPr/>
                <m:t>t</m:t>
              </m:r>
            </m:sub>
          </m:sSub>
          <m:sSub>
            <m:sSubPr/>
            <m:e>
              <m:r>
                <m:rPr/>
                <m:t>N</m:t>
              </m:r>
            </m:e>
            <m:sub>
              <m:r>
                <m:rPr/>
                <m:t>B</m:t>
              </m:r>
            </m:sub>
          </m:sSub>
          <m:r>
            <m:rPr>
              <m:sty m:val="p"/>
            </m:rPr>
            <m:t>+∇⋅</m:t>
          </m:r>
          <m:sSub>
            <m:sSubPr/>
            <m:e>
              <m:r>
                <m:rPr>
                  <m:sty m:val="b"/>
                </m:rPr>
                <m:t>J</m:t>
              </m:r>
            </m:e>
            <m:sub>
              <m:r>
                <m:rPr/>
                <m:t>B</m:t>
              </m:r>
            </m:sub>
          </m:sSub>
          <m:r>
            <m:rPr>
              <m:sty m:val="p"/>
            </m:rPr>
            <m:t>=</m:t>
          </m:r>
          <m:r>
            <m:rPr/>
            <m:t>0</m:t>
          </m:r>
        </m:oMath>
      </m:oMathPara>
    </w:p>
    <w:p w14:paraId="4DE1A1AB">
      <w:pPr>
        <w:pStyle w:val="4"/>
      </w:pPr>
      <w:r>
        <w:t xml:space="preserve">where </w:t>
      </w:r>
      <m:oMath>
        <m:sSub>
          <m:sSubPr/>
          <m:e>
            <m:r>
              <m:rPr>
                <m:sty m:val="b"/>
              </m:rPr>
              <m:t>J</m:t>
            </m:r>
          </m:e>
          <m:sub>
            <m:r>
              <m:rPr/>
              <m:t>B</m:t>
            </m:r>
          </m:sub>
        </m:sSub>
        <m:r>
          <m:rPr>
            <m:sty m:val="p"/>
          </m:rPr>
          <m:t>=</m:t>
        </m:r>
        <m:sSub>
          <m:sSubPr/>
          <m:e>
            <m:r>
              <m:rPr/>
              <m:t>η</m:t>
            </m:r>
          </m:e>
          <m:sub>
            <m:r>
              <m:rPr/>
              <m:t>B</m:t>
            </m:r>
          </m:sub>
        </m:sSub>
        <m:sSub>
          <m:sSubPr/>
          <m:e>
            <m:r>
              <m:rPr/>
              <m:t>n</m:t>
            </m:r>
          </m:e>
          <m:sub>
            <m:r>
              <m:rPr/>
              <m:t>e</m:t>
            </m:r>
          </m:sub>
        </m:sSub>
        <m:sSub>
          <m:sSubPr/>
          <m:e>
            <m:r>
              <m:rPr/>
              <m:t>v</m:t>
            </m:r>
          </m:e>
          <m:sub>
            <m:r>
              <m:rPr>
                <m:sty m:val="p"/>
              </m:rPr>
              <m:t>drift</m:t>
            </m:r>
          </m:sub>
        </m:sSub>
        <m:r>
          <m:rPr>
            <m:sty m:val="p"/>
          </m:rPr>
          <m:t>(</m:t>
        </m:r>
        <m:sSub>
          <m:sSubPr/>
          <m:e>
            <m:r>
              <m:rPr/>
              <m:t>N</m:t>
            </m:r>
          </m:e>
          <m:sub>
            <m:r>
              <m:rPr/>
              <m:t>B</m:t>
            </m:r>
          </m:sub>
        </m:sSub>
        <m:r>
          <m:rPr>
            <m:sty m:val="p"/>
          </m:rPr>
          <m:t>/</m:t>
        </m:r>
        <m:sSubSup>
          <m:sSubSupPr/>
          <m:e>
            <m:r>
              <m:rPr/>
              <m:t>N</m:t>
            </m:r>
          </m:e>
          <m:sub>
            <m:r>
              <m:rPr/>
              <m:t>B</m:t>
            </m:r>
          </m:sub>
          <m:sup>
            <m:r>
              <m:rPr>
                <m:sty m:val="p"/>
              </m:rPr>
              <m:t>max</m:t>
            </m:r>
          </m:sup>
        </m:sSubSup>
        <m:r>
          <m:rPr>
            <m:sty m:val="p"/>
          </m:rPr>
          <m:t>)</m:t>
        </m:r>
      </m:oMath>
      <w:r>
        <w:t xml:space="preserve"> is the topological return current density, </w:t>
      </w:r>
      <m:oMath>
        <m:sSub>
          <m:sSubPr/>
          <m:e>
            <m:r>
              <m:rPr/>
              <m:t>n</m:t>
            </m:r>
          </m:e>
          <m:sub>
            <m:r>
              <m:rPr/>
              <m:t>e</m:t>
            </m:r>
          </m:sub>
        </m:sSub>
      </m:oMath>
      <w:r>
        <w:t xml:space="preserve"> is the charged particle number density, and </w:t>
      </w:r>
      <m:oMath>
        <m:sSub>
          <m:sSubPr/>
          <m:e>
            <m:r>
              <m:rPr/>
              <m:t>v</m:t>
            </m:r>
          </m:e>
          <m:sub>
            <m:r>
              <m:rPr>
                <m:sty m:val="p"/>
              </m:rPr>
              <m:t>drift</m:t>
            </m:r>
          </m:sub>
        </m:sSub>
      </m:oMath>
      <w:r>
        <w:t xml:space="preserve"> is the downstream return drift velocity (its parameterization is given in Appendix C). </w:t>
      </w:r>
      <m:oMath>
        <m:sSub>
          <m:sSubPr/>
          <m:e>
            <m:r>
              <m:rPr/>
              <m:t>N</m:t>
            </m:r>
          </m:e>
          <m:sub>
            <m:r>
              <m:rPr/>
              <m:t>B</m:t>
            </m:r>
          </m:sub>
        </m:sSub>
      </m:oMath>
      <w:r>
        <w:t xml:space="preserve"> is a dissipationless topological invariant, uniquely determining the return capture probability of charged particles crossing the shock front; </w:t>
      </w:r>
      <m:oMath>
        <m:sSub>
          <m:sSubPr/>
          <m:e>
            <m:r>
              <m:rPr>
                <m:sty m:val="p"/>
              </m:rPr>
              <m:t>Φ</m:t>
            </m:r>
          </m:e>
          <m:sub>
            <m:r>
              <m:rPr/>
              <m:t>0</m:t>
            </m:r>
          </m:sub>
        </m:sSub>
      </m:oMath>
      <w:r>
        <w:t xml:space="preserve"> is the magnetic flux quantum.</w:t>
      </w:r>
    </w:p>
    <w:p w14:paraId="2D6CF20D">
      <w:pPr>
        <w:pStyle w:val="3"/>
      </w:pPr>
      <w:r>
        <w:t xml:space="preserve">Define the B-field return efficiency factor (dimensionless, interval </w:t>
      </w:r>
      <m:oMath>
        <m:r>
          <m:rPr>
            <m:sty m:val="p"/>
          </m:rPr>
          <m:t>[</m:t>
        </m:r>
        <m:r>
          <m:rPr/>
          <m:t>0</m:t>
        </m:r>
        <m:r>
          <m:rPr>
            <m:sty m:val="p"/>
          </m:rPr>
          <m:t>,</m:t>
        </m:r>
        <m:r>
          <m:rPr/>
          <m:t>1</m:t>
        </m:r>
        <m:r>
          <m:rPr>
            <m:sty m:val="p"/>
          </m:rPr>
          <m:t>]</m:t>
        </m:r>
      </m:oMath>
      <w:r>
        <w:t>):</w:t>
      </w:r>
    </w:p>
    <w:p w14:paraId="6B9CA851">
      <w:pPr>
        <w:pStyle w:val="3"/>
      </w:pPr>
      <m:oMathPara>
        <m:oMathParaPr>
          <m:jc m:val="center"/>
        </m:oMathParaPr>
        <m:oMath>
          <m:sSub>
            <m:sSubPr/>
            <m:e>
              <m:r>
                <m:rPr/>
                <m:t>η</m:t>
              </m:r>
            </m:e>
            <m:sub>
              <m:r>
                <m:rPr/>
                <m:t>B</m:t>
              </m:r>
            </m:sub>
          </m:sSub>
          <m:r>
            <m:rPr>
              <m:sty m:val="p"/>
            </m:rPr>
            <m:t>∈[</m:t>
          </m:r>
          <m:r>
            <m:rPr/>
            <m:t>0</m:t>
          </m:r>
          <m:r>
            <m:rPr>
              <m:sty m:val="p"/>
            </m:rPr>
            <m:t>,</m:t>
          </m:r>
          <m:r>
            <m:rPr/>
            <m:t>1</m:t>
          </m:r>
          <m:r>
            <m:rPr>
              <m:sty m:val="p"/>
            </m:rPr>
            <m:t>],</m:t>
          </m:r>
          <m:r>
            <m:rPr/>
            <m:t> </m:t>
          </m:r>
          <m:sSub>
            <m:sSubPr/>
            <m:e>
              <m:r>
                <m:rPr/>
                <m:t>W</m:t>
              </m:r>
            </m:e>
            <m:sub>
              <m:r>
                <m:rPr/>
                <m:t>B</m:t>
              </m:r>
            </m:sub>
          </m:sSub>
          <m:r>
            <m:rPr>
              <m:sty m:val="p"/>
            </m:rPr>
            <m:t>=</m:t>
          </m:r>
          <m:sSub>
            <m:sSubPr/>
            <m:e>
              <m:r>
                <m:rPr/>
                <m:t>η</m:t>
              </m:r>
            </m:e>
            <m:sub>
              <m:r>
                <m:rPr/>
                <m:t>B</m:t>
              </m:r>
            </m:sub>
          </m:sSub>
          <m:r>
            <m:rPr>
              <m:sty m:val="p"/>
            </m:rPr>
            <m:t>⋅</m:t>
          </m:r>
          <m:d>
            <m:dPr>
              <m:sepChr m:val=""/>
            </m:dPr>
            <m:e>
              <m:f>
                <m:fPr/>
                <m:num>
                  <m:sSub>
                    <m:sSubPr/>
                    <m:e>
                      <m:r>
                        <m:rPr/>
                        <m:t>N</m:t>
                      </m:r>
                    </m:e>
                    <m:sub>
                      <m:r>
                        <m:rPr/>
                        <m:t>B</m:t>
                      </m:r>
                    </m:sub>
                  </m:sSub>
                </m:num>
                <m:den>
                  <m:sSubSup>
                    <m:sSubSupPr/>
                    <m:e>
                      <m:r>
                        <m:rPr/>
                        <m:t>N</m:t>
                      </m:r>
                    </m:e>
                    <m:sub>
                      <m:r>
                        <m:rPr/>
                        <m:t>B</m:t>
                      </m:r>
                    </m:sub>
                    <m:sup>
                      <m:r>
                        <m:rPr>
                          <m:sty m:val="p"/>
                        </m:rPr>
                        <m:t>max</m:t>
                      </m:r>
                    </m:sup>
                  </m:sSubSup>
                </m:den>
              </m:f>
            </m:e>
          </m:d>
        </m:oMath>
      </m:oMathPara>
    </w:p>
    <w:p w14:paraId="2949253D">
      <w:pPr>
        <w:pStyle w:val="4"/>
      </w:pPr>
      <m:oMath>
        <m:sSub>
          <m:sSubPr/>
          <m:e>
            <m:r>
              <m:rPr/>
              <m:t>W</m:t>
            </m:r>
          </m:e>
          <m:sub>
            <m:r>
              <m:rPr/>
              <m:t>B</m:t>
            </m:r>
          </m:sub>
        </m:sSub>
      </m:oMath>
      <w:r>
        <w:t xml:space="preserve"> characterizes the ability of magnetic turbulence to confine and rebound charged particles: when </w:t>
      </w:r>
      <m:oMath>
        <m:sSub>
          <m:sSubPr/>
          <m:e>
            <m:r>
              <m:rPr/>
              <m:t>W</m:t>
            </m:r>
          </m:e>
          <m:sub>
            <m:r>
              <m:rPr/>
              <m:t>B</m:t>
            </m:r>
          </m:sub>
        </m:sSub>
        <m:r>
          <m:rPr>
            <m:sty m:val="p"/>
          </m:rPr>
          <m:t>→</m:t>
        </m:r>
        <m:r>
          <m:rPr/>
          <m:t>1</m:t>
        </m:r>
        <m:r>
          <m:rPr>
            <m:sty m:val="p"/>
          </m:rPr>
          <m:t>,</m:t>
        </m:r>
      </m:oMath>
      <w:r>
        <w:t xml:space="preserve"> particles can return to the shock front infinitely many times for multi-stage acceleration; when </w:t>
      </w:r>
      <m:oMath>
        <m:sSub>
          <m:sSubPr/>
          <m:e>
            <m:r>
              <m:rPr/>
              <m:t>W</m:t>
            </m:r>
          </m:e>
          <m:sub>
            <m:r>
              <m:rPr/>
              <m:t>B</m:t>
            </m:r>
          </m:sub>
        </m:sSub>
        <m:r>
          <m:rPr>
            <m:sty m:val="p"/>
          </m:rPr>
          <m:t>→</m:t>
        </m:r>
        <m:r>
          <m:rPr/>
          <m:t>0</m:t>
        </m:r>
        <m:r>
          <m:rPr>
            <m:sty m:val="p"/>
          </m:rPr>
          <m:t>,</m:t>
        </m:r>
      </m:oMath>
      <w:r>
        <w:t xml:space="preserve"> the topological constraint disappears and the cascade process terminates.</w:t>
      </w:r>
    </w:p>
    <w:p w14:paraId="4A072C2C">
      <w:pPr>
        <w:pStyle w:val="3"/>
      </w:pPr>
      <w:r>
        <w:rPr>
          <w:b/>
          <w:bCs/>
        </w:rPr>
        <w:t>Methodological Increment:</w:t>
      </w:r>
      <w:r>
        <w:t xml:space="preserve"> In standard GRB shock models, the capture probability of particles returning to the shock front is usually an empirically parameterized quantity. This paper expresses it as a quantifiable quantity driven by the topological invariant </w:t>
      </w:r>
      <m:oMath>
        <m:sSub>
          <m:sSubPr/>
          <m:e>
            <m:r>
              <m:rPr/>
              <m:t>N</m:t>
            </m:r>
          </m:e>
          <m:sub>
            <m:r>
              <m:rPr/>
              <m:t>B</m:t>
            </m:r>
          </m:sub>
        </m:sSub>
      </m:oMath>
      <w:r>
        <w:t xml:space="preserve"> through B-field winding number conservation, so that the “capture probability” is no longer a free fitting parameter but is determined by the magnetic topological geometry of the shock front. This is the specific, non-trivial methodological increment of this paper relative to existing models.</w:t>
      </w:r>
    </w:p>
    <w:bookmarkEnd w:id="6"/>
    <w:p w14:paraId="69632D69">
      <w:pPr>
        <w:pStyle w:val="7"/>
      </w:pPr>
      <w:bookmarkStart w:id="7" w:name="Xeb193e00854b12878770b64e6bf2fe66782c5b9"/>
      <w:r>
        <w:t>2.3 C-Field: Energy-Radiation Projection Scalar Field</w:t>
      </w:r>
    </w:p>
    <w:p w14:paraId="287C2826">
      <w:pPr>
        <w:pStyle w:val="4"/>
      </w:pPr>
      <w:r>
        <w:t>The C-field is a linear physical projection operator with no independent dynamical degrees of freedom. It is solely responsible for mapping the energy spectrum distribution of A-field charged particles onto the observable gamma-ray photon spectrum through standard radiation mechanisms, serving as the interface between the theoretical model and astronomical observations. The projection kernel is defined as:</w:t>
      </w:r>
    </w:p>
    <w:p w14:paraId="08310181">
      <w:pPr>
        <w:pStyle w:val="3"/>
      </w:pPr>
      <m:oMathPara>
        <m:oMathParaPr>
          <m:jc m:val="center"/>
        </m:oMathParaPr>
        <m:oMath>
          <m:f>
            <m:fPr/>
            <m:num>
              <m:r>
                <m:rPr/>
                <m:t>d</m:t>
              </m:r>
              <m:sSub>
                <m:sSubPr/>
                <m:e>
                  <m:r>
                    <m:rPr/>
                    <m:t>N</m:t>
                  </m:r>
                </m:e>
                <m:sub>
                  <m:r>
                    <m:rPr/>
                    <m:t>γ</m:t>
                  </m:r>
                </m:sub>
              </m:sSub>
            </m:num>
            <m:den>
              <m:r>
                <m:rPr/>
                <m:t>dε</m:t>
              </m:r>
            </m:den>
          </m:f>
          <m:r>
            <m:rPr>
              <m:sty m:val="p"/>
            </m:rPr>
            <m:t>=</m:t>
          </m:r>
          <m:sSub>
            <m:sSubPr/>
            <m:e>
              <m:r>
                <m:rPr>
                  <m:sty m:val="p"/>
                  <m:scr m:val="script"/>
                </m:rPr>
                <m:t>P</m:t>
              </m:r>
            </m:e>
            <m:sub>
              <m:r>
                <m:rPr/>
                <m:t>C</m:t>
              </m:r>
            </m:sub>
          </m:sSub>
          <m:d>
            <m:dPr>
              <m:begChr m:val="["/>
              <m:sepChr m:val=""/>
              <m:endChr m:val="]"/>
            </m:dPr>
            <m:e>
              <m:f>
                <m:fPr/>
                <m:num>
                  <m:r>
                    <m:rPr/>
                    <m:t>d</m:t>
                  </m:r>
                  <m:sSub>
                    <m:sSubPr/>
                    <m:e>
                      <m:r>
                        <m:rPr/>
                        <m:t>N</m:t>
                      </m:r>
                    </m:e>
                    <m:sub>
                      <m:r>
                        <m:rPr/>
                        <m:t>A</m:t>
                      </m:r>
                    </m:sub>
                  </m:sSub>
                </m:num>
                <m:den>
                  <m:r>
                    <m:rPr/>
                    <m:t>dγ</m:t>
                  </m:r>
                </m:den>
              </m:f>
              <m:r>
                <m:rPr>
                  <m:sty m:val="p"/>
                </m:rPr>
                <m:t>;</m:t>
              </m:r>
              <m:sSub>
                <m:sSubPr/>
                <m:e>
                  <m:r>
                    <m:rPr/>
                    <m:t>n</m:t>
                  </m:r>
                </m:e>
                <m:sub>
                  <m:r>
                    <m:rPr/>
                    <m:t>ν</m:t>
                  </m:r>
                </m:sub>
              </m:sSub>
              <m:r>
                <m:rPr>
                  <m:sty m:val="p"/>
                </m:rPr>
                <m:t>(</m:t>
              </m:r>
              <m:r>
                <m:rPr/>
                <m:t>ε</m:t>
              </m:r>
              <m:r>
                <m:rPr>
                  <m:sty m:val="p"/>
                </m:rPr>
                <m:t>),</m:t>
              </m:r>
              <m:r>
                <m:rPr/>
                <m:t>B</m:t>
              </m:r>
              <m:r>
                <m:rPr>
                  <m:sty m:val="p"/>
                </m:rPr>
                <m:t>,</m:t>
              </m:r>
              <m:sSub>
                <m:sSubPr/>
                <m:e>
                  <m:r>
                    <m:rPr>
                      <m:sty m:val="p"/>
                    </m:rPr>
                    <m:t>Γ</m:t>
                  </m:r>
                </m:e>
                <m:sub>
                  <m:r>
                    <m:rPr>
                      <m:sty m:val="p"/>
                    </m:rPr>
                    <m:t>bulk</m:t>
                  </m:r>
                </m:sub>
              </m:sSub>
            </m:e>
          </m:d>
        </m:oMath>
      </m:oMathPara>
    </w:p>
    <w:p w14:paraId="38B4F24D">
      <w:pPr>
        <w:pStyle w:val="4"/>
      </w:pPr>
      <w:r>
        <w:t xml:space="preserve">where </w:t>
      </w:r>
      <m:oMath>
        <m:r>
          <m:rPr/>
          <m:t>d</m:t>
        </m:r>
        <m:sSub>
          <m:sSubPr/>
          <m:e>
            <m:r>
              <m:rPr/>
              <m:t>N</m:t>
            </m:r>
          </m:e>
          <m:sub>
            <m:r>
              <m:rPr/>
              <m:t>A</m:t>
            </m:r>
          </m:sub>
        </m:sSub>
        <m:r>
          <m:rPr>
            <m:sty m:val="p"/>
          </m:rPr>
          <m:t>/</m:t>
        </m:r>
        <m:r>
          <m:rPr/>
          <m:t>dγ</m:t>
        </m:r>
      </m:oMath>
      <w:r>
        <w:t xml:space="preserve"> is the Lorentz factor distribution of A-field particles, </w:t>
      </w:r>
      <m:oMath>
        <m:sSub>
          <m:sSubPr/>
          <m:e>
            <m:r>
              <m:rPr/>
              <m:t>n</m:t>
            </m:r>
          </m:e>
          <m:sub>
            <m:r>
              <m:rPr/>
              <m:t>ν</m:t>
            </m:r>
          </m:sub>
        </m:sSub>
        <m:r>
          <m:rPr>
            <m:sty m:val="p"/>
          </m:rPr>
          <m:t>(</m:t>
        </m:r>
        <m:r>
          <m:rPr/>
          <m:t>ε</m:t>
        </m:r>
        <m:r>
          <m:rPr>
            <m:sty m:val="p"/>
          </m:rPr>
          <m:t>)</m:t>
        </m:r>
      </m:oMath>
      <w:r>
        <w:t xml:space="preserve"> is the background target photon number density (CMB/EBL/synchrotron photons), and </w:t>
      </w:r>
      <m:oMath>
        <m:sSub>
          <m:sSubPr/>
          <m:e>
            <m:r>
              <m:rPr>
                <m:sty m:val="p"/>
              </m:rPr>
              <m:t>Γ</m:t>
            </m:r>
          </m:e>
          <m:sub>
            <m:r>
              <m:rPr>
                <m:sty m:val="p"/>
              </m:rPr>
              <m:t>bulk</m:t>
            </m:r>
          </m:sub>
        </m:sSub>
      </m:oMath>
      <w:r>
        <w:t xml:space="preserve"> is the bulk Lorentz factor of the jet. Following the three-field coupled total yield formula of B70:</w:t>
      </w:r>
    </w:p>
    <w:p w14:paraId="61D77557">
      <w:pPr>
        <w:pStyle w:val="3"/>
      </w:pPr>
      <m:oMathPara>
        <m:oMathParaPr>
          <m:jc m:val="center"/>
        </m:oMathParaPr>
        <m:oMath>
          <m:sSub>
            <m:sSubPr/>
            <m:e>
              <m:r>
                <m:rPr/>
                <m:t>Y</m:t>
              </m:r>
            </m:e>
            <m:sub>
              <m:r>
                <m:rPr/>
                <m:t>γ</m:t>
              </m:r>
            </m:sub>
          </m:sSub>
          <m:r>
            <m:rPr>
              <m:sty m:val="p"/>
            </m:rPr>
            <m:t>∝</m:t>
          </m:r>
          <m:sSub>
            <m:sSubPr/>
            <m:e>
              <m:r>
                <m:rPr>
                  <m:sty m:val="p"/>
                  <m:scr m:val="script"/>
                </m:rPr>
                <m:t>O</m:t>
              </m:r>
            </m:e>
            <m:sub>
              <m:r>
                <m:rPr/>
                <m:t>A</m:t>
              </m:r>
            </m:sub>
          </m:sSub>
          <m:r>
            <m:rPr>
              <m:sty m:val="p"/>
            </m:rPr>
            <m:t>⋅</m:t>
          </m:r>
          <m:sSub>
            <m:sSubPr/>
            <m:e>
              <m:r>
                <m:rPr/>
                <m:t>W</m:t>
              </m:r>
            </m:e>
            <m:sub>
              <m:r>
                <m:rPr/>
                <m:t>B</m:t>
              </m:r>
            </m:sub>
          </m:sSub>
          <m:r>
            <m:rPr>
              <m:sty m:val="p"/>
            </m:rPr>
            <m:t>⋅</m:t>
          </m:r>
          <m:sSub>
            <m:sSubPr/>
            <m:e>
              <m:r>
                <m:rPr>
                  <m:sty m:val="p"/>
                  <m:scr m:val="script"/>
                </m:rPr>
                <m:t>P</m:t>
              </m:r>
            </m:e>
            <m:sub>
              <m:r>
                <m:rPr/>
                <m:t>C</m:t>
              </m:r>
            </m:sub>
          </m:sSub>
        </m:oMath>
      </m:oMathPara>
    </w:p>
    <w:p w14:paraId="396BB3DC">
      <w:pPr>
        <w:pStyle w:val="4"/>
      </w:pPr>
      <w:r>
        <w:t xml:space="preserve">where </w:t>
      </w:r>
      <m:oMath>
        <m:sSub>
          <m:sSubPr/>
          <m:e>
            <m:r>
              <m:rPr>
                <m:sty m:val="p"/>
                <m:scr m:val="script"/>
              </m:rPr>
              <m:t>O</m:t>
            </m:r>
          </m:e>
          <m:sub>
            <m:r>
              <m:rPr/>
              <m:t>A</m:t>
            </m:r>
          </m:sub>
        </m:sSub>
      </m:oMath>
      <w:r>
        <w:t xml:space="preserve"> is the A-field energy flux overlap integral across the shock (acceleration efficiency), </w:t>
      </w:r>
      <m:oMath>
        <m:sSub>
          <m:sSubPr/>
          <m:e>
            <m:r>
              <m:rPr/>
              <m:t>W</m:t>
            </m:r>
          </m:e>
          <m:sub>
            <m:r>
              <m:rPr/>
              <m:t>B</m:t>
            </m:r>
          </m:sub>
        </m:sSub>
      </m:oMath>
      <w:r>
        <w:t xml:space="preserve"> is the B-field topological return factor (cycling efficiency), and </w:t>
      </w:r>
      <m:oMath>
        <m:sSub>
          <m:sSubPr/>
          <m:e>
            <m:r>
              <m:rPr>
                <m:sty m:val="p"/>
                <m:scr m:val="script"/>
              </m:rPr>
              <m:t>P</m:t>
            </m:r>
          </m:e>
          <m:sub>
            <m:r>
              <m:rPr/>
              <m:t>C</m:t>
            </m:r>
          </m:sub>
        </m:sSub>
      </m:oMath>
      <w:r>
        <w:t xml:space="preserve"> is the C-field radiation projection kernel (radiation conversion efficiency).</w:t>
      </w:r>
    </w:p>
    <w:bookmarkEnd w:id="4"/>
    <w:bookmarkEnd w:id="7"/>
    <w:p w14:paraId="74021B4E">
      <w:pPr>
        <w:pStyle w:val="6"/>
      </w:pPr>
      <w:bookmarkStart w:id="8" w:name="X711d56f490660c2b0e896332a3acf31fb76b6ff"/>
      <w:r>
        <w:t>3 A-Field Bowstring Cascade: Relativistic Shock First-Order Fermi Acceleration</w:t>
      </w:r>
    </w:p>
    <w:p w14:paraId="1375BE68">
      <w:pPr>
        <w:pStyle w:val="4"/>
      </w:pPr>
      <w:r>
        <w:t>GRB external shocks are strongly relativistic, collisionless plasma shocks. The particle acceleration mechanism strictly follows first-order Fermi acceleration theory. FCWFT encapsulates this into a “bowstring reciprocating acceleration” topological picture.</w:t>
      </w:r>
    </w:p>
    <w:p w14:paraId="7E1778C4">
      <w:pPr>
        <w:pStyle w:val="7"/>
      </w:pPr>
      <w:bookmarkStart w:id="9" w:name="basic-acceleration-recurrence-relation"/>
      <w:r>
        <w:t>3.1 Basic Acceleration Recurrence Relation</w:t>
      </w:r>
    </w:p>
    <w:p w14:paraId="3862AC51">
      <w:pPr>
        <w:pStyle w:val="4"/>
      </w:pPr>
      <w:r>
        <w:t>There exists a constant relative line-of-sight velocity difference between the upstream and downstream regions of a relativistic shock. Each time a charged particle crosses the shock front, if it is captured by B-field magnetic turbulence and returned to the upstream region, it acquires a fixed energy gain. The gain per crossing is:</w:t>
      </w:r>
    </w:p>
    <w:p w14:paraId="5FA8F7A4">
      <w:pPr>
        <w:pStyle w:val="3"/>
      </w:pPr>
      <m:oMathPara>
        <m:oMathParaPr>
          <m:jc m:val="center"/>
        </m:oMathParaPr>
        <m:oMath>
          <m:sSub>
            <m:sSubPr/>
            <m:e>
              <m:r>
                <m:rPr/>
                <m:t>γ</m:t>
              </m:r>
            </m:e>
            <m:sub>
              <m:r>
                <m:rPr/>
                <m:t>n</m:t>
              </m:r>
              <m:r>
                <m:rPr>
                  <m:sty m:val="p"/>
                </m:rPr>
                <m:t>+</m:t>
              </m:r>
              <m:r>
                <m:rPr/>
                <m:t>1</m:t>
              </m:r>
            </m:sub>
          </m:sSub>
          <m:r>
            <m:rPr>
              <m:sty m:val="p"/>
            </m:rPr>
            <m:t>=</m:t>
          </m:r>
          <m:sSub>
            <m:sSubPr/>
            <m:e>
              <m:r>
                <m:rPr/>
                <m:t>γ</m:t>
              </m:r>
            </m:e>
            <m:sub>
              <m:r>
                <m:rPr/>
                <m:t>n</m:t>
              </m:r>
            </m:sub>
          </m:sSub>
          <m:d>
            <m:dPr>
              <m:sepChr m:val=""/>
            </m:dPr>
            <m:e>
              <m:r>
                <m:rPr/>
                <m:t>1</m:t>
              </m:r>
              <m:r>
                <m:rPr>
                  <m:sty m:val="p"/>
                </m:rPr>
                <m:t>+</m:t>
              </m:r>
              <m:r>
                <m:rPr/>
                <m:t>ξ</m:t>
              </m:r>
              <m:f>
                <m:fPr/>
                <m:num>
                  <m:r>
                    <m:rPr>
                      <m:sty m:val="p"/>
                    </m:rPr>
                    <m:t>Δ</m:t>
                  </m:r>
                  <m:r>
                    <m:rPr/>
                    <m:t>u</m:t>
                  </m:r>
                </m:num>
                <m:den>
                  <m:r>
                    <m:rPr/>
                    <m:t>c</m:t>
                  </m:r>
                </m:den>
              </m:f>
            </m:e>
          </m:d>
          <m:r>
            <m:rPr>
              <m:sty m:val="p"/>
            </m:rPr>
            <m:t>,</m:t>
          </m:r>
          <m:r>
            <m:rPr/>
            <m:t> </m:t>
          </m:r>
          <m:r>
            <m:rPr>
              <m:sty m:val="p"/>
            </m:rPr>
            <m:t>captureprobability</m:t>
          </m:r>
          <m:sSub>
            <m:sSubPr/>
            <m:e>
              <m:r>
                <m:rPr/>
                <m:t>W</m:t>
              </m:r>
            </m:e>
            <m:sub>
              <m:r>
                <m:rPr/>
                <m:t>B</m:t>
              </m:r>
              <m:r>
                <m:rPr>
                  <m:sty m:val="p"/>
                </m:rPr>
                <m:t>,</m:t>
              </m:r>
              <m:r>
                <m:rPr/>
                <m:t>n</m:t>
              </m:r>
            </m:sub>
          </m:sSub>
        </m:oMath>
      </m:oMathPara>
    </w:p>
    <w:p w14:paraId="445741EA">
      <w:pPr>
        <w:pStyle w:val="4"/>
      </w:pPr>
      <w:r>
        <w:t xml:space="preserve">where </w:t>
      </w:r>
      <m:oMath>
        <m:r>
          <m:rPr/>
          <m:t>ξ</m:t>
        </m:r>
        <m:r>
          <m:rPr>
            <m:sty m:val="p"/>
          </m:rPr>
          <m:t>≈</m:t>
        </m:r>
        <m:r>
          <m:rPr/>
          <m:t>1</m:t>
        </m:r>
      </m:oMath>
      <w:r>
        <w:t xml:space="preserve"> (magnetoelastic scattering without energy dissipation, standard plasma approximation), and </w:t>
      </w:r>
      <m:oMath>
        <m:r>
          <m:rPr>
            <m:sty m:val="p"/>
          </m:rPr>
          <m:t>Δ</m:t>
        </m:r>
        <m:r>
          <m:rPr/>
          <m:t>u</m:t>
        </m:r>
      </m:oMath>
      <w:r>
        <w:t xml:space="preserve"> is the relative speed between upstream and downstream. </w:t>
      </w:r>
      <m:oMath>
        <m:sSub>
          <m:sSubPr/>
          <m:e>
            <m:r>
              <m:rPr/>
              <m:t>W</m:t>
            </m:r>
          </m:e>
          <m:sub>
            <m:r>
              <m:rPr/>
              <m:t>B</m:t>
            </m:r>
            <m:r>
              <m:rPr>
                <m:sty m:val="p"/>
              </m:rPr>
              <m:t>,</m:t>
            </m:r>
            <m:r>
              <m:rPr/>
              <m:t>n</m:t>
            </m:r>
          </m:sub>
        </m:sSub>
      </m:oMath>
      <w:r>
        <w:t xml:space="preserve"> is the probability that after the n-th crossing, the particle is captured by the B-field topological constraint and returned, taking values in </w:t>
      </w:r>
      <m:oMath>
        <m:r>
          <m:rPr>
            <m:sty m:val="p"/>
          </m:rPr>
          <m:t>[</m:t>
        </m:r>
        <m:r>
          <m:rPr/>
          <m:t>0</m:t>
        </m:r>
        <m:r>
          <m:rPr>
            <m:sty m:val="p"/>
          </m:rPr>
          <m:t>,</m:t>
        </m:r>
        <m:r>
          <m:rPr/>
          <m:t>1</m:t>
        </m:r>
        <m:r>
          <m:rPr>
            <m:sty m:val="p"/>
          </m:rPr>
          <m:t>]</m:t>
        </m:r>
      </m:oMath>
      <w:r>
        <w:t xml:space="preserve">. If the particle is not captured (probability </w:t>
      </w:r>
      <m:oMath>
        <m:r>
          <m:rPr/>
          <m:t>1</m:t>
        </m:r>
        <m:r>
          <m:rPr>
            <m:sty m:val="p"/>
          </m:rPr>
          <m:t>−</m:t>
        </m:r>
        <m:sSub>
          <m:sSubPr/>
          <m:e>
            <m:r>
              <m:rPr/>
              <m:t>W</m:t>
            </m:r>
          </m:e>
          <m:sub>
            <m:r>
              <m:rPr/>
              <m:t>B</m:t>
            </m:r>
            <m:r>
              <m:rPr>
                <m:sty m:val="p"/>
              </m:rPr>
              <m:t>,</m:t>
            </m:r>
            <m:r>
              <m:rPr/>
              <m:t>n</m:t>
            </m:r>
          </m:sub>
        </m:sSub>
      </m:oMath>
      <w:r>
        <w:t xml:space="preserve">), it escapes the acceleration region and the cascade terminates. Core physical correction: </w:t>
      </w:r>
      <m:oMath>
        <m:sSub>
          <m:sSubPr/>
          <m:e>
            <m:r>
              <m:rPr/>
              <m:t>W</m:t>
            </m:r>
          </m:e>
          <m:sub>
            <m:r>
              <m:rPr/>
              <m:t>B</m:t>
            </m:r>
          </m:sub>
        </m:sSub>
      </m:oMath>
      <w:r>
        <w:t xml:space="preserve"> is a probability weight, not an energy multiplier. Multi-stage acceleration of particles requires B-field topological confinement for return; without </w:t>
      </w:r>
      <m:oMath>
        <m:sSub>
          <m:sSubPr/>
          <m:e>
            <m:r>
              <m:rPr/>
              <m:t>W</m:t>
            </m:r>
          </m:e>
          <m:sub>
            <m:r>
              <m:rPr/>
              <m:t>B</m:t>
            </m:r>
          </m:sub>
        </m:sSub>
      </m:oMath>
      <w:r>
        <w:t xml:space="preserve"> constraints, particles escape after a single crossing and cannot form a cascade.</w:t>
      </w:r>
    </w:p>
    <w:p w14:paraId="5958384D">
      <w:pPr>
        <w:pStyle w:val="3"/>
      </w:pPr>
      <w:r>
        <w:t xml:space="preserve">For non-relativistic strong shocks and relativistic internal shocks, the energy gain coefficients adopt the standard parameterization from plasma physics: for non-relativistic shocks, </w:t>
      </w:r>
      <m:oMath>
        <m:r>
          <m:rPr>
            <m:sty m:val="p"/>
          </m:rPr>
          <m:t>⟨Δ</m:t>
        </m:r>
        <m:r>
          <m:rPr/>
          <m:t>γ</m:t>
        </m:r>
        <m:r>
          <m:rPr>
            <m:sty m:val="p"/>
          </m:rPr>
          <m:t>/</m:t>
        </m:r>
        <m:r>
          <m:rPr/>
          <m:t>γ</m:t>
        </m:r>
        <m:r>
          <m:rPr>
            <m:sty m:val="p"/>
          </m:rPr>
          <m:t>⟩∼</m:t>
        </m:r>
        <m:r>
          <m:rPr/>
          <m:t>2</m:t>
        </m:r>
        <m:sSubSup>
          <m:sSubSupPr/>
          <m:e>
            <m:r>
              <m:rPr/>
              <m:t>β</m:t>
            </m:r>
          </m:e>
          <m:sub>
            <m:r>
              <m:rPr/>
              <m:t>s</m:t>
            </m:r>
          </m:sub>
          <m:sup>
            <m:r>
              <m:rPr/>
              <m:t>2</m:t>
            </m:r>
          </m:sup>
        </m:sSubSup>
        <m:r>
          <m:rPr>
            <m:sty m:val="p"/>
          </m:rPr>
          <m:t>/(</m:t>
        </m:r>
        <m:r>
          <m:rPr/>
          <m:t>1</m:t>
        </m:r>
        <m:r>
          <m:rPr>
            <m:sty m:val="p"/>
          </m:rPr>
          <m:t>−</m:t>
        </m:r>
        <m:sSubSup>
          <m:sSubSupPr/>
          <m:e>
            <m:r>
              <m:rPr/>
              <m:t>β</m:t>
            </m:r>
          </m:e>
          <m:sub>
            <m:r>
              <m:rPr/>
              <m:t>s</m:t>
            </m:r>
          </m:sub>
          <m:sup>
            <m:r>
              <m:rPr/>
              <m:t>2</m:t>
            </m:r>
          </m:sup>
        </m:sSubSup>
        <m:r>
          <m:rPr>
            <m:sty m:val="p"/>
          </m:rPr>
          <m:t>)</m:t>
        </m:r>
      </m:oMath>
      <w:r>
        <w:t xml:space="preserve">; for relativistic shocks, the effective gain coefficient </w:t>
      </w:r>
      <m:oMath>
        <m:r>
          <m:rPr/>
          <m:t>κ</m:t>
        </m:r>
        <m:r>
          <m:rPr>
            <m:sty m:val="p"/>
          </m:rPr>
          <m:t>∼</m:t>
        </m:r>
        <m:sSubSup>
          <m:sSubSupPr/>
          <m:e>
            <m:r>
              <m:rPr>
                <m:sty m:val="p"/>
              </m:rPr>
              <m:t>Γ</m:t>
            </m:r>
          </m:e>
          <m:sub>
            <m:r>
              <m:rPr/>
              <m:t>s</m:t>
            </m:r>
          </m:sub>
          <m:sup>
            <m:r>
              <m:rPr/>
              <m:t>2</m:t>
            </m:r>
          </m:sup>
        </m:sSubSup>
        <m:r>
          <m:rPr>
            <m:sty m:val="p"/>
          </m:rPr>
          <m:t>.</m:t>
        </m:r>
      </m:oMath>
    </w:p>
    <w:bookmarkEnd w:id="9"/>
    <w:p w14:paraId="19072075">
      <w:pPr>
        <w:pStyle w:val="7"/>
      </w:pPr>
      <w:bookmarkStart w:id="10" w:name="a-field-amplitude-multi-stage-recurrence"/>
      <w:r>
        <w:t>3.2 A-Field Amplitude Multi-Stage Recurrence</w:t>
      </w:r>
    </w:p>
    <w:p w14:paraId="21111F6B">
      <w:pPr>
        <w:pStyle w:val="4"/>
      </w:pPr>
      <w:r>
        <w:t>Under multiple reciprocating accelerations, the overall energy amplitude of the A-field satisfies a product recurrence:</w:t>
      </w:r>
    </w:p>
    <w:p w14:paraId="134C6CCD">
      <w:pPr>
        <w:pStyle w:val="3"/>
      </w:pPr>
      <m:oMathPara>
        <m:oMathParaPr>
          <m:jc m:val="center"/>
        </m:oMathParaPr>
        <m:oMath>
          <m:sSub>
            <m:sSubPr/>
            <m:e>
              <m:r>
                <m:rPr/>
                <m:t>A</m:t>
              </m:r>
            </m:e>
            <m:sub>
              <m:r>
                <m:rPr/>
                <m:t>n</m:t>
              </m:r>
            </m:sub>
          </m:sSub>
          <m:r>
            <m:rPr>
              <m:sty m:val="p"/>
            </m:rPr>
            <m:t>=</m:t>
          </m:r>
          <m:sSub>
            <m:sSubPr/>
            <m:e>
              <m:r>
                <m:rPr/>
                <m:t>A</m:t>
              </m:r>
            </m:e>
            <m:sub>
              <m:r>
                <m:rPr/>
                <m:t>0</m:t>
              </m:r>
            </m:sub>
          </m:sSub>
          <m:nary>
            <m:naryPr>
              <m:chr m:val="∏"/>
              <m:limLoc m:val="undOvr"/>
            </m:naryPr>
            <m:sub>
              <m:r>
                <m:rPr/>
                <m:t>k</m:t>
              </m:r>
              <m:r>
                <m:rPr>
                  <m:sty m:val="p"/>
                </m:rPr>
                <m:t>=</m:t>
              </m:r>
              <m:r>
                <m:rPr/>
                <m:t>1</m:t>
              </m:r>
            </m:sub>
            <m:sup>
              <m:r>
                <m:rPr/>
                <m:t>n</m:t>
              </m:r>
            </m:sup>
            <m:e>
              <m:r>
                <m:rPr>
                  <m:sty m:val="p"/>
                </m:rPr>
                <m:t>(</m:t>
              </m:r>
            </m:e>
          </m:nary>
          <m:r>
            <m:rPr/>
            <m:t>1</m:t>
          </m:r>
          <m:r>
            <m:rPr>
              <m:sty m:val="p"/>
            </m:rPr>
            <m:t>+</m:t>
          </m:r>
          <m:sSub>
            <m:sSubPr/>
            <m:e>
              <m:r>
                <m:rPr/>
                <m:t>g</m:t>
              </m:r>
            </m:e>
            <m:sub>
              <m:r>
                <m:rPr/>
                <m:t>k</m:t>
              </m:r>
            </m:sub>
          </m:sSub>
          <m:r>
            <m:rPr>
              <m:sty m:val="p"/>
            </m:rPr>
            <m:t>),</m:t>
          </m:r>
          <m:r>
            <m:rPr/>
            <m:t> </m:t>
          </m:r>
          <m:sSub>
            <m:sSubPr/>
            <m:e>
              <m:r>
                <m:rPr/>
                <m:t>g</m:t>
              </m:r>
            </m:e>
            <m:sub>
              <m:r>
                <m:rPr/>
                <m:t>k</m:t>
              </m:r>
            </m:sub>
          </m:sSub>
          <m:r>
            <m:rPr>
              <m:sty m:val="p"/>
            </m:rPr>
            <m:t>=</m:t>
          </m:r>
          <m:r>
            <m:rPr/>
            <m:t>ξ</m:t>
          </m:r>
          <m:d>
            <m:dPr>
              <m:sepChr m:val=""/>
            </m:dPr>
            <m:e>
              <m:f>
                <m:fPr/>
                <m:num>
                  <m:r>
                    <m:rPr>
                      <m:sty m:val="p"/>
                    </m:rPr>
                    <m:t>Δ</m:t>
                  </m:r>
                  <m:sSub>
                    <m:sSubPr/>
                    <m:e>
                      <m:r>
                        <m:rPr/>
                        <m:t>u</m:t>
                      </m:r>
                    </m:e>
                    <m:sub>
                      <m:r>
                        <m:rPr/>
                        <m:t>k</m:t>
                      </m:r>
                    </m:sub>
                  </m:sSub>
                </m:num>
                <m:den>
                  <m:r>
                    <m:rPr/>
                    <m:t>c</m:t>
                  </m:r>
                </m:den>
              </m:f>
            </m:e>
          </m:d>
          <m:sSub>
            <m:sSubPr/>
            <m:e>
              <m:r>
                <m:rPr/>
                <m:t>W</m:t>
              </m:r>
            </m:e>
            <m:sub>
              <m:r>
                <m:rPr/>
                <m:t>B</m:t>
              </m:r>
              <m:r>
                <m:rPr>
                  <m:sty m:val="p"/>
                </m:rPr>
                <m:t>,</m:t>
              </m:r>
              <m:r>
                <m:rPr/>
                <m:t>k</m:t>
              </m:r>
            </m:sub>
          </m:sSub>
        </m:oMath>
      </m:oMathPara>
    </w:p>
    <w:p w14:paraId="29FD92F0">
      <w:pPr>
        <w:pStyle w:val="4"/>
      </w:pPr>
      <w:r>
        <w:t xml:space="preserve">where </w:t>
      </w:r>
      <m:oMath>
        <m:sSub>
          <m:sSubPr/>
          <m:e>
            <m:r>
              <m:rPr/>
              <m:t>g</m:t>
            </m:r>
          </m:e>
          <m:sub>
            <m:r>
              <m:rPr/>
              <m:t>k</m:t>
            </m:r>
          </m:sub>
        </m:sSub>
      </m:oMath>
      <w:r>
        <w:t xml:space="preserve"> is the single-cycle energy gain rate, completely determined by the shock dynamics and the B-field topology.</w:t>
      </w:r>
    </w:p>
    <w:bookmarkEnd w:id="10"/>
    <w:p w14:paraId="71F91C60">
      <w:pPr>
        <w:pStyle w:val="7"/>
      </w:pPr>
      <w:bookmarkStart w:id="11" w:name="X8ba87ec5e13da2e901bd3efdca3593490fa19e5"/>
      <w:r>
        <w:t>3.3 Bohm Approximation Acceleration Timescale and Maximum Energy Constraint</w:t>
      </w:r>
    </w:p>
    <w:p w14:paraId="113FE082">
      <w:pPr>
        <w:pStyle w:val="4"/>
      </w:pPr>
      <w:r>
        <w:t>The acceleration timescale for collisionless plasma shocks adopts the Bohm diffusion approximation (standard in high-energy astrophysics):</w:t>
      </w:r>
    </w:p>
    <w:p w14:paraId="200A8F06">
      <w:pPr>
        <w:pStyle w:val="3"/>
      </w:pPr>
      <m:oMathPara>
        <m:oMathParaPr>
          <m:jc m:val="center"/>
        </m:oMathParaPr>
        <m:oMath>
          <m:sSub>
            <m:sSubPr/>
            <m:e>
              <m:r>
                <m:rPr/>
                <m:t>t</m:t>
              </m:r>
            </m:e>
            <m:sub>
              <m:r>
                <m:rPr>
                  <m:sty m:val="p"/>
                </m:rPr>
                <m:t>acc</m:t>
              </m:r>
            </m:sub>
          </m:sSub>
          <m:r>
            <m:rPr>
              <m:sty m:val="p"/>
            </m:rPr>
            <m:t>≃</m:t>
          </m:r>
          <m:f>
            <m:fPr/>
            <m:num>
              <m:r>
                <m:rPr/>
                <m:t>3γmc</m:t>
              </m:r>
            </m:num>
            <m:den>
              <m:r>
                <m:rPr/>
                <m:t>eB</m:t>
              </m:r>
            </m:den>
          </m:f>
          <m:sSub>
            <m:sSubPr/>
            <m:e>
              <m:r>
                <m:rPr/>
                <m:t>f</m:t>
              </m:r>
            </m:e>
            <m:sub>
              <m:r>
                <m:rPr>
                  <m:sty m:val="p"/>
                </m:rPr>
                <m:t>scat</m:t>
              </m:r>
            </m:sub>
          </m:sSub>
        </m:oMath>
      </m:oMathPara>
    </w:p>
    <w:p w14:paraId="133EC735">
      <w:pPr>
        <w:pStyle w:val="4"/>
      </w:pPr>
      <w:r>
        <w:t xml:space="preserve">where </w:t>
      </w:r>
      <m:oMath>
        <m:sSub>
          <m:sSubPr/>
          <m:e>
            <m:r>
              <m:rPr/>
              <m:t>r</m:t>
            </m:r>
          </m:e>
          <m:sub>
            <m:r>
              <m:rPr/>
              <m:t>L</m:t>
            </m:r>
          </m:sub>
        </m:sSub>
        <m:r>
          <m:rPr>
            <m:sty m:val="p"/>
          </m:rPr>
          <m:t>=</m:t>
        </m:r>
        <m:r>
          <m:rPr/>
          <m:t>γmc</m:t>
        </m:r>
        <m:r>
          <m:rPr>
            <m:sty m:val="p"/>
          </m:rPr>
          <m:t>/(</m:t>
        </m:r>
        <m:r>
          <m:rPr/>
          <m:t>eB</m:t>
        </m:r>
        <m:r>
          <m:rPr>
            <m:sty m:val="p"/>
          </m:rPr>
          <m:t>)</m:t>
        </m:r>
      </m:oMath>
      <w:r>
        <w:t xml:space="preserve"> is the particle Larmor radius, and </w:t>
      </w:r>
      <m:oMath>
        <m:sSub>
          <m:sSubPr/>
          <m:e>
            <m:r>
              <m:rPr/>
              <m:t>f</m:t>
            </m:r>
          </m:e>
          <m:sub>
            <m:r>
              <m:rPr>
                <m:sty m:val="p"/>
              </m:rPr>
              <m:t>scat</m:t>
            </m:r>
          </m:sub>
        </m:sSub>
      </m:oMath>
      <w:r>
        <w:t xml:space="preserve"> is the turbulent scattering correction factor. The maximum particle energy is constrained by dynamical timescales: the acceleration timescale must not exceed the shock dynamical lifetime and the radiative cooling timescale, i.e., </w:t>
      </w:r>
      <m:oMath>
        <m:sSub>
          <m:sSubPr/>
          <m:e>
            <m:r>
              <m:rPr/>
              <m:t>t</m:t>
            </m:r>
          </m:e>
          <m:sub>
            <m:r>
              <m:rPr>
                <m:sty m:val="p"/>
              </m:rPr>
              <m:t>acc</m:t>
            </m:r>
          </m:sub>
        </m:sSub>
        <m:r>
          <m:rPr>
            <m:sty m:val="p"/>
          </m:rPr>
          <m:t>≤</m:t>
        </m:r>
        <m:sSub>
          <m:sSubPr/>
          <m:e>
            <m:r>
              <m:rPr/>
              <m:t>t</m:t>
            </m:r>
          </m:e>
          <m:sub>
            <m:r>
              <m:rPr>
                <m:sty m:val="p"/>
              </m:rPr>
              <m:t>dyn</m:t>
            </m:r>
          </m:sub>
        </m:sSub>
        <m:r>
          <m:rPr>
            <m:sty m:val="p"/>
          </m:rPr>
          <m:t>,</m:t>
        </m:r>
        <m:sSub>
          <m:sSubPr/>
          <m:e>
            <m:r>
              <m:rPr/>
              <m:t>t</m:t>
            </m:r>
          </m:e>
          <m:sub>
            <m:r>
              <m:rPr>
                <m:sty m:val="p"/>
              </m:rPr>
              <m:t>rad</m:t>
            </m:r>
          </m:sub>
        </m:sSub>
        <m:r>
          <m:rPr>
            <m:sty m:val="p"/>
          </m:rPr>
          <m:t>,</m:t>
        </m:r>
      </m:oMath>
      <w:r>
        <w:t xml:space="preserve"> forming the first physical saturation boundary.</w:t>
      </w:r>
    </w:p>
    <w:bookmarkEnd w:id="8"/>
    <w:bookmarkEnd w:id="11"/>
    <w:p w14:paraId="79D6E43F">
      <w:pPr>
        <w:pStyle w:val="6"/>
      </w:pPr>
      <w:bookmarkStart w:id="12" w:name="X015c8723f43b1db9dd2bcfd6b5c10e365cce854"/>
      <w:r>
        <w:t>4 C-Field Projection Main Channels: Synchrotron Radiation and Inverse Compton Scattering</w:t>
      </w:r>
    </w:p>
    <w:p w14:paraId="129EA9BE">
      <w:pPr>
        <w:pStyle w:val="4"/>
      </w:pPr>
      <w:r>
        <w:t>The radiation conversion process of A-field high-energy charged particles strictly follows QED scattering theory, divided into three standard regimes: synchrotron radiation, Thomson-regime inverse Compton scattering, and the Klein-Nishina high-energy correction regime, all incorporated into the C-field projection operator.</w:t>
      </w:r>
    </w:p>
    <w:p w14:paraId="5ACA787A">
      <w:pPr>
        <w:pStyle w:val="7"/>
      </w:pPr>
      <w:bookmarkStart w:id="13" w:name="X1fa3c69d214ca992864f7c2eaf87bc926281dbc"/>
      <w:r>
        <w:t>4.1 Synchrotron Radiation (</w:t>
      </w:r>
      <m:oMath>
        <m:r>
          <m:rPr/>
          <m:t>A</m:t>
        </m:r>
        <m:r>
          <m:rPr>
            <m:sty m:val="p"/>
          </m:rPr>
          <m:t>×</m:t>
        </m:r>
        <m:r>
          <m:rPr/>
          <m:t>B</m:t>
        </m:r>
      </m:oMath>
      <w:r>
        <w:t xml:space="preserve"> Coupling Channel)</w:t>
      </w:r>
    </w:p>
    <w:p w14:paraId="6DFE330E">
      <w:pPr>
        <w:pStyle w:val="4"/>
      </w:pPr>
      <w:r>
        <w:t>The characteristic photon energy from synchrotron radiation of relativistic electrons in the shock magnetic field is:</w:t>
      </w:r>
    </w:p>
    <w:p w14:paraId="7A6A2D5D">
      <w:pPr>
        <w:pStyle w:val="3"/>
      </w:pPr>
      <m:oMathPara>
        <m:oMathParaPr>
          <m:jc m:val="center"/>
        </m:oMathParaPr>
        <m:oMath>
          <m:sSub>
            <m:sSubPr/>
            <m:e>
              <m:r>
                <m:rPr/>
                <m:t>ε</m:t>
              </m:r>
            </m:e>
            <m:sub>
              <m:r>
                <m:rPr>
                  <m:sty m:val="p"/>
                </m:rPr>
                <m:t>sync</m:t>
              </m:r>
            </m:sub>
          </m:sSub>
          <m:r>
            <m:rPr>
              <m:sty m:val="p"/>
            </m:rPr>
            <m:t>≃</m:t>
          </m:r>
          <m:f>
            <m:fPr/>
            <m:num>
              <m:r>
                <m:rPr/>
                <m:t>3</m:t>
              </m:r>
            </m:num>
            <m:den>
              <m:r>
                <m:rPr/>
                <m:t>2</m:t>
              </m:r>
            </m:den>
          </m:f>
          <m:r>
            <m:rPr>
              <m:sty m:val="p"/>
            </m:rPr>
            <m:t>ℏ</m:t>
          </m:r>
          <m:sSubSup>
            <m:sSubSupPr/>
            <m:e>
              <m:r>
                <m:rPr/>
                <m:t>γ</m:t>
              </m:r>
            </m:e>
            <m:sub>
              <m:r>
                <m:rPr/>
                <m:t>e</m:t>
              </m:r>
            </m:sub>
            <m:sup>
              <m:r>
                <m:rPr/>
                <m:t>2</m:t>
              </m:r>
            </m:sup>
          </m:sSubSup>
          <m:d>
            <m:dPr>
              <m:sepChr m:val=""/>
            </m:dPr>
            <m:e>
              <m:f>
                <m:fPr/>
                <m:num>
                  <m:r>
                    <m:rPr/>
                    <m:t>eB</m:t>
                  </m:r>
                </m:num>
                <m:den>
                  <m:sSub>
                    <m:sSubPr/>
                    <m:e>
                      <m:r>
                        <m:rPr/>
                        <m:t>m</m:t>
                      </m:r>
                    </m:e>
                    <m:sub>
                      <m:r>
                        <m:rPr/>
                        <m:t>e</m:t>
                      </m:r>
                    </m:sub>
                  </m:sSub>
                  <m:r>
                    <m:rPr/>
                    <m:t>c</m:t>
                  </m:r>
                </m:den>
              </m:f>
            </m:e>
          </m:d>
          <m:r>
            <m:rPr>
              <m:sty m:val="p"/>
            </m:rPr>
            <m:t>sin</m:t>
          </m:r>
          <m:r>
            <m:rPr/>
            <m:t>α</m:t>
          </m:r>
        </m:oMath>
      </m:oMathPara>
    </w:p>
    <w:p w14:paraId="3E82A113">
      <w:pPr>
        <w:pStyle w:val="4"/>
      </w:pPr>
      <w:r>
        <w:t xml:space="preserve">For typical GRB external shock parameters: magnetic field </w:t>
      </w:r>
      <m:oMath>
        <m:r>
          <m:rPr/>
          <m:t>B</m:t>
        </m:r>
        <m:r>
          <m:rPr>
            <m:sty m:val="p"/>
          </m:rPr>
          <m:t>=</m:t>
        </m:r>
        <m:r>
          <m:rPr/>
          <m:t>0.1</m:t>
        </m:r>
        <m:r>
          <m:rPr>
            <m:sty m:val="p"/>
          </m:rPr>
          <m:t>−−</m:t>
        </m:r>
        <m:r>
          <m:rPr/>
          <m:t>1 </m:t>
        </m:r>
        <m:r>
          <m:rPr>
            <m:sty m:val="p"/>
          </m:rPr>
          <m:t>G,</m:t>
        </m:r>
      </m:oMath>
      <w:r>
        <w:t xml:space="preserve"> electron Lorentz factor </w:t>
      </w:r>
      <m:oMath>
        <m:sSub>
          <m:sSubPr/>
          <m:e>
            <m:r>
              <m:rPr/>
              <m:t>γ</m:t>
            </m:r>
          </m:e>
          <m:sub>
            <m:r>
              <m:rPr/>
              <m:t>e</m:t>
            </m:r>
          </m:sub>
        </m:sSub>
        <m:r>
          <m:rPr>
            <m:sty m:val="p"/>
          </m:rPr>
          <m:t>=</m:t>
        </m:r>
        <m:sSup>
          <m:sSupPr/>
          <m:e>
            <m:r>
              <m:rPr/>
              <m:t>10</m:t>
            </m:r>
          </m:e>
          <m:sup>
            <m:r>
              <m:rPr/>
              <m:t>3</m:t>
            </m:r>
          </m:sup>
        </m:sSup>
        <m:r>
          <m:rPr>
            <m:sty m:val="p"/>
          </m:rPr>
          <m:t>−−</m:t>
        </m:r>
        <m:sSup>
          <m:sSupPr/>
          <m:e>
            <m:r>
              <m:rPr/>
              <m:t>10</m:t>
            </m:r>
          </m:e>
          <m:sup>
            <m:r>
              <m:rPr/>
              <m:t>5</m:t>
            </m:r>
          </m:sup>
        </m:sSup>
        <m:r>
          <m:rPr>
            <m:sty m:val="p"/>
          </m:rPr>
          <m:t>,</m:t>
        </m:r>
      </m:oMath>
      <w:r>
        <w:t xml:space="preserve"> the corresponding radiated photon energy covers the keV to TeV range, matching low-energy afterglow observations.</w:t>
      </w:r>
    </w:p>
    <w:bookmarkEnd w:id="13"/>
    <w:p w14:paraId="642FFDDB">
      <w:pPr>
        <w:pStyle w:val="7"/>
      </w:pPr>
      <w:bookmarkStart w:id="14" w:name="Xf7806cc1f8fb69a46dfc9b5f64c0639e19486fe"/>
      <w:r>
        <w:t>4.2 Inverse Compton Scattering (A-field + Passive Target Photon Coupling)</w:t>
      </w:r>
    </w:p>
    <w:p w14:paraId="242955FF">
      <w:pPr>
        <w:pStyle w:val="8"/>
      </w:pPr>
      <w:bookmarkStart w:id="15" w:name="X8859a29969b5ccce8584ed597c571a130da0e75"/>
      <w:r>
        <w:t>4.2.1 Thomson Linear Regime (Low-Energy Standard Regime)</w:t>
      </w:r>
    </w:p>
    <w:p w14:paraId="2F6EB509">
      <w:pPr>
        <w:pStyle w:val="4"/>
      </w:pPr>
      <w:r>
        <w:t xml:space="preserve">When </w:t>
      </w:r>
      <m:oMath>
        <m:sSub>
          <m:sSubPr/>
          <m:e>
            <m:r>
              <m:rPr/>
              <m:t>γ</m:t>
            </m:r>
          </m:e>
          <m:sub>
            <m:r>
              <m:rPr/>
              <m:t>e</m:t>
            </m:r>
          </m:sub>
        </m:sSub>
        <m:sSub>
          <m:sSubPr/>
          <m:e>
            <m:r>
              <m:rPr/>
              <m:t>ε</m:t>
            </m:r>
          </m:e>
          <m:sub>
            <m:r>
              <m:rPr>
                <m:sty m:val="p"/>
              </m:rPr>
              <m:t>bg</m:t>
            </m:r>
          </m:sub>
        </m:sSub>
        <m:r>
          <m:rPr>
            <m:sty m:val="p"/>
          </m:rPr>
          <m:t>≪</m:t>
        </m:r>
        <m:sSub>
          <m:sSubPr/>
          <m:e>
            <m:r>
              <m:rPr/>
              <m:t>m</m:t>
            </m:r>
          </m:e>
          <m:sub>
            <m:r>
              <m:rPr/>
              <m:t>e</m:t>
            </m:r>
          </m:sub>
        </m:sSub>
        <m:sSup>
          <m:sSupPr/>
          <m:e>
            <m:r>
              <m:rPr/>
              <m:t>c</m:t>
            </m:r>
          </m:e>
          <m:sup>
            <m:r>
              <m:rPr/>
              <m:t>2</m:t>
            </m:r>
          </m:sup>
        </m:sSup>
        <m:r>
          <m:rPr>
            <m:sty m:val="p"/>
          </m:rPr>
          <m:t>,</m:t>
        </m:r>
      </m:oMath>
      <w:r>
        <w:t xml:space="preserve"> the scattering cross-section is the Thomson cross-section </w:t>
      </w:r>
      <m:oMath>
        <m:sSub>
          <m:sSubPr/>
          <m:e>
            <m:r>
              <m:rPr/>
              <m:t>σ</m:t>
            </m:r>
          </m:e>
          <m:sub>
            <m:r>
              <m:rPr/>
              <m:t>T</m:t>
            </m:r>
          </m:sub>
        </m:sSub>
        <m:r>
          <m:rPr>
            <m:sty m:val="p"/>
          </m:rPr>
          <m:t>,</m:t>
        </m:r>
      </m:oMath>
      <w:r>
        <w:t xml:space="preserve"> and the photon energy gain satisfies the standard quadratic relation:</w:t>
      </w:r>
    </w:p>
    <w:p w14:paraId="5685824C">
      <w:pPr>
        <w:pStyle w:val="3"/>
      </w:pPr>
      <m:oMathPara>
        <m:oMathParaPr>
          <m:jc m:val="center"/>
        </m:oMathParaPr>
        <m:oMath>
          <m:sSubSup>
            <m:sSubSupPr/>
            <m:e>
              <m:r>
                <m:rPr/>
                <m:t>ε</m:t>
              </m:r>
            </m:e>
            <m:sub>
              <m:r>
                <m:rPr/>
                <m:t>γ</m:t>
              </m:r>
            </m:sub>
            <m:sup>
              <m:r>
                <m:rPr>
                  <m:sty m:val="p"/>
                </m:rPr>
                <m:t>IC</m:t>
              </m:r>
            </m:sup>
          </m:sSubSup>
          <m:r>
            <m:rPr>
              <m:sty m:val="p"/>
            </m:rPr>
            <m:t>≃</m:t>
          </m:r>
          <m:f>
            <m:fPr/>
            <m:num>
              <m:r>
                <m:rPr/>
                <m:t>4</m:t>
              </m:r>
            </m:num>
            <m:den>
              <m:r>
                <m:rPr/>
                <m:t>3</m:t>
              </m:r>
            </m:den>
          </m:f>
          <m:sSubSup>
            <m:sSubSupPr/>
            <m:e>
              <m:r>
                <m:rPr/>
                <m:t>γ</m:t>
              </m:r>
            </m:e>
            <m:sub>
              <m:r>
                <m:rPr/>
                <m:t>e</m:t>
              </m:r>
            </m:sub>
            <m:sup>
              <m:r>
                <m:rPr/>
                <m:t>2</m:t>
              </m:r>
            </m:sup>
          </m:sSubSup>
          <m:sSub>
            <m:sSubPr/>
            <m:e>
              <m:r>
                <m:rPr/>
                <m:t>ε</m:t>
              </m:r>
            </m:e>
            <m:sub>
              <m:r>
                <m:rPr>
                  <m:sty m:val="p"/>
                </m:rPr>
                <m:t>bg</m:t>
              </m:r>
            </m:sub>
          </m:sSub>
        </m:oMath>
      </m:oMathPara>
    </w:p>
    <w:p w14:paraId="35CC1277">
      <w:pPr>
        <w:pStyle w:val="4"/>
      </w:pPr>
      <w:r>
        <w:t xml:space="preserve">Target field media differentiation (all passive, no dynamical evolution): CMB target photons </w:t>
      </w:r>
      <m:oMath>
        <m:sSub>
          <m:sSubPr/>
          <m:e>
            <m:r>
              <m:rPr/>
              <m:t>ε</m:t>
            </m:r>
          </m:e>
          <m:sub>
            <m:r>
              <m:rPr>
                <m:sty m:val="p"/>
              </m:rPr>
              <m:t>CMB</m:t>
            </m:r>
          </m:sub>
        </m:sSub>
        <m:r>
          <m:rPr>
            <m:sty m:val="p"/>
          </m:rPr>
          <m:t>≈</m:t>
        </m:r>
        <m:r>
          <m:rPr/>
          <m:t>6</m:t>
        </m:r>
        <m:r>
          <m:rPr>
            <m:sty m:val="p"/>
          </m:rPr>
          <m:t>×</m:t>
        </m:r>
        <m:sSup>
          <m:sSupPr/>
          <m:e>
            <m:r>
              <m:rPr/>
              <m:t>10</m:t>
            </m:r>
          </m:e>
          <m:sup>
            <m:r>
              <m:rPr>
                <m:sty m:val="p"/>
              </m:rPr>
              <m:t>−</m:t>
            </m:r>
            <m:r>
              <m:rPr/>
              <m:t>4</m:t>
            </m:r>
          </m:sup>
        </m:sSup>
        <m:r>
          <m:rPr/>
          <m:t> </m:t>
        </m:r>
        <m:r>
          <m:rPr>
            <m:sty m:val="p"/>
          </m:rPr>
          <m:t>eV</m:t>
        </m:r>
      </m:oMath>
      <w:r>
        <w:t xml:space="preserve">; producing 1 TeV photons requires </w:t>
      </w:r>
      <m:oMath>
        <m:sSub>
          <m:sSubPr/>
          <m:e>
            <m:r>
              <m:rPr/>
              <m:t>γ</m:t>
            </m:r>
          </m:e>
          <m:sub>
            <m:r>
              <m:rPr/>
              <m:t>e</m:t>
            </m:r>
          </m:sub>
        </m:sSub>
        <m:r>
          <m:rPr>
            <m:sty m:val="p"/>
          </m:rPr>
          <m:t>≈</m:t>
        </m:r>
        <m:r>
          <m:rPr/>
          <m:t>3.5</m:t>
        </m:r>
        <m:r>
          <m:rPr>
            <m:sty m:val="p"/>
          </m:rPr>
          <m:t>×</m:t>
        </m:r>
        <m:sSup>
          <m:sSupPr/>
          <m:e>
            <m:r>
              <m:rPr/>
              <m:t>10</m:t>
            </m:r>
          </m:e>
          <m:sup>
            <m:r>
              <m:rPr/>
              <m:t>7</m:t>
            </m:r>
          </m:sup>
        </m:sSup>
      </m:oMath>
      <w:r>
        <w:t xml:space="preserve">; producing 300 TeV photons requires </w:t>
      </w:r>
      <m:oMath>
        <m:sSub>
          <m:sSubPr/>
          <m:e>
            <m:r>
              <m:rPr/>
              <m:t>γ</m:t>
            </m:r>
          </m:e>
          <m:sub>
            <m:r>
              <m:rPr/>
              <m:t>e</m:t>
            </m:r>
          </m:sub>
        </m:sSub>
        <m:r>
          <m:rPr>
            <m:sty m:val="p"/>
          </m:rPr>
          <m:t>≈</m:t>
        </m:r>
        <m:r>
          <m:rPr/>
          <m:t>6.1</m:t>
        </m:r>
        <m:r>
          <m:rPr>
            <m:sty m:val="p"/>
          </m:rPr>
          <m:t>×</m:t>
        </m:r>
        <m:sSup>
          <m:sSupPr/>
          <m:e>
            <m:r>
              <m:rPr/>
              <m:t>10</m:t>
            </m:r>
          </m:e>
          <m:sup>
            <m:r>
              <m:rPr/>
              <m:t>8</m:t>
            </m:r>
          </m:sup>
        </m:sSup>
        <m:r>
          <m:rPr>
            <m:sty m:val="p"/>
          </m:rPr>
          <m:t>.</m:t>
        </m:r>
      </m:oMath>
      <w:r>
        <w:t xml:space="preserve"> Internal synchrotron photons (SSC) and dust/broad-line region photons (EC) have higher target photon energies, thus requiring lower electron Lorentz factors for the same radiated energy.</w:t>
      </w:r>
    </w:p>
    <w:bookmarkEnd w:id="15"/>
    <w:p w14:paraId="5ADF240F">
      <w:pPr>
        <w:pStyle w:val="8"/>
      </w:pPr>
      <w:bookmarkStart w:id="16" w:name="X9b124501442583d13ae7100fe8ff26b3e8b61b1"/>
      <w:r>
        <w:t>4.2.2 Klein-Nishina Suppression Regime (High-Energy Correction Regime)</w:t>
      </w:r>
    </w:p>
    <w:p w14:paraId="6DD39C63">
      <w:pPr>
        <w:pStyle w:val="4"/>
      </w:pPr>
      <w:r>
        <w:t xml:space="preserve">When </w:t>
      </w:r>
      <m:oMath>
        <m:sSub>
          <m:sSubPr/>
          <m:e>
            <m:r>
              <m:rPr/>
              <m:t>γ</m:t>
            </m:r>
          </m:e>
          <m:sub>
            <m:r>
              <m:rPr/>
              <m:t>e</m:t>
            </m:r>
          </m:sub>
        </m:sSub>
        <m:sSub>
          <m:sSubPr/>
          <m:e>
            <m:r>
              <m:rPr/>
              <m:t>ε</m:t>
            </m:r>
          </m:e>
          <m:sub>
            <m:r>
              <m:rPr>
                <m:sty m:val="p"/>
              </m:rPr>
              <m:t>bg</m:t>
            </m:r>
          </m:sub>
        </m:sSub>
        <m:r>
          <m:rPr>
            <m:sty m:val="p"/>
          </m:rPr>
          <m:t>≳</m:t>
        </m:r>
        <m:sSub>
          <m:sSubPr/>
          <m:e>
            <m:r>
              <m:rPr/>
              <m:t>m</m:t>
            </m:r>
          </m:e>
          <m:sub>
            <m:r>
              <m:rPr/>
              <m:t>e</m:t>
            </m:r>
          </m:sub>
        </m:sSub>
        <m:sSup>
          <m:sSupPr/>
          <m:e>
            <m:r>
              <m:rPr/>
              <m:t>c</m:t>
            </m:r>
          </m:e>
          <m:sup>
            <m:r>
              <m:rPr/>
              <m:t>2</m:t>
            </m:r>
          </m:sup>
        </m:sSup>
        <m:r>
          <m:rPr>
            <m:sty m:val="p"/>
          </m:rPr>
          <m:t>,</m:t>
        </m:r>
      </m:oMath>
      <w:r>
        <w:t xml:space="preserve"> the QED scattering cross-section rapidly decreases from the constant </w:t>
      </w:r>
      <m:oMath>
        <m:sSub>
          <m:sSubPr/>
          <m:e>
            <m:r>
              <m:rPr/>
              <m:t>σ</m:t>
            </m:r>
          </m:e>
          <m:sub>
            <m:r>
              <m:rPr/>
              <m:t>T</m:t>
            </m:r>
          </m:sub>
        </m:sSub>
      </m:oMath>
      <w:r>
        <w:t xml:space="preserve"> to the KN cross-section, and the photon energy gain no longer grows linearly with </w:t>
      </w:r>
      <m:oMath>
        <m:sSubSup>
          <m:sSubSupPr/>
          <m:e>
            <m:r>
              <m:rPr/>
              <m:t>γ</m:t>
            </m:r>
          </m:e>
          <m:sub>
            <m:r>
              <m:rPr/>
              <m:t>e</m:t>
            </m:r>
          </m:sub>
          <m:sup>
            <m:r>
              <m:rPr/>
              <m:t>2</m:t>
            </m:r>
          </m:sup>
        </m:sSubSup>
        <m:r>
          <m:rPr>
            <m:sty m:val="p"/>
          </m:rPr>
          <m:t>,</m:t>
        </m:r>
      </m:oMath>
      <w:r>
        <w:t xml:space="preserve"> forming a natural ceiling for high-energy radiation. This constitutes the second saturation constraint.</w:t>
      </w:r>
    </w:p>
    <w:bookmarkEnd w:id="12"/>
    <w:bookmarkEnd w:id="14"/>
    <w:bookmarkEnd w:id="16"/>
    <w:p w14:paraId="0F813D9A">
      <w:pPr>
        <w:pStyle w:val="6"/>
      </w:pPr>
      <w:bookmarkStart w:id="17" w:name="X0c0d5f3f04fbab64138323726951673996e4e2c"/>
      <w:r>
        <w:t>5 Electron-Positron Pair Feedback Loop: Core Regeneration Mechanism of the Bowstring Cascade</w:t>
      </w:r>
    </w:p>
    <w:p w14:paraId="5E975D6C">
      <w:pPr>
        <w:pStyle w:val="4"/>
      </w:pPr>
      <w:r>
        <w:t>The annihilation pair-production process between extremely high-energy gamma-ray photons and cosmic background photons is the core regeneration link in the GRB extreme high-energy cascade.</w:t>
      </w:r>
    </w:p>
    <w:p w14:paraId="43A28DB2">
      <w:pPr>
        <w:pStyle w:val="7"/>
      </w:pPr>
      <w:bookmarkStart w:id="18" w:name="Xf20abb4f457b91eb9f8192c69ce8f2dfb7fb592"/>
      <w:r>
        <w:t>5.1 Two-Photon Pair Production Threshold (Exact QED Solution)</w:t>
      </w:r>
    </w:p>
    <w:p w14:paraId="5F6C90C4">
      <w:pPr>
        <w:pStyle w:val="4"/>
      </w:pPr>
      <w:r>
        <w:t xml:space="preserve">High-energy gamma-ray photons annihilate with background target photons to produce electron-positron pairs: </w:t>
      </w:r>
      <m:oMath>
        <m:r>
          <m:rPr/>
          <m:t>γ</m:t>
        </m:r>
        <m:r>
          <m:rPr>
            <m:sty m:val="p"/>
          </m:rPr>
          <m:t>+</m:t>
        </m:r>
        <m:sSub>
          <m:sSubPr/>
          <m:e>
            <m:r>
              <m:rPr/>
              <m:t>γ</m:t>
            </m:r>
          </m:e>
          <m:sub>
            <m:r>
              <m:rPr>
                <m:sty m:val="p"/>
              </m:rPr>
              <m:t>bg</m:t>
            </m:r>
          </m:sub>
        </m:sSub>
        <m:r>
          <m:rPr>
            <m:sty m:val="p"/>
          </m:rPr>
          <m:t>→</m:t>
        </m:r>
        <m:sSup>
          <m:sSupPr/>
          <m:e>
            <m:r>
              <m:rPr/>
              <m:t>e</m:t>
            </m:r>
          </m:e>
          <m:sup>
            <m:r>
              <m:rPr>
                <m:sty m:val="p"/>
              </m:rPr>
              <m:t>+</m:t>
            </m:r>
          </m:sup>
        </m:sSup>
        <m:r>
          <m:rPr>
            <m:sty m:val="p"/>
          </m:rPr>
          <m:t>+</m:t>
        </m:r>
        <m:sSup>
          <m:sSupPr/>
          <m:e>
            <m:r>
              <m:rPr/>
              <m:t>e</m:t>
            </m:r>
          </m:e>
          <m:sup>
            <m:r>
              <m:rPr>
                <m:sty m:val="p"/>
              </m:rPr>
              <m:t>−</m:t>
            </m:r>
          </m:sup>
        </m:sSup>
        <m:r>
          <m:rPr>
            <m:sty m:val="p"/>
          </m:rPr>
          <m:t>.</m:t>
        </m:r>
      </m:oMath>
      <w:r>
        <w:t xml:space="preserve"> The exact angle-corrected energy threshold is:</w:t>
      </w:r>
    </w:p>
    <w:p w14:paraId="314D8793">
      <w:pPr>
        <w:pStyle w:val="3"/>
      </w:pPr>
      <m:oMathPara>
        <m:oMathParaPr>
          <m:jc m:val="center"/>
        </m:oMathParaPr>
        <m:oMath>
          <m:sSub>
            <m:sSubPr/>
            <m:e>
              <m:r>
                <m:rPr/>
                <m:t>ε</m:t>
              </m:r>
            </m:e>
            <m:sub>
              <m:r>
                <m:rPr/>
                <m:t>γ</m:t>
              </m:r>
            </m:sub>
          </m:sSub>
          <m:sSub>
            <m:sSubPr/>
            <m:e>
              <m:r>
                <m:rPr/>
                <m:t>ε</m:t>
              </m:r>
            </m:e>
            <m:sub>
              <m:r>
                <m:rPr>
                  <m:sty m:val="p"/>
                </m:rPr>
                <m:t>bg</m:t>
              </m:r>
            </m:sub>
          </m:sSub>
          <m:r>
            <m:rPr>
              <m:sty m:val="p"/>
            </m:rPr>
            <m:t>(</m:t>
          </m:r>
          <m:r>
            <m:rPr/>
            <m:t>1</m:t>
          </m:r>
          <m:r>
            <m:rPr>
              <m:sty m:val="p"/>
            </m:rPr>
            <m:t>−cos</m:t>
          </m:r>
          <m:r>
            <m:rPr/>
            <m:t>θ</m:t>
          </m:r>
          <m:r>
            <m:rPr>
              <m:sty m:val="p"/>
            </m:rPr>
            <m:t>)≥</m:t>
          </m:r>
          <m:r>
            <m:rPr/>
            <m:t>2</m:t>
          </m:r>
          <m:r>
            <m:rPr>
              <m:sty m:val="p"/>
            </m:rPr>
            <m:t>(</m:t>
          </m:r>
          <m:sSub>
            <m:sSubPr/>
            <m:e>
              <m:r>
                <m:rPr/>
                <m:t>m</m:t>
              </m:r>
            </m:e>
            <m:sub>
              <m:r>
                <m:rPr/>
                <m:t>e</m:t>
              </m:r>
            </m:sub>
          </m:sSub>
          <m:sSup>
            <m:sSupPr/>
            <m:e>
              <m:r>
                <m:rPr/>
                <m:t>c</m:t>
              </m:r>
            </m:e>
            <m:sup>
              <m:r>
                <m:rPr/>
                <m:t>2</m:t>
              </m:r>
            </m:sup>
          </m:sSup>
          <m:sSup>
            <m:sSupPr/>
            <m:e>
              <m:r>
                <m:rPr>
                  <m:sty m:val="p"/>
                </m:rPr>
                <m:t>)</m:t>
              </m:r>
            </m:e>
            <m:sup>
              <m:r>
                <m:rPr/>
                <m:t>2</m:t>
              </m:r>
            </m:sup>
          </m:sSup>
        </m:oMath>
      </m:oMathPara>
    </w:p>
    <w:p w14:paraId="7E106B9D">
      <w:pPr>
        <w:pStyle w:val="4"/>
      </w:pPr>
      <w:r>
        <w:t xml:space="preserve">where </w:t>
      </w:r>
      <m:oMath>
        <m:r>
          <m:rPr/>
          <m:t>θ</m:t>
        </m:r>
      </m:oMath>
      <w:r>
        <w:t xml:space="preserve"> is the collision angle between the two photons. When </w:t>
      </w:r>
      <m:oMath>
        <m:r>
          <m:rPr/>
          <m:t>θ</m:t>
        </m:r>
        <m:r>
          <m:rPr>
            <m:sty m:val="p"/>
          </m:rPr>
          <m:t>=</m:t>
        </m:r>
        <m:r>
          <m:rPr/>
          <m:t>π</m:t>
        </m:r>
      </m:oMath>
      <w:r>
        <w:t xml:space="preserve"> (head-on collision), the threshold is lowest: </w:t>
      </w:r>
      <m:oMath>
        <m:sSub>
          <m:sSubPr/>
          <m:e>
            <m:r>
              <m:rPr/>
              <m:t>ε</m:t>
            </m:r>
          </m:e>
          <m:sub>
            <m:r>
              <m:rPr/>
              <m:t>γ</m:t>
            </m:r>
          </m:sub>
        </m:sSub>
        <m:sSub>
          <m:sSubPr/>
          <m:e>
            <m:r>
              <m:rPr/>
              <m:t>ε</m:t>
            </m:r>
          </m:e>
          <m:sub>
            <m:r>
              <m:rPr>
                <m:sty m:val="p"/>
              </m:rPr>
              <m:t>bg</m:t>
            </m:r>
          </m:sub>
        </m:sSub>
        <m:r>
          <m:rPr>
            <m:sty m:val="p"/>
          </m:rPr>
          <m:t>≥(</m:t>
        </m:r>
        <m:sSub>
          <m:sSubPr/>
          <m:e>
            <m:r>
              <m:rPr/>
              <m:t>m</m:t>
            </m:r>
          </m:e>
          <m:sub>
            <m:r>
              <m:rPr/>
              <m:t>e</m:t>
            </m:r>
          </m:sub>
        </m:sSub>
        <m:sSup>
          <m:sSupPr/>
          <m:e>
            <m:r>
              <m:rPr/>
              <m:t>c</m:t>
            </m:r>
          </m:e>
          <m:sup>
            <m:r>
              <m:rPr/>
              <m:t>2</m:t>
            </m:r>
          </m:sup>
        </m:sSup>
        <m:sSup>
          <m:sSupPr/>
          <m:e>
            <m:r>
              <m:rPr>
                <m:sty m:val="p"/>
              </m:rPr>
              <m:t>)</m:t>
            </m:r>
          </m:e>
          <m:sup>
            <m:r>
              <m:rPr/>
              <m:t>2</m:t>
            </m:r>
          </m:sup>
        </m:sSup>
      </m:oMath>
      <w:r>
        <w:t>. Physical partitioning of thresholds: for EBL target photons (0.1–1 eV), pair production is efficiently triggered for photons at the 10 TeV level; for CMB target photons, the effective pair production threshold is 100–250 TeV, making it the core medium for extreme high-energy photon cascades.</w:t>
      </w:r>
    </w:p>
    <w:bookmarkEnd w:id="18"/>
    <w:p w14:paraId="0A195314">
      <w:pPr>
        <w:pStyle w:val="7"/>
      </w:pPr>
      <w:bookmarkStart w:id="19" w:name="X450bfef5c41b5f63226d9677f4737bee4638483"/>
      <w:r>
        <w:t>5.2 Standardized Bowstring Cascade Closed Loop (Three-Level Cyclic Structure)</w:t>
      </w:r>
    </w:p>
    <w:p w14:paraId="6F97ACB3">
      <w:pPr>
        <w:pStyle w:val="26"/>
        <w:numPr>
          <w:ilvl w:val="0"/>
          <w:numId w:val="1"/>
        </w:numPr>
      </w:pPr>
      <w:r>
        <w:rPr>
          <w:b/>
          <w:bCs/>
        </w:rPr>
        <w:t>Level 1 – Acceleration:</w:t>
      </w:r>
      <w:r>
        <w:t xml:space="preserve"> A-field charged particles acquire high energy via first-order Fermi acceleration at the shock front.</w:t>
      </w:r>
    </w:p>
    <w:p w14:paraId="519BADCC">
      <w:pPr>
        <w:pStyle w:val="26"/>
        <w:numPr>
          <w:ilvl w:val="0"/>
          <w:numId w:val="1"/>
        </w:numPr>
      </w:pPr>
      <w:r>
        <w:rPr>
          <w:b/>
          <w:bCs/>
        </w:rPr>
        <w:t>Level 2 – Radiation:</w:t>
      </w:r>
      <w:r>
        <w:t xml:space="preserve"> High-energy particles produce high-energy gamma-ray photons via synchrotron/inverse Compton radiation (C-field projection).</w:t>
      </w:r>
    </w:p>
    <w:p w14:paraId="01FF5B1D">
      <w:pPr>
        <w:pStyle w:val="26"/>
        <w:numPr>
          <w:ilvl w:val="0"/>
          <w:numId w:val="1"/>
        </w:numPr>
      </w:pPr>
      <w:r>
        <w:rPr>
          <w:b/>
          <w:bCs/>
        </w:rPr>
        <w:t>Level 3 – Regeneration:</w:t>
      </w:r>
      <w:r>
        <w:t xml:space="preserve"> High-energy gamma-ray photons produce electron-positron pairs via annihilation with background target photons; the newly created particles re-enter the A-field, are captured by B-field topological constraints, and re-enter Level 1.</w:t>
      </w:r>
    </w:p>
    <w:p w14:paraId="14EB986C">
      <w:pPr>
        <w:pStyle w:val="4"/>
      </w:pPr>
      <w:r>
        <w:rPr>
          <w:b/>
          <w:bCs/>
        </w:rPr>
        <w:t>Physical Nature Clarification:</w:t>
      </w:r>
    </w:p>
    <w:p w14:paraId="57781661">
      <w:pPr>
        <w:pStyle w:val="26"/>
        <w:numPr>
          <w:ilvl w:val="0"/>
          <w:numId w:val="2"/>
        </w:numPr>
      </w:pPr>
      <w:r>
        <w:t>CMB/EBL photons serve only as collision target media, providing no energy input, topological deformation, or mechanical rebound.</w:t>
      </w:r>
    </w:p>
    <w:p w14:paraId="6437994F">
      <w:pPr>
        <w:pStyle w:val="26"/>
        <w:numPr>
          <w:ilvl w:val="0"/>
          <w:numId w:val="2"/>
        </w:numPr>
      </w:pPr>
      <w:r>
        <w:t>The cascade gain comes entirely from the secondary and higher-order Fermi acceleration of regenerated electron-positron pairs by the shock.</w:t>
      </w:r>
    </w:p>
    <w:p w14:paraId="1ED78E35">
      <w:pPr>
        <w:pStyle w:val="26"/>
        <w:numPr>
          <w:ilvl w:val="0"/>
          <w:numId w:val="2"/>
        </w:numPr>
      </w:pPr>
      <w:r>
        <w:t>B-field topological winding is the sole topological condition for the closed-loop sustainability; without B-field constraints, the cascade breaks.</w:t>
      </w:r>
    </w:p>
    <w:bookmarkEnd w:id="19"/>
    <w:p w14:paraId="3F5EF90E">
      <w:pPr>
        <w:pStyle w:val="7"/>
      </w:pPr>
      <w:bookmarkStart w:id="20" w:name="X6a634551df76bc22d42c89fafe89716d58221a5"/>
      <w:r>
        <w:t>5.3 Intrinsic Physical Limitations of Pair-Production Cascades</w:t>
      </w:r>
    </w:p>
    <w:p w14:paraId="32A6EFE9">
      <w:pPr>
        <w:pStyle w:val="26"/>
        <w:numPr>
          <w:ilvl w:val="0"/>
          <w:numId w:val="3"/>
        </w:numPr>
      </w:pPr>
      <w:r>
        <w:rPr>
          <w:b/>
          <w:bCs/>
        </w:rPr>
        <w:t>Energy inheritance limitation:</w:t>
      </w:r>
      <w:r>
        <w:t xml:space="preserve"> The initial energy of newly created electron-positron pairs from pair production is </w:t>
      </w:r>
      <m:oMath>
        <m:sSub>
          <m:sSubPr/>
          <m:e>
            <m:r>
              <m:rPr/>
              <m:t>γ</m:t>
            </m:r>
          </m:e>
          <m:sub>
            <m:r>
              <m:rPr>
                <m:sty m:val="p"/>
              </m:rPr>
              <m:t>pair</m:t>
            </m:r>
          </m:sub>
        </m:sSub>
        <m:r>
          <m:rPr>
            <m:sty m:val="p"/>
          </m:rPr>
          <m:t>≈</m:t>
        </m:r>
        <m:sSub>
          <m:sSubPr/>
          <m:e>
            <m:r>
              <m:rPr/>
              <m:t>ε</m:t>
            </m:r>
          </m:e>
          <m:sub>
            <m:r>
              <m:rPr/>
              <m:t>γ</m:t>
            </m:r>
          </m:sub>
        </m:sSub>
        <m:r>
          <m:rPr>
            <m:sty m:val="p"/>
          </m:rPr>
          <m:t>/(</m:t>
        </m:r>
        <m:r>
          <m:rPr/>
          <m:t>2</m:t>
        </m:r>
        <m:sSub>
          <m:sSubPr/>
          <m:e>
            <m:r>
              <m:rPr/>
              <m:t>m</m:t>
            </m:r>
          </m:e>
          <m:sub>
            <m:r>
              <m:rPr/>
              <m:t>e</m:t>
            </m:r>
          </m:sub>
        </m:sSub>
        <m:sSup>
          <m:sSupPr/>
          <m:e>
            <m:r>
              <m:rPr/>
              <m:t>c</m:t>
            </m:r>
          </m:e>
          <m:sup>
            <m:r>
              <m:rPr/>
              <m:t>2</m:t>
            </m:r>
          </m:sup>
        </m:sSup>
        <m:r>
          <m:rPr>
            <m:sty m:val="p"/>
          </m:rPr>
          <m:t>)</m:t>
        </m:r>
      </m:oMath>
      <w:r>
        <w:t>. Shock aging and magnetic field decay may lead to insufficient re-acceleration efficiency.</w:t>
      </w:r>
    </w:p>
    <w:p w14:paraId="71B3EE7C">
      <w:pPr>
        <w:pStyle w:val="26"/>
        <w:numPr>
          <w:ilvl w:val="0"/>
          <w:numId w:val="3"/>
        </w:numPr>
      </w:pPr>
      <w:r>
        <w:rPr>
          <w:b/>
          <w:bCs/>
        </w:rPr>
        <w:t>Self-absorption saturation limitation:</w:t>
      </w:r>
      <w:r>
        <w:t xml:space="preserve"> A high-energy cascade significantly increases the internal photon opacity of the source, leading to enhanced self-annihilation losses of high-energy gamma photons, forming an intrinsic cutoff.</w:t>
      </w:r>
    </w:p>
    <w:bookmarkEnd w:id="17"/>
    <w:bookmarkEnd w:id="20"/>
    <w:p w14:paraId="419FA3D1">
      <w:pPr>
        <w:pStyle w:val="6"/>
      </w:pPr>
      <w:bookmarkStart w:id="21" w:name="Xcafbdd07b1a7851d02f7a470f3f6f31abc64067"/>
      <w:r>
        <w:t>6 Quadruple Complete Physical Saturation System</w:t>
      </w:r>
    </w:p>
    <w:p w14:paraId="1A99CE4B">
      <w:pPr>
        <w:pStyle w:val="4"/>
      </w:pPr>
      <w:r>
        <w:t>Based on standard plasma and QED physical laws, four independent saturation criteria are established to uniquely determine the maximum observable photon energy of the GRB shock cascade:</w:t>
      </w:r>
    </w:p>
    <w:p w14:paraId="231E73D8">
      <w:pPr>
        <w:pStyle w:val="3"/>
      </w:pPr>
      <m:oMathPara>
        <m:oMathParaPr>
          <m:jc m:val="center"/>
        </m:oMathParaPr>
        <m:oMath>
          <m:sSubSup>
            <m:sSubSupPr/>
            <m:e>
              <m:r>
                <m:rPr/>
                <m:t>ε</m:t>
              </m:r>
            </m:e>
            <m:sub>
              <m:r>
                <m:rPr/>
                <m:t>γ</m:t>
              </m:r>
            </m:sub>
            <m:sup>
              <m:r>
                <m:rPr>
                  <m:sty m:val="p"/>
                </m:rPr>
                <m:t>sat</m:t>
              </m:r>
            </m:sup>
          </m:sSubSup>
          <m:r>
            <m:rPr>
              <m:sty m:val="p"/>
            </m:rPr>
            <m:t>=min</m:t>
          </m:r>
          <m:d>
            <m:dPr>
              <m:sepChr m:val=""/>
            </m:dPr>
            <m:e>
              <m:sSub>
                <m:sSubPr/>
                <m:e>
                  <m:r>
                    <m:rPr/>
                    <m:t>ε</m:t>
                  </m:r>
                </m:e>
                <m:sub>
                  <m:r>
                    <m:rPr>
                      <m:sty m:val="p"/>
                    </m:rPr>
                    <m:t>Bohm</m:t>
                  </m:r>
                </m:sub>
              </m:sSub>
              <m:r>
                <m:rPr>
                  <m:sty m:val="p"/>
                </m:rPr>
                <m:t>,</m:t>
              </m:r>
              <m:r>
                <m:rPr/>
                <m:t> </m:t>
              </m:r>
              <m:sSub>
                <m:sSubPr/>
                <m:e>
                  <m:r>
                    <m:rPr/>
                    <m:t>ε</m:t>
                  </m:r>
                </m:e>
                <m:sub>
                  <m:r>
                    <m:rPr>
                      <m:sty m:val="p"/>
                    </m:rPr>
                    <m:t>cool</m:t>
                  </m:r>
                </m:sub>
              </m:sSub>
              <m:r>
                <m:rPr>
                  <m:sty m:val="p"/>
                </m:rPr>
                <m:t>,</m:t>
              </m:r>
              <m:r>
                <m:rPr/>
                <m:t> </m:t>
              </m:r>
              <m:sSub>
                <m:sSubPr/>
                <m:e>
                  <m:r>
                    <m:rPr/>
                    <m:t>ε</m:t>
                  </m:r>
                </m:e>
                <m:sub>
                  <m:r>
                    <m:rPr>
                      <m:sty m:val="p"/>
                    </m:rPr>
                    <m:t>KN</m:t>
                  </m:r>
                </m:sub>
              </m:sSub>
              <m:r>
                <m:rPr>
                  <m:sty m:val="p"/>
                </m:rPr>
                <m:t>,</m:t>
              </m:r>
              <m:r>
                <m:rPr/>
                <m:t> </m:t>
              </m:r>
              <m:sSub>
                <m:sSubPr/>
                <m:e>
                  <m:r>
                    <m:rPr/>
                    <m:t>ε</m:t>
                  </m:r>
                </m:e>
                <m:sub>
                  <m:r>
                    <m:rPr/>
                    <m:t>B</m:t>
                  </m:r>
                  <m:r>
                    <m:rPr>
                      <m:sty m:val="p"/>
                    </m:rPr>
                    <m:t>,diss</m:t>
                  </m:r>
                </m:sub>
              </m:sSub>
            </m:e>
          </m:d>
        </m:oMath>
      </m:oMathPara>
    </w:p>
    <w:p w14:paraId="1A1AAA72">
      <w:pPr>
        <w:pStyle w:val="26"/>
        <w:numPr>
          <w:ilvl w:val="0"/>
          <w:numId w:val="4"/>
        </w:numPr>
      </w:pPr>
      <w:r>
        <w:rPr>
          <w:b/>
          <w:bCs/>
        </w:rPr>
        <w:t>Bohm dynamical saturation:</w:t>
      </w:r>
      <w:r>
        <w:t xml:space="preserve"> Limited by the shock size, magnetic field strength, and dynamical lifetime, the maximum Lorentz factor for electrons in an external shock is </w:t>
      </w:r>
      <m:oMath>
        <m:sSub>
          <m:sSubPr/>
          <m:e>
            <m:r>
              <m:rPr/>
              <m:t>γ</m:t>
            </m:r>
          </m:e>
          <m:sub>
            <m:r>
              <m:rPr>
                <m:sty m:val="p"/>
              </m:rPr>
              <m:t>max</m:t>
            </m:r>
          </m:sub>
        </m:sSub>
        <m:r>
          <m:rPr>
            <m:sty m:val="p"/>
          </m:rPr>
          <m:t>∼</m:t>
        </m:r>
        <m:sSup>
          <m:sSupPr/>
          <m:e>
            <m:r>
              <m:rPr/>
              <m:t>10</m:t>
            </m:r>
          </m:e>
          <m:sup>
            <m:r>
              <m:rPr/>
              <m:t>5</m:t>
            </m:r>
          </m:sup>
        </m:sSup>
        <m:r>
          <m:rPr>
            <m:sty m:val="p"/>
          </m:rPr>
          <m:t>−−</m:t>
        </m:r>
        <m:sSup>
          <m:sSupPr/>
          <m:e>
            <m:r>
              <m:rPr/>
              <m:t>10</m:t>
            </m:r>
          </m:e>
          <m:sup>
            <m:r>
              <m:rPr/>
              <m:t>6</m:t>
            </m:r>
          </m:sup>
        </m:sSup>
        <m:r>
          <m:rPr>
            <m:sty m:val="p"/>
          </m:rPr>
          <m:t>,</m:t>
        </m:r>
      </m:oMath>
      <w:r>
        <w:t xml:space="preserve"> corresponding to an upper bound of tens to hundreds of TeV for radiated photons.</w:t>
      </w:r>
    </w:p>
    <w:p w14:paraId="7F776B96">
      <w:pPr>
        <w:pStyle w:val="26"/>
        <w:numPr>
          <w:ilvl w:val="0"/>
          <w:numId w:val="4"/>
        </w:numPr>
      </w:pPr>
      <w:r>
        <w:rPr>
          <w:b/>
          <w:bCs/>
        </w:rPr>
        <w:t>Radiative cooling saturation:</w:t>
      </w:r>
      <w:r>
        <w:t xml:space="preserve"> The synchrotron timescale </w:t>
      </w:r>
      <m:oMath>
        <m:sSub>
          <m:sSubPr/>
          <m:e>
            <m:r>
              <m:rPr/>
              <m:t>t</m:t>
            </m:r>
          </m:e>
          <m:sub>
            <m:r>
              <m:rPr>
                <m:sty m:val="p"/>
              </m:rPr>
              <m:t>syn</m:t>
            </m:r>
          </m:sub>
        </m:sSub>
        <m:r>
          <m:rPr>
            <m:sty m:val="p"/>
          </m:rPr>
          <m:t>∝</m:t>
        </m:r>
        <m:r>
          <m:rPr/>
          <m:t>1</m:t>
        </m:r>
        <m:r>
          <m:rPr>
            <m:sty m:val="p"/>
          </m:rPr>
          <m:t>/(</m:t>
        </m:r>
        <m:r>
          <m:rPr/>
          <m:t>γ</m:t>
        </m:r>
        <m:sSup>
          <m:sSupPr/>
          <m:e>
            <m:r>
              <m:rPr/>
              <m:t>B</m:t>
            </m:r>
          </m:e>
          <m:sup>
            <m:r>
              <m:rPr/>
              <m:t>2</m:t>
            </m:r>
          </m:sup>
        </m:sSup>
        <m:r>
          <m:rPr>
            <m:sty m:val="p"/>
          </m:rPr>
          <m:t>)</m:t>
        </m:r>
      </m:oMath>
      <w:r>
        <w:t xml:space="preserve"> and the inverse Compton cooling timescale </w:t>
      </w:r>
      <m:oMath>
        <m:sSub>
          <m:sSubPr/>
          <m:e>
            <m:r>
              <m:rPr/>
              <m:t>t</m:t>
            </m:r>
          </m:e>
          <m:sub>
            <m:r>
              <m:rPr>
                <m:sty m:val="p"/>
              </m:rPr>
              <m:t>IC</m:t>
            </m:r>
          </m:sub>
        </m:sSub>
        <m:r>
          <m:rPr>
            <m:sty m:val="p"/>
          </m:rPr>
          <m:t>∝</m:t>
        </m:r>
        <m:r>
          <m:rPr/>
          <m:t>1</m:t>
        </m:r>
        <m:r>
          <m:rPr>
            <m:sty m:val="p"/>
          </m:rPr>
          <m:t>/(</m:t>
        </m:r>
        <m:r>
          <m:rPr/>
          <m:t>γ</m:t>
        </m:r>
        <m:sSub>
          <m:sSubPr/>
          <m:e>
            <m:r>
              <m:rPr/>
              <m:t>U</m:t>
            </m:r>
          </m:e>
          <m:sub>
            <m:r>
              <m:rPr>
                <m:sty m:val="p"/>
              </m:rPr>
              <m:t>rad</m:t>
            </m:r>
          </m:sub>
        </m:sSub>
        <m:r>
          <m:rPr>
            <m:sty m:val="p"/>
          </m:rPr>
          <m:t>)</m:t>
        </m:r>
      </m:oMath>
      <w:r>
        <w:t>. When the cooling timescale becomes shorter than the acceleration timescale, net energy gain ceases.</w:t>
      </w:r>
    </w:p>
    <w:p w14:paraId="64D4537A">
      <w:pPr>
        <w:pStyle w:val="26"/>
        <w:numPr>
          <w:ilvl w:val="0"/>
          <w:numId w:val="4"/>
        </w:numPr>
      </w:pPr>
      <w:r>
        <w:rPr>
          <w:b/>
          <w:bCs/>
        </w:rPr>
        <w:t>Klein-Nishina cross-section saturation:</w:t>
      </w:r>
      <w:r>
        <w:t xml:space="preserve"> At high energies, the scattering efficiency is suppressed, the radiative energy gain deviates from linear growth, and the cascade growth rate stagnates.</w:t>
      </w:r>
    </w:p>
    <w:p w14:paraId="4465AF71">
      <w:pPr>
        <w:pStyle w:val="26"/>
        <w:numPr>
          <w:ilvl w:val="0"/>
          <w:numId w:val="4"/>
        </w:numPr>
      </w:pPr>
      <w:r>
        <w:rPr>
          <w:b/>
          <w:bCs/>
        </w:rPr>
        <w:t>B-field topological dissipation saturation:</w:t>
      </w:r>
      <w:r>
        <w:t xml:space="preserve"> Shock turbulence decay and magnetic reconnection cause </w:t>
      </w:r>
      <m:oMath>
        <m:sSub>
          <m:sSubPr/>
          <m:e>
            <m:r>
              <m:rPr/>
              <m:t>N</m:t>
            </m:r>
          </m:e>
          <m:sub>
            <m:r>
              <m:rPr/>
              <m:t>B</m:t>
            </m:r>
          </m:sub>
        </m:sSub>
      </m:oMath>
      <w:r>
        <w:t xml:space="preserve"> to decrease, </w:t>
      </w:r>
      <m:oMath>
        <m:sSub>
          <m:sSubPr/>
          <m:e>
            <m:r>
              <m:rPr/>
              <m:t>W</m:t>
            </m:r>
          </m:e>
          <m:sub>
            <m:r>
              <m:rPr/>
              <m:t>B</m:t>
            </m:r>
          </m:sub>
        </m:sSub>
      </m:oMath>
      <w:r>
        <w:t xml:space="preserve"> rapidly decays below 0.3, the particle return capture probability approaches zero, and the cascade closed loop breaks.</w:t>
      </w:r>
    </w:p>
    <w:p w14:paraId="76BD8F9C">
      <w:pPr>
        <w:pStyle w:val="4"/>
      </w:pPr>
      <w:r>
        <w:t>These four saturations are independent of each other and constrain layer by layer, ensuring strict convergence of the model, with no divergence and no perpetual motion paradox.</w:t>
      </w:r>
    </w:p>
    <w:bookmarkEnd w:id="21"/>
    <w:p w14:paraId="6010C799">
      <w:pPr>
        <w:pStyle w:val="6"/>
      </w:pPr>
      <w:bookmarkStart w:id="22" w:name="Xd91cdadca80082c020d31ebfe530570ffe9152f"/>
      <w:r>
        <w:t>7 GRB 221009A Numerical Anchor Point and Anomaly Explanation</w:t>
      </w:r>
    </w:p>
    <w:p w14:paraId="1F0EDB38">
      <w:pPr>
        <w:pStyle w:val="4"/>
      </w:pPr>
      <w:r>
        <w:t>Using GRB 221009A (</w:t>
      </w:r>
      <m:oMath>
        <m:r>
          <m:rPr/>
          <m:t>z</m:t>
        </m:r>
        <m:r>
          <m:rPr>
            <m:sty m:val="p"/>
          </m:rPr>
          <m:t>=</m:t>
        </m:r>
        <m:r>
          <m:rPr/>
          <m:t>0.151</m:t>
        </m:r>
      </m:oMath>
      <w:r>
        <w:t xml:space="preserve">, luminosity distance </w:t>
      </w:r>
      <m:oMath>
        <m:r>
          <m:rPr>
            <m:sty m:val="p"/>
          </m:rPr>
          <m:t>∼</m:t>
        </m:r>
        <m:r>
          <m:rPr/>
          <m:t>2.4</m:t>
        </m:r>
      </m:oMath>
      <w:r>
        <w:t xml:space="preserve"> billion light-years) as the observational anchor point, parameters are taken from LHAASO official data and the Carpet-2 report.</w:t>
      </w:r>
    </w:p>
    <w:p w14:paraId="15C33864">
      <w:pPr>
        <w:pStyle w:val="7"/>
      </w:pPr>
      <w:bookmarkStart w:id="23" w:name="standard-tev-afterglow-fit-0.220-tev"/>
      <w:r>
        <w:t>7.1 Standard TeV Afterglow Fit (0.2–20 TeV)</w:t>
      </w:r>
    </w:p>
    <w:p w14:paraId="6DEDA7EA">
      <w:pPr>
        <w:pStyle w:val="4"/>
      </w:pPr>
      <w:r>
        <w:t xml:space="preserve">A relativistic external shock SSC+EC hybrid radiation model is adopted, with matching parameters: bulk jet Lorentz factor </w:t>
      </w:r>
      <m:oMath>
        <m:r>
          <m:rPr>
            <m:sty m:val="p"/>
          </m:rPr>
          <m:t>Γ=</m:t>
        </m:r>
        <m:r>
          <m:rPr/>
          <m:t>300</m:t>
        </m:r>
        <m:r>
          <m:rPr>
            <m:sty m:val="p"/>
          </m:rPr>
          <m:t>−−</m:t>
        </m:r>
        <m:r>
          <m:rPr/>
          <m:t>600</m:t>
        </m:r>
      </m:oMath>
      <w:r>
        <w:t xml:space="preserve">, shock magnetic field </w:t>
      </w:r>
      <m:oMath>
        <m:r>
          <m:rPr/>
          <m:t>B</m:t>
        </m:r>
        <m:r>
          <m:rPr>
            <m:sty m:val="p"/>
          </m:rPr>
          <m:t>=</m:t>
        </m:r>
        <m:r>
          <m:rPr/>
          <m:t>0.3</m:t>
        </m:r>
        <m:r>
          <m:rPr>
            <m:sty m:val="p"/>
          </m:rPr>
          <m:t>−−</m:t>
        </m:r>
        <m:r>
          <m:rPr/>
          <m:t>1 </m:t>
        </m:r>
        <m:r>
          <m:rPr>
            <m:sty m:val="p"/>
          </m:rPr>
          <m:t>G,</m:t>
        </m:r>
      </m:oMath>
      <w:r>
        <w:t xml:space="preserve"> dynamical timescale </w:t>
      </w:r>
      <m:oMath>
        <m:sSub>
          <m:sSubPr/>
          <m:e>
            <m:r>
              <m:rPr/>
              <m:t>t</m:t>
            </m:r>
          </m:e>
          <m:sub>
            <m:r>
              <m:rPr>
                <m:sty m:val="p"/>
              </m:rPr>
              <m:t>dyn</m:t>
            </m:r>
          </m:sub>
        </m:sSub>
        <m:r>
          <m:rPr>
            <m:sty m:val="p"/>
          </m:rPr>
          <m:t>∼</m:t>
        </m:r>
        <m:sSup>
          <m:sSupPr/>
          <m:e>
            <m:r>
              <m:rPr/>
              <m:t>10</m:t>
            </m:r>
          </m:e>
          <m:sup>
            <m:r>
              <m:rPr/>
              <m:t>3</m:t>
            </m:r>
          </m:sup>
        </m:sSup>
        <m:r>
          <m:rPr/>
          <m:t> </m:t>
        </m:r>
        <m:r>
          <m:rPr>
            <m:sty m:val="p"/>
          </m:rPr>
          <m:t>s,</m:t>
        </m:r>
      </m:oMath>
      <w:r>
        <w:t xml:space="preserve"> maximum electron Lorentz factor </w:t>
      </w:r>
      <m:oMath>
        <m:sSub>
          <m:sSubPr/>
          <m:e>
            <m:r>
              <m:rPr/>
              <m:t>γ</m:t>
            </m:r>
          </m:e>
          <m:sub>
            <m:r>
              <m:rPr/>
              <m:t>e</m:t>
            </m:r>
          </m:sub>
        </m:sSub>
        <m:r>
          <m:rPr>
            <m:sty m:val="p"/>
          </m:rPr>
          <m:t>=</m:t>
        </m:r>
        <m:sSup>
          <m:sSupPr/>
          <m:e>
            <m:r>
              <m:rPr/>
              <m:t>10</m:t>
            </m:r>
          </m:e>
          <m:sup>
            <m:r>
              <m:rPr/>
              <m:t>4</m:t>
            </m:r>
          </m:sup>
        </m:sSup>
        <m:r>
          <m:rPr>
            <m:sty m:val="p"/>
          </m:rPr>
          <m:t>−−</m:t>
        </m:r>
        <m:r>
          <m:rPr/>
          <m:t>6</m:t>
        </m:r>
        <m:r>
          <m:rPr>
            <m:sty m:val="p"/>
          </m:rPr>
          <m:t>×</m:t>
        </m:r>
        <m:sSup>
          <m:sSupPr/>
          <m:e>
            <m:r>
              <m:rPr/>
              <m:t>10</m:t>
            </m:r>
          </m:e>
          <m:sup>
            <m:r>
              <m:rPr/>
              <m:t>5</m:t>
            </m:r>
          </m:sup>
        </m:sSup>
        <m:r>
          <m:rPr>
            <m:sty m:val="p"/>
          </m:rPr>
          <m:t>.</m:t>
        </m:r>
      </m:oMath>
    </w:p>
    <w:p w14:paraId="71BD0DA1">
      <w:pPr>
        <w:pStyle w:val="3"/>
      </w:pPr>
      <w:r>
        <w:rPr>
          <w:b/>
          <w:bCs/>
        </w:rPr>
        <w:t>Fit Results:</w:t>
      </w:r>
    </w:p>
    <w:p w14:paraId="64EDD158">
      <w:pPr>
        <w:pStyle w:val="26"/>
        <w:numPr>
          <w:ilvl w:val="0"/>
          <w:numId w:val="5"/>
        </w:numPr>
      </w:pPr>
      <w:r>
        <w:t xml:space="preserve">The 0.2–7 TeV continuous afterglow is explained by the standard external shock synchrotron-inverse Compton mechanism, with fit </w:t>
      </w:r>
      <m:oMath>
        <m:sSup>
          <m:sSupPr/>
          <m:e>
            <m:r>
              <m:rPr/>
              <m:t>χ</m:t>
            </m:r>
          </m:e>
          <m:sup>
            <m:r>
              <m:rPr/>
              <m:t>2</m:t>
            </m:r>
          </m:sup>
        </m:sSup>
        <m:r>
          <m:rPr>
            <m:sty m:val="p"/>
          </m:rPr>
          <m:t>/d.o.f.=</m:t>
        </m:r>
        <m:r>
          <m:rPr/>
          <m:t>1.12</m:t>
        </m:r>
      </m:oMath>
      <w:r>
        <w:t xml:space="preserve"> (see Table 1).</w:t>
      </w:r>
    </w:p>
    <w:p w14:paraId="3ECDA9AB">
      <w:pPr>
        <w:pStyle w:val="26"/>
        <w:numPr>
          <w:ilvl w:val="0"/>
          <w:numId w:val="5"/>
        </w:numPr>
      </w:pPr>
      <w:r>
        <w:t xml:space="preserve">The 3–20 TeV high-energy sample is reproduced by a narrow jet with high Lorentz factor and low radiative cooling extreme particle component, covering 142 observed samples and the 18 TeV extreme event, with fit </w:t>
      </w:r>
      <m:oMath>
        <m:sSup>
          <m:sSupPr/>
          <m:e>
            <m:r>
              <m:rPr/>
              <m:t>χ</m:t>
            </m:r>
          </m:e>
          <m:sup>
            <m:r>
              <m:rPr/>
              <m:t>2</m:t>
            </m:r>
          </m:sup>
        </m:sSup>
        <m:r>
          <m:rPr>
            <m:sty m:val="p"/>
          </m:rPr>
          <m:t>/d.o.f.=</m:t>
        </m:r>
        <m:r>
          <m:rPr/>
          <m:t>1.31</m:t>
        </m:r>
        <m:r>
          <m:rPr>
            <m:sty m:val="p"/>
          </m:rPr>
          <m:t>.</m:t>
        </m:r>
      </m:oMath>
    </w:p>
    <w:p w14:paraId="6D1720E5">
      <w:pPr>
        <w:pStyle w:val="4"/>
      </w:pPr>
      <w:r>
        <w:rPr>
          <w:b/>
          <w:bCs/>
        </w:rPr>
        <w:t>Figure 1:</w:t>
      </w:r>
      <w:r>
        <w:t xml:space="preserve"> GRB 221009A 0.2–20 TeV spectral fit (wide jet component </w:t>
      </w:r>
      <m:oMath>
        <m:sSup>
          <m:sSupPr/>
          <m:e>
            <m:r>
              <m:rPr/>
              <m:t>χ</m:t>
            </m:r>
          </m:e>
          <m:sup>
            <m:r>
              <m:rPr/>
              <m:t>2</m:t>
            </m:r>
          </m:sup>
        </m:sSup>
        <m:r>
          <m:rPr>
            <m:sty m:val="p"/>
          </m:rPr>
          <m:t>/d.o.f.=</m:t>
        </m:r>
        <m:r>
          <m:rPr/>
          <m:t>1.12</m:t>
        </m:r>
        <m:r>
          <m:rPr>
            <m:sty m:val="p"/>
          </m:rPr>
          <m:t>,</m:t>
        </m:r>
      </m:oMath>
      <w:r>
        <w:t xml:space="preserve"> narrow core component </w:t>
      </w:r>
      <m:oMath>
        <m:sSup>
          <m:sSupPr/>
          <m:e>
            <m:r>
              <m:rPr/>
              <m:t>χ</m:t>
            </m:r>
          </m:e>
          <m:sup>
            <m:r>
              <m:rPr/>
              <m:t>2</m:t>
            </m:r>
          </m:sup>
        </m:sSup>
        <m:r>
          <m:rPr>
            <m:sty m:val="p"/>
          </m:rPr>
          <m:t>/d.o.f.=</m:t>
        </m:r>
        <m:r>
          <m:rPr/>
          <m:t>1.31</m:t>
        </m:r>
      </m:oMath>
      <w:r>
        <w:t xml:space="preserve">). Black circles: LHAASO-WCDA 0.2–7 TeV data points (with </w:t>
      </w:r>
      <m:oMath>
        <m:r>
          <m:rPr/>
          <m:t>1σ</m:t>
        </m:r>
      </m:oMath>
      <w:r>
        <w:t xml:space="preserve"> error bars); open squares: KM2A 3–20 TeV data points; red solid line: SSC+EC best fit; blue dashed line: SSC (wide jet) component; green dotted line: EC (narrow core) component; bottom subplot: normalized residual distribution. Data source: LHAASO public spectra digitized from Fig. 2 of [1].</w:t>
      </w:r>
    </w:p>
    <w:bookmarkEnd w:id="23"/>
    <w:p w14:paraId="5487809B">
      <w:pPr>
        <w:pStyle w:val="7"/>
      </w:pPr>
      <w:bookmarkStart w:id="24" w:name="tev-extreme-photon-anomaly-decomposition"/>
      <w:r>
        <w:t>7.2 251–300 TeV Extreme Photon Anomaly Decomposition</w:t>
      </w:r>
    </w:p>
    <w:p w14:paraId="1515994F">
      <w:pPr>
        <w:pStyle w:val="8"/>
      </w:pPr>
      <w:bookmarkStart w:id="25" w:name="Xd71f584c2301aaed8cdf1352f6826cadb7e00c5"/>
      <w:r>
        <w:t>7.2.1 Internal Generation Mechanisms (Pathway Investigation)</w:t>
      </w:r>
    </w:p>
    <w:p w14:paraId="4329A234">
      <w:pPr>
        <w:pStyle w:val="4"/>
      </w:pPr>
      <w:r>
        <w:t xml:space="preserve">To produce 250–300 TeV photons via inverse Compton scattering, the Thomson formula requires </w:t>
      </w:r>
      <m:oMath>
        <m:sSub>
          <m:sSubPr/>
          <m:e>
            <m:r>
              <m:rPr/>
              <m:t>γ</m:t>
            </m:r>
          </m:e>
          <m:sub>
            <m:r>
              <m:rPr/>
              <m:t>e</m:t>
            </m:r>
          </m:sub>
        </m:sSub>
        <m:r>
          <m:rPr>
            <m:sty m:val="p"/>
          </m:rPr>
          <m:t>∼</m:t>
        </m:r>
        <m:r>
          <m:rPr/>
          <m:t>6</m:t>
        </m:r>
        <m:r>
          <m:rPr>
            <m:sty m:val="p"/>
          </m:rPr>
          <m:t>×</m:t>
        </m:r>
        <m:sSup>
          <m:sSupPr/>
          <m:e>
            <m:r>
              <m:rPr/>
              <m:t>10</m:t>
            </m:r>
          </m:e>
          <m:sup>
            <m:r>
              <m:rPr/>
              <m:t>8</m:t>
            </m:r>
          </m:sup>
        </m:sSup>
      </m:oMath>
      <w:r>
        <w:t xml:space="preserve"> (CMB target field). However, this </w:t>
      </w:r>
      <m:oMath>
        <m:sSub>
          <m:sSubPr/>
          <m:e>
            <m:r>
              <m:rPr/>
              <m:t>γ</m:t>
            </m:r>
          </m:e>
          <m:sub>
            <m:r>
              <m:rPr/>
              <m:t>e</m:t>
            </m:r>
          </m:sub>
        </m:sSub>
      </m:oMath>
      <w:r>
        <w:t xml:space="preserve"> already falls into the Klein-Nishina regime </w:t>
      </w:r>
      <m:oMath>
        <m:r>
          <m:rPr>
            <m:sty m:val="p"/>
          </m:rPr>
          <m:t>(</m:t>
        </m:r>
        <m:sSub>
          <m:sSubPr/>
          <m:e>
            <m:r>
              <m:rPr/>
              <m:t>γ</m:t>
            </m:r>
          </m:e>
          <m:sub>
            <m:r>
              <m:rPr/>
              <m:t>e</m:t>
            </m:r>
          </m:sub>
        </m:sSub>
        <m:sSub>
          <m:sSubPr/>
          <m:e>
            <m:r>
              <m:rPr/>
              <m:t>ε</m:t>
            </m:r>
          </m:e>
          <m:sub>
            <m:r>
              <m:rPr>
                <m:sty m:val="p"/>
              </m:rPr>
              <m:t>CMB</m:t>
            </m:r>
          </m:sub>
        </m:sSub>
        <m:r>
          <m:rPr>
            <m:sty m:val="p"/>
          </m:rPr>
          <m:t>∼</m:t>
        </m:r>
        <m:r>
          <m:rPr/>
          <m:t>360 </m:t>
        </m:r>
        <m:r>
          <m:rPr>
            <m:sty m:val="p"/>
          </m:rPr>
          <m:t>eV),</m:t>
        </m:r>
      </m:oMath>
      <w:r>
        <w:t xml:space="preserve"> where the scattering cross-section is severely suppressed.</w:t>
      </w:r>
    </w:p>
    <w:p w14:paraId="6EFFF563">
      <w:pPr>
        <w:pStyle w:val="3"/>
      </w:pPr>
      <w:r>
        <w:t xml:space="preserve">To verify whether the target energy band photons can be generated under the given parameters, we estimate the KN correction factor </w:t>
      </w:r>
      <m:oMath>
        <m:sSub>
          <m:sSubPr/>
          <m:e>
            <m:r>
              <m:rPr>
                <m:sty m:val="p"/>
                <m:scr m:val="script"/>
              </m:rPr>
              <m:t>ℱ</m:t>
            </m:r>
          </m:e>
          <m:sub>
            <m:r>
              <m:rPr>
                <m:sty m:val="p"/>
              </m:rPr>
              <m:t>KN</m:t>
            </m:r>
          </m:sub>
        </m:sSub>
        <m:r>
          <m:rPr>
            <m:sty m:val="p"/>
          </m:rPr>
          <m:t>(</m:t>
        </m:r>
        <m:sSub>
          <m:sSubPr/>
          <m:e>
            <m:r>
              <m:rPr/>
              <m:t>γ</m:t>
            </m:r>
          </m:e>
          <m:sub>
            <m:r>
              <m:rPr/>
              <m:t>e</m:t>
            </m:r>
          </m:sub>
        </m:sSub>
        <m:r>
          <m:rPr>
            <m:sty m:val="p"/>
          </m:rPr>
          <m:t>,</m:t>
        </m:r>
        <m:sSub>
          <m:sSubPr/>
          <m:e>
            <m:r>
              <m:rPr/>
              <m:t>ε</m:t>
            </m:r>
          </m:e>
          <m:sub>
            <m:r>
              <m:rPr>
                <m:sty m:val="p"/>
              </m:rPr>
              <m:t>bg</m:t>
            </m:r>
          </m:sub>
        </m:sSub>
        <m:r>
          <m:rPr>
            <m:sty m:val="p"/>
          </m:rPr>
          <m:t>)∈[</m:t>
        </m:r>
        <m:r>
          <m:rPr/>
          <m:t>0</m:t>
        </m:r>
        <m:r>
          <m:rPr>
            <m:sty m:val="p"/>
          </m:rPr>
          <m:t>,</m:t>
        </m:r>
        <m:r>
          <m:rPr/>
          <m:t>1</m:t>
        </m:r>
        <m:r>
          <m:rPr>
            <m:sty m:val="p"/>
          </m:rPr>
          <m:t>]</m:t>
        </m:r>
      </m:oMath>
      <w:r>
        <w:t xml:space="preserve"> for each of the four internal generation pathways. The results are as follows:</w:t>
      </w:r>
    </w:p>
    <w:p w14:paraId="70E6E916">
      <w:pPr>
        <w:pStyle w:val="26"/>
        <w:numPr>
          <w:ilvl w:val="0"/>
          <w:numId w:val="1"/>
        </w:numPr>
      </w:pPr>
      <w:r>
        <w:t xml:space="preserve">① </w:t>
      </w:r>
      <w:r>
        <w:rPr>
          <w:b/>
          <w:bCs/>
        </w:rPr>
        <w:t>Pathway ①:</w:t>
      </w:r>
      <w:r>
        <w:t xml:space="preserve"> CMB target field, </w:t>
      </w:r>
      <m:oMath>
        <m:sSub>
          <m:sSubPr/>
          <m:e>
            <m:r>
              <m:rPr/>
              <m:t>γ</m:t>
            </m:r>
          </m:e>
          <m:sub>
            <m:r>
              <m:rPr/>
              <m:t>e</m:t>
            </m:r>
          </m:sub>
        </m:sSub>
        <m:r>
          <m:rPr>
            <m:sty m:val="p"/>
          </m:rPr>
          <m:t>=</m:t>
        </m:r>
        <m:r>
          <m:rPr/>
          <m:t>4.4</m:t>
        </m:r>
        <m:r>
          <m:rPr>
            <m:sty m:val="p"/>
          </m:rPr>
          <m:t>×</m:t>
        </m:r>
        <m:sSup>
          <m:sSupPr/>
          <m:e>
            <m:r>
              <m:rPr/>
              <m:t>10</m:t>
            </m:r>
          </m:e>
          <m:sup>
            <m:r>
              <m:rPr/>
              <m:t>5</m:t>
            </m:r>
          </m:sup>
        </m:sSup>
      </m:oMath>
      <w:r>
        <w:t xml:space="preserve">: </w:t>
      </w:r>
      <m:oMath>
        <m:sSub>
          <m:sSubPr/>
          <m:e>
            <m:r>
              <m:rPr>
                <m:sty m:val="p"/>
                <m:scr m:val="script"/>
              </m:rPr>
              <m:t>ℱ</m:t>
            </m:r>
          </m:e>
          <m:sub>
            <m:r>
              <m:rPr>
                <m:sty m:val="p"/>
              </m:rPr>
              <m:t>KN</m:t>
            </m:r>
          </m:sub>
        </m:sSub>
        <m:r>
          <m:rPr>
            <m:sty m:val="p"/>
          </m:rPr>
          <m:t>∼</m:t>
        </m:r>
        <m:r>
          <m:rPr/>
          <m:t>0.02</m:t>
        </m:r>
        <m:r>
          <m:rPr>
            <m:sty m:val="p"/>
          </m:rPr>
          <m:t>,</m:t>
        </m:r>
      </m:oMath>
      <w:r>
        <w:t xml:space="preserve"> the effective radiation energy is only about 2% of the Thomson estimate, insufficient to produce 250–300 TeV.</w:t>
      </w:r>
    </w:p>
    <w:p w14:paraId="0A3EC83D">
      <w:pPr>
        <w:pStyle w:val="26"/>
        <w:numPr>
          <w:ilvl w:val="0"/>
          <w:numId w:val="1"/>
        </w:numPr>
      </w:pPr>
      <w:r>
        <w:t xml:space="preserve">② </w:t>
      </w:r>
      <w:r>
        <w:rPr>
          <w:b/>
          <w:bCs/>
        </w:rPr>
        <w:t>Pathway ②:</w:t>
      </w:r>
      <w:r>
        <w:t xml:space="preserve"> Internal synchrotron photon target </w:t>
      </w:r>
      <m:oMath>
        <m:r>
          <m:rPr>
            <m:sty m:val="p"/>
          </m:rPr>
          <m:t>(</m:t>
        </m:r>
        <m:sSub>
          <m:sSubPr/>
          <m:e>
            <m:r>
              <m:rPr/>
              <m:t>ε</m:t>
            </m:r>
          </m:e>
          <m:sub>
            <m:r>
              <m:rPr>
                <m:sty m:val="p"/>
              </m:rPr>
              <m:t>sync</m:t>
            </m:r>
          </m:sub>
        </m:sSub>
        <m:r>
          <m:rPr>
            <m:sty m:val="p"/>
          </m:rPr>
          <m:t>∼</m:t>
        </m:r>
        <m:r>
          <m:rPr/>
          <m:t>1</m:t>
        </m:r>
        <m:r>
          <m:rPr>
            <m:sty m:val="p"/>
          </m:rPr>
          <m:t>−−</m:t>
        </m:r>
        <m:r>
          <m:rPr/>
          <m:t>10 </m:t>
        </m:r>
        <m:r>
          <m:rPr>
            <m:sty m:val="p"/>
          </m:rPr>
          <m:t>keV),</m:t>
        </m:r>
        <m:sSub>
          <m:sSubPr/>
          <m:e>
            <m:r>
              <m:rPr/>
              <m:t>γ</m:t>
            </m:r>
          </m:e>
          <m:sub>
            <m:r>
              <m:rPr/>
              <m:t>e</m:t>
            </m:r>
          </m:sub>
        </m:sSub>
        <m:r>
          <m:rPr>
            <m:sty m:val="p"/>
          </m:rPr>
          <m:t>=</m:t>
        </m:r>
        <m:r>
          <m:rPr/>
          <m:t>4.4</m:t>
        </m:r>
        <m:r>
          <m:rPr>
            <m:sty m:val="p"/>
          </m:rPr>
          <m:t>×</m:t>
        </m:r>
        <m:sSup>
          <m:sSupPr/>
          <m:e>
            <m:r>
              <m:rPr/>
              <m:t>10</m:t>
            </m:r>
          </m:e>
          <m:sup>
            <m:r>
              <m:rPr/>
              <m:t>5</m:t>
            </m:r>
          </m:sup>
        </m:sSup>
      </m:oMath>
      <w:r>
        <w:t xml:space="preserve">: </w:t>
      </w:r>
      <m:oMath>
        <m:sSub>
          <m:sSubPr/>
          <m:e>
            <m:r>
              <m:rPr/>
              <m:t>γ</m:t>
            </m:r>
          </m:e>
          <m:sub>
            <m:r>
              <m:rPr/>
              <m:t>e</m:t>
            </m:r>
          </m:sub>
        </m:sSub>
        <m:sSub>
          <m:sSubPr/>
          <m:e>
            <m:r>
              <m:rPr/>
              <m:t>ε</m:t>
            </m:r>
          </m:e>
          <m:sub>
            <m:r>
              <m:rPr>
                <m:sty m:val="p"/>
              </m:rPr>
              <m:t>sync</m:t>
            </m:r>
          </m:sub>
        </m:sSub>
        <m:r>
          <m:rPr>
            <m:sty m:val="p"/>
          </m:rPr>
          <m:t>∼</m:t>
        </m:r>
        <m:r>
          <m:rPr/>
          <m:t>440 </m:t>
        </m:r>
        <m:r>
          <m:rPr>
            <m:sty m:val="p"/>
          </m:rPr>
          <m:t>MeV∼</m:t>
        </m:r>
        <m:r>
          <m:rPr/>
          <m:t>860 </m:t>
        </m:r>
        <m:sSub>
          <m:sSubPr/>
          <m:e>
            <m:r>
              <m:rPr/>
              <m:t>m</m:t>
            </m:r>
          </m:e>
          <m:sub>
            <m:r>
              <m:rPr/>
              <m:t>e</m:t>
            </m:r>
          </m:sub>
        </m:sSub>
        <m:sSup>
          <m:sSupPr/>
          <m:e>
            <m:r>
              <m:rPr/>
              <m:t>c</m:t>
            </m:r>
          </m:e>
          <m:sup>
            <m:r>
              <m:rPr/>
              <m:t>2</m:t>
            </m:r>
          </m:sup>
        </m:sSup>
        <m:r>
          <m:rPr>
            <m:sty m:val="p"/>
          </m:rPr>
          <m:t>,</m:t>
        </m:r>
      </m:oMath>
      <w:r>
        <w:t xml:space="preserve"> still in the KN regime, efficiency limited.</w:t>
      </w:r>
    </w:p>
    <w:p w14:paraId="1394C950">
      <w:pPr>
        <w:pStyle w:val="26"/>
        <w:numPr>
          <w:ilvl w:val="0"/>
          <w:numId w:val="1"/>
        </w:numPr>
      </w:pPr>
      <w:r>
        <w:t xml:space="preserve">③ </w:t>
      </w:r>
      <w:r>
        <w:rPr>
          <w:b/>
          <w:bCs/>
        </w:rPr>
        <w:t>Pathway ③:</w:t>
      </w:r>
      <w:r>
        <w:t xml:space="preserve"> High-energy synchrotron target </w:t>
      </w:r>
      <m:oMath>
        <m:r>
          <m:rPr>
            <m:sty m:val="p"/>
          </m:rPr>
          <m:t>(</m:t>
        </m:r>
        <m:sSub>
          <m:sSubPr/>
          <m:e>
            <m:r>
              <m:rPr/>
              <m:t>ε</m:t>
            </m:r>
          </m:e>
          <m:sub>
            <m:r>
              <m:rPr>
                <m:sty m:val="p"/>
              </m:rPr>
              <m:t>sync</m:t>
            </m:r>
          </m:sub>
        </m:sSub>
        <m:r>
          <m:rPr>
            <m:sty m:val="p"/>
          </m:rPr>
          <m:t>∼</m:t>
        </m:r>
        <m:r>
          <m:rPr/>
          <m:t>100 </m:t>
        </m:r>
        <m:r>
          <m:rPr>
            <m:sty m:val="p"/>
          </m:rPr>
          <m:t>keV),</m:t>
        </m:r>
        <m:sSub>
          <m:sSubPr/>
          <m:e>
            <m:r>
              <m:rPr/>
              <m:t>γ</m:t>
            </m:r>
          </m:e>
          <m:sub>
            <m:r>
              <m:rPr/>
              <m:t>e</m:t>
            </m:r>
          </m:sub>
        </m:sSub>
        <m:r>
          <m:rPr>
            <m:sty m:val="p"/>
          </m:rPr>
          <m:t>=</m:t>
        </m:r>
        <m:r>
          <m:rPr/>
          <m:t>4.4</m:t>
        </m:r>
        <m:r>
          <m:rPr>
            <m:sty m:val="p"/>
          </m:rPr>
          <m:t>×</m:t>
        </m:r>
        <m:sSup>
          <m:sSupPr/>
          <m:e>
            <m:r>
              <m:rPr/>
              <m:t>10</m:t>
            </m:r>
          </m:e>
          <m:sup>
            <m:r>
              <m:rPr/>
              <m:t>5</m:t>
            </m:r>
          </m:sup>
        </m:sSup>
      </m:oMath>
      <w:r>
        <w:t xml:space="preserve">: </w:t>
      </w:r>
      <m:oMath>
        <m:sSub>
          <m:sSubPr/>
          <m:e>
            <m:r>
              <m:rPr/>
              <m:t>γ</m:t>
            </m:r>
          </m:e>
          <m:sub>
            <m:r>
              <m:rPr/>
              <m:t>e</m:t>
            </m:r>
          </m:sub>
        </m:sSub>
        <m:sSub>
          <m:sSubPr/>
          <m:e>
            <m:r>
              <m:rPr/>
              <m:t>ε</m:t>
            </m:r>
          </m:e>
          <m:sub>
            <m:r>
              <m:rPr>
                <m:sty m:val="p"/>
              </m:rPr>
              <m:t>sync</m:t>
            </m:r>
          </m:sub>
        </m:sSub>
        <m:r>
          <m:rPr>
            <m:sty m:val="p"/>
          </m:rPr>
          <m:t>∼</m:t>
        </m:r>
        <m:r>
          <m:rPr/>
          <m:t>44 </m:t>
        </m:r>
        <m:r>
          <m:rPr>
            <m:sty m:val="p"/>
          </m:rPr>
          <m:t>GeV,</m:t>
        </m:r>
      </m:oMath>
      <w:r>
        <w:t xml:space="preserve"> still in the KN regime, efficiency limited.</w:t>
      </w:r>
    </w:p>
    <w:p w14:paraId="7203B5C3">
      <w:pPr>
        <w:pStyle w:val="26"/>
        <w:numPr>
          <w:ilvl w:val="0"/>
          <w:numId w:val="1"/>
        </w:numPr>
      </w:pPr>
      <w:r>
        <w:t xml:space="preserve">④ </w:t>
      </w:r>
      <w:r>
        <w:rPr>
          <w:b/>
          <w:bCs/>
        </w:rPr>
        <w:t>Pathway ④:</w:t>
      </w:r>
      <w:r>
        <w:t xml:space="preserve"> Hadronic cascade channel (</w:t>
      </w:r>
      <m:oMath>
        <m:r>
          <m:rPr/>
          <m:t>pγ</m:t>
        </m:r>
        <m:r>
          <m:rPr>
            <m:sty m:val="p"/>
          </m:rPr>
          <m:t>→</m:t>
        </m:r>
        <m:sSup>
          <m:sSupPr/>
          <m:e>
            <m:r>
              <m:rPr/>
              <m:t>π</m:t>
            </m:r>
          </m:e>
          <m:sup>
            <m:r>
              <m:rPr/>
              <m:t>0</m:t>
            </m:r>
          </m:sup>
        </m:sSup>
        <m:r>
          <m:rPr>
            <m:sty m:val="p"/>
          </m:rPr>
          <m:t>→</m:t>
        </m:r>
        <m:r>
          <m:rPr/>
          <m:t>γγ</m:t>
        </m:r>
      </m:oMath>
      <w:r>
        <w:t>): can bypass the electron KN suppression problem, but requires a significant high-energy proton component within the source and sufficient optical depth.</w:t>
      </w:r>
    </w:p>
    <w:p w14:paraId="04511045">
      <w:pPr>
        <w:pStyle w:val="4"/>
      </w:pPr>
      <w:r>
        <w:rPr>
          <w:b/>
          <w:bCs/>
        </w:rPr>
        <w:t>Conclusion:</w:t>
      </w:r>
      <w:r>
        <w:t xml:space="preserve"> Under the parameters given in this paper, pure electron SSC/EC pathways are insufficient to produce 250–300 TeV photons. The internal generation mechanism for 250–300 TeV remains an open question, requiring either a higher Lorentz factor component or a hadronic cascade channel as a supplement. This is an honest self-limitation of this paper and does not constitute a denial of the observational facts.</w:t>
      </w:r>
    </w:p>
    <w:p w14:paraId="192A3ABB">
      <w:pPr>
        <w:pStyle w:val="3"/>
      </w:pPr>
      <w:r>
        <w:rPr>
          <w:b/>
          <w:bCs/>
        </w:rPr>
        <w:t>Figure 3:</w:t>
      </w:r>
      <w:r>
        <w:t xml:space="preserve"> Parameter space scan for internal 250–300 TeV generation and temporal evolution of </w:t>
      </w:r>
      <m:oMath>
        <m:sSub>
          <m:sSubPr/>
          <m:e>
            <m:r>
              <m:rPr/>
              <m:t>W</m:t>
            </m:r>
          </m:e>
          <m:sub>
            <m:r>
              <m:rPr/>
              <m:t>B</m:t>
            </m:r>
          </m:sub>
        </m:sSub>
      </m:oMath>
      <w:r>
        <w:t xml:space="preserve">. (a) Left: Inverse Compton iso-energy contours (Thomson regime) for different target photon energies. Red: CMB target (requires </w:t>
      </w:r>
      <m:oMath>
        <m:sSub>
          <m:sSubPr/>
          <m:e>
            <m:r>
              <m:rPr/>
              <m:t>γ</m:t>
            </m:r>
          </m:e>
          <m:sub>
            <m:r>
              <m:rPr/>
              <m:t>e</m:t>
            </m:r>
          </m:sub>
        </m:sSub>
        <m:r>
          <m:rPr>
            <m:sty m:val="p"/>
          </m:rPr>
          <m:t>∼</m:t>
        </m:r>
        <m:r>
          <m:rPr/>
          <m:t>6.1</m:t>
        </m:r>
        <m:r>
          <m:rPr>
            <m:sty m:val="p"/>
          </m:rPr>
          <m:t>×</m:t>
        </m:r>
        <m:sSup>
          <m:sSupPr/>
          <m:e>
            <m:r>
              <m:rPr/>
              <m:t>10</m:t>
            </m:r>
          </m:e>
          <m:sup>
            <m:r>
              <m:rPr/>
              <m:t>8</m:t>
            </m:r>
          </m:sup>
        </m:sSup>
        <m:r>
          <m:rPr>
            <m:sty m:val="p"/>
          </m:rPr>
          <m:t>,</m:t>
        </m:r>
      </m:oMath>
      <w:r>
        <w:t xml:space="preserve"> deep KN regime); orange: 1 keV SSC target </w:t>
      </w:r>
      <m:oMath>
        <m:r>
          <m:rPr>
            <m:sty m:val="p"/>
          </m:rPr>
          <m:t>(</m:t>
        </m:r>
        <m:sSub>
          <m:sSubPr/>
          <m:e>
            <m:r>
              <m:rPr/>
              <m:t>γ</m:t>
            </m:r>
          </m:e>
          <m:sub>
            <m:r>
              <m:rPr/>
              <m:t>e</m:t>
            </m:r>
          </m:sub>
        </m:sSub>
        <m:r>
          <m:rPr>
            <m:sty m:val="p"/>
          </m:rPr>
          <m:t>∼</m:t>
        </m:r>
        <m:r>
          <m:rPr/>
          <m:t>7.5</m:t>
        </m:r>
        <m:r>
          <m:rPr>
            <m:sty m:val="p"/>
          </m:rPr>
          <m:t>×</m:t>
        </m:r>
        <m:sSup>
          <m:sSupPr/>
          <m:e>
            <m:r>
              <m:rPr/>
              <m:t>10</m:t>
            </m:r>
          </m:e>
          <m:sup>
            <m:r>
              <m:rPr/>
              <m:t>5</m:t>
            </m:r>
          </m:sup>
        </m:sSup>
        <m:r>
          <m:rPr>
            <m:sty m:val="p"/>
          </m:rPr>
          <m:t>)</m:t>
        </m:r>
      </m:oMath>
      <w:r>
        <w:t xml:space="preserve">; green: 100 keV SSC target </w:t>
      </w:r>
      <m:oMath>
        <m:r>
          <m:rPr>
            <m:sty m:val="p"/>
          </m:rPr>
          <m:t>(</m:t>
        </m:r>
        <m:sSub>
          <m:sSubPr/>
          <m:e>
            <m:r>
              <m:rPr/>
              <m:t>γ</m:t>
            </m:r>
          </m:e>
          <m:sub>
            <m:r>
              <m:rPr/>
              <m:t>e</m:t>
            </m:r>
          </m:sub>
        </m:sSub>
        <m:r>
          <m:rPr>
            <m:sty m:val="p"/>
          </m:rPr>
          <m:t>∼</m:t>
        </m:r>
        <m:r>
          <m:rPr/>
          <m:t>7.5</m:t>
        </m:r>
        <m:r>
          <m:rPr>
            <m:sty m:val="p"/>
          </m:rPr>
          <m:t>×</m:t>
        </m:r>
        <m:sSup>
          <m:sSupPr/>
          <m:e>
            <m:r>
              <m:rPr/>
              <m:t>10</m:t>
            </m:r>
          </m:e>
          <m:sup>
            <m:r>
              <m:rPr/>
              <m:t>4</m:t>
            </m:r>
          </m:sup>
        </m:sSup>
        <m:r>
          <m:rPr>
            <m:sty m:val="p"/>
          </m:rPr>
          <m:t>)</m:t>
        </m:r>
      </m:oMath>
      <w:r>
        <w:t xml:space="preserve">; the green narrow band indicates a feasible narrow channel reaching 300 TeV. (b) Right: Temporal evolution of </w:t>
      </w:r>
      <m:oMath>
        <m:sSub>
          <m:sSubPr/>
          <m:e>
            <m:r>
              <m:rPr/>
              <m:t>W</m:t>
            </m:r>
          </m:e>
          <m:sub>
            <m:r>
              <m:rPr/>
              <m:t>B</m:t>
            </m:r>
          </m:sub>
        </m:sSub>
        <m:r>
          <m:rPr>
            <m:sty m:val="p"/>
          </m:rPr>
          <m:t>(</m:t>
        </m:r>
        <m:r>
          <m:rPr/>
          <m:t>t</m:t>
        </m:r>
        <m:r>
          <m:rPr>
            <m:sty m:val="p"/>
          </m:rPr>
          <m:t>)</m:t>
        </m:r>
      </m:oMath>
      <w:r>
        <w:t xml:space="preserve"> (blue solid line) and saturation threshold </w:t>
      </w:r>
      <m:oMath>
        <m:sSub>
          <m:sSubPr/>
          <m:e>
            <m:r>
              <m:rPr/>
              <m:t>W</m:t>
            </m:r>
          </m:e>
          <m:sub>
            <m:r>
              <m:rPr/>
              <m:t>B</m:t>
            </m:r>
          </m:sub>
        </m:sSub>
        <m:r>
          <m:rPr>
            <m:sty m:val="p"/>
          </m:rPr>
          <m:t>=</m:t>
        </m:r>
        <m:r>
          <m:rPr/>
          <m:t>0.3</m:t>
        </m:r>
      </m:oMath>
      <w:r>
        <w:t xml:space="preserve"> (red dashed line); yellow region: active acceleration zone; once </w:t>
      </w:r>
      <m:oMath>
        <m:sSub>
          <m:sSubPr/>
          <m:e>
            <m:r>
              <m:rPr/>
              <m:t>W</m:t>
            </m:r>
          </m:e>
          <m:sub>
            <m:r>
              <m:rPr/>
              <m:t>B</m:t>
            </m:r>
          </m:sub>
        </m:sSub>
      </m:oMath>
      <w:r>
        <w:t xml:space="preserve"> drops below the threshold, the cascade breaks.</w:t>
      </w:r>
    </w:p>
    <w:bookmarkEnd w:id="25"/>
    <w:p w14:paraId="056847D7">
      <w:pPr>
        <w:pStyle w:val="8"/>
      </w:pPr>
      <w:bookmarkStart w:id="26" w:name="X1b5d28e5ea958e30767434c2e6afbe50b376fcc"/>
      <w:r>
        <w:t>7.2.2 Intergalactic Propagation Paradox and Correction Schemes</w:t>
      </w:r>
    </w:p>
    <w:p w14:paraId="53368DF4">
      <w:pPr>
        <w:pStyle w:val="4"/>
      </w:pPr>
      <w:r>
        <w:t>Under the standard EBL model, hundred-TeV photons can hardly propagate. This paper provides three pathways at the propagation level, clearly specifying the primary scheme and exclusive markers:</w:t>
      </w:r>
    </w:p>
    <w:p w14:paraId="6565BA12">
      <w:pPr>
        <w:pStyle w:val="26"/>
        <w:numPr>
          <w:ilvl w:val="0"/>
          <w:numId w:val="1"/>
        </w:numPr>
      </w:pPr>
      <w:r>
        <w:rPr>
          <w:b/>
          <w:bCs/>
        </w:rPr>
        <w:t>Primary Scheme – ALP Oscillation:</w:t>
      </w:r>
      <w:r>
        <w:t xml:space="preserve"> High-energy gamma rays undergo </w:t>
      </w:r>
      <m:oMath>
        <m:r>
          <m:rPr/>
          <m:t>γ</m:t>
        </m:r>
        <m:r>
          <m:rPr>
            <m:sty m:val="p"/>
          </m:rPr>
          <m:t>↔</m:t>
        </m:r>
        <m:r>
          <m:rPr/>
          <m:t>a</m:t>
        </m:r>
      </m:oMath>
      <w:r>
        <w:t xml:space="preserve"> oscillations in the intergalactic magnetic field; some photons convert into ALPs (which are not absorbed by the EBL), then oscillate back into photons upon entering the Milky Way, circumventing EBL/CMB annihilation absorption. Exclusive marker: the event rate exhibits periodic oscillations with the line-of-sight magnetic field strength, with oscillation period </w:t>
      </w:r>
      <m:oMath>
        <m:r>
          <m:rPr>
            <m:sty m:val="p"/>
          </m:rPr>
          <m:t>Δ</m:t>
        </m:r>
        <m:r>
          <m:rPr/>
          <m:t>E</m:t>
        </m:r>
        <m:r>
          <m:rPr>
            <m:sty m:val="p"/>
          </m:rPr>
          <m:t>∼</m:t>
        </m:r>
        <m:sSubSup>
          <m:sSubSupPr/>
          <m:e>
            <m:r>
              <m:rPr/>
              <m:t>m</m:t>
            </m:r>
          </m:e>
          <m:sub>
            <m:r>
              <m:rPr/>
              <m:t>a</m:t>
            </m:r>
          </m:sub>
          <m:sup>
            <m:r>
              <m:rPr/>
              <m:t>2</m:t>
            </m:r>
          </m:sup>
        </m:sSubSup>
        <m:r>
          <m:rPr>
            <m:sty m:val="p"/>
          </m:rPr>
          <m:t>/(</m:t>
        </m:r>
        <m:r>
          <m:rPr/>
          <m:t>2</m:t>
        </m:r>
        <m:sSub>
          <m:sSubPr/>
          <m:e>
            <m:r>
              <m:rPr/>
              <m:t>g</m:t>
            </m:r>
          </m:e>
          <m:sub>
            <m:r>
              <m:rPr/>
              <m:t>aγ</m:t>
            </m:r>
          </m:sub>
        </m:sSub>
        <m:sSub>
          <m:sSubPr/>
          <m:e>
            <m:r>
              <m:rPr/>
              <m:t>B</m:t>
            </m:r>
          </m:e>
          <m:sub>
            <m:r>
              <m:rPr>
                <m:sty m:val="p"/>
              </m:rPr>
              <m:t>⟂</m:t>
            </m:r>
          </m:sub>
        </m:sSub>
        <m:r>
          <m:rPr>
            <m:sty m:val="p"/>
          </m:rPr>
          <m:t>)</m:t>
        </m:r>
      </m:oMath>
      <w:r>
        <w:t>, testable via statistical analysis of GRB samples along different lines of sight; absence of such oscillations would rule out this scheme.</w:t>
      </w:r>
    </w:p>
    <w:p w14:paraId="5CA2FCB3">
      <w:pPr>
        <w:pStyle w:val="26"/>
        <w:numPr>
          <w:ilvl w:val="0"/>
          <w:numId w:val="1"/>
        </w:numPr>
      </w:pPr>
      <w:r>
        <w:rPr>
          <w:b/>
          <w:bCs/>
        </w:rPr>
        <w:t>Alternative 1 – Near-Source Low-Opacity Channel:</w:t>
      </w:r>
      <w:r>
        <w:t xml:space="preserve"> Extremely high-energy photons are produced during the early low-optical-depth phase of the shock, with the EBL density along the line of sight being lower than the cosmic average. Exclusive marker: this scheme predicts a smoothly decaying spectrum with no oscillatory structure and does not require new particles; if oscillatory structures are observed, this scheme can be ruled out.</w:t>
      </w:r>
    </w:p>
    <w:p w14:paraId="072E65B0">
      <w:pPr>
        <w:pStyle w:val="26"/>
        <w:numPr>
          <w:ilvl w:val="0"/>
          <w:numId w:val="1"/>
        </w:numPr>
      </w:pPr>
      <w:r>
        <w:rPr>
          <w:b/>
          <w:bCs/>
        </w:rPr>
        <w:t>Alternative 2 – Lorentz Invariance Violation (LIV):</w:t>
      </w:r>
      <w:r>
        <w:t xml:space="preserve"> Modifies the two-photon annihilation threshold for high-energy photons, reducing the cosmic opacity. Exclusive marker: predicts energy-dependent propagation time delays and energy-distance corrections, testable via multi-messenger timing; if no time delay is observed, this scheme can be ruled out.</w:t>
      </w:r>
    </w:p>
    <w:p w14:paraId="44DB5FC0">
      <w:pPr>
        <w:pStyle w:val="4"/>
      </w:pPr>
      <w:r>
        <w:t>These three pathways are independently falsifiable, avoiding a “universal explanation.”</w:t>
      </w:r>
    </w:p>
    <w:bookmarkEnd w:id="24"/>
    <w:bookmarkEnd w:id="26"/>
    <w:p w14:paraId="77FFEA82">
      <w:pPr>
        <w:pStyle w:val="7"/>
      </w:pPr>
      <w:bookmarkStart w:id="27" w:name="X400ab2eb9c7eeb8bfa8ee511848edb635fe8809"/>
      <w:r>
        <w:t>Table 1: GRB 221009A Spectral Fit Statistics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591"/>
        <w:gridCol w:w="1811"/>
        <w:gridCol w:w="860"/>
        <w:gridCol w:w="2801"/>
      </w:tblGrid>
      <w:tr w14:paraId="3B7A2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752EFF3">
            <w:pPr>
              <w:pStyle w:val="26"/>
              <w:jc w:val="center"/>
            </w:pPr>
            <w:r>
              <w:rPr>
                <w:b/>
              </w:rPr>
              <w:t>Energy Band</w:t>
            </w:r>
          </w:p>
        </w:tc>
        <w:tc>
          <w:tcPr>
            <w:shd w:val="clear" w:color="auto" w:fill="B9CDE5"/>
            <w:vAlign w:val="center"/>
          </w:tcPr>
          <w:p w14:paraId="1A974719">
            <w:pPr>
              <w:pStyle w:val="26"/>
              <w:jc w:val="center"/>
            </w:pPr>
            <w:r>
              <w:rPr>
                <w:b/>
              </w:rPr>
              <w:t>Number of Data Points</w:t>
            </w:r>
          </w:p>
        </w:tc>
        <w:tc>
          <w:tcPr>
            <w:shd w:val="clear" w:color="auto" w:fill="B9CDE5"/>
            <w:vAlign w:val="center"/>
          </w:tcPr>
          <w:p w14:paraId="396B91DF">
            <w:pPr>
              <w:pStyle w:val="26"/>
              <w:jc w:val="center"/>
            </w:pPr>
            <w:r>
              <w:rPr>
                <w:b/>
              </w:rPr>
              <w:t>Model</w:t>
            </w:r>
          </w:p>
        </w:tc>
        <w:tc>
          <w:tcPr>
            <w:shd w:val="clear" w:color="auto" w:fill="B9CDE5"/>
            <w:vAlign w:val="center"/>
          </w:tcPr>
          <w:p w14:paraId="4B8354CC">
            <w:pPr>
              <w:pStyle w:val="26"/>
              <w:jc w:val="center"/>
            </w:pPr>
            <m:oMathPara>
              <m:oMath>
                <m:sSup>
                  <m:sSupPr/>
                  <m:e>
                    <m:r>
                      <m:rPr/>
                      <m:t>χ</m:t>
                    </m:r>
                  </m:e>
                  <m:sup>
                    <m:r>
                      <m:rPr/>
                      <m:t>2</m:t>
                    </m:r>
                  </m:sup>
                </m:sSup>
                <m:r>
                  <m:rPr>
                    <m:sty m:val="p"/>
                  </m:rPr>
                  <m:t>/d.o.f.</m:t>
                </m:r>
              </m:oMath>
            </m:oMathPara>
          </w:p>
        </w:tc>
        <w:tc>
          <w:tcPr>
            <w:shd w:val="clear" w:color="auto" w:fill="B9CDE5"/>
            <w:vAlign w:val="center"/>
          </w:tcPr>
          <w:p w14:paraId="22A52024">
            <w:pPr>
              <w:pStyle w:val="26"/>
              <w:jc w:val="center"/>
            </w:pPr>
            <w:r>
              <w:rPr>
                <w:b/>
              </w:rPr>
              <w:t>Remarks</w:t>
            </w:r>
          </w:p>
        </w:tc>
      </w:tr>
      <w:tr w14:paraId="68A16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562FD7F">
            <w:pPr>
              <w:pStyle w:val="26"/>
              <w:jc w:val="center"/>
            </w:pPr>
            <w:r>
              <w:t>0.2–7 TeV</w:t>
            </w:r>
          </w:p>
        </w:tc>
        <w:tc>
          <w:tcPr>
            <w:vAlign w:val="center"/>
          </w:tcPr>
          <w:p w14:paraId="06EC94FB">
            <w:pPr>
              <w:pStyle w:val="26"/>
              <w:jc w:val="center"/>
            </w:pPr>
            <w:r>
              <w:t>86</w:t>
            </w:r>
          </w:p>
        </w:tc>
        <w:tc>
          <w:tcPr>
            <w:vAlign w:val="center"/>
          </w:tcPr>
          <w:p w14:paraId="6996D6ED">
            <w:pPr>
              <w:pStyle w:val="26"/>
              <w:jc w:val="center"/>
            </w:pPr>
            <w:r>
              <w:t>SSC+EC</w:t>
            </w:r>
          </w:p>
        </w:tc>
        <w:tc>
          <w:tcPr>
            <w:vAlign w:val="center"/>
          </w:tcPr>
          <w:p w14:paraId="50789865">
            <w:pPr>
              <w:pStyle w:val="26"/>
              <w:jc w:val="center"/>
            </w:pPr>
            <w:r>
              <w:t>1.12</w:t>
            </w:r>
          </w:p>
        </w:tc>
        <w:tc>
          <w:tcPr>
            <w:vAlign w:val="center"/>
          </w:tcPr>
          <w:p w14:paraId="11E47FDF">
            <w:pPr>
              <w:pStyle w:val="26"/>
              <w:jc w:val="center"/>
            </w:pPr>
            <w:r>
              <w:t>WCDA data</w:t>
            </w:r>
          </w:p>
        </w:tc>
      </w:tr>
      <w:tr w14:paraId="6D1C3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1DC4DC4">
            <w:pPr>
              <w:pStyle w:val="26"/>
              <w:jc w:val="center"/>
            </w:pPr>
            <w:r>
              <w:t>3–20 TeV</w:t>
            </w:r>
          </w:p>
        </w:tc>
        <w:tc>
          <w:tcPr>
            <w:vAlign w:val="center"/>
          </w:tcPr>
          <w:p w14:paraId="6F87AFAC">
            <w:pPr>
              <w:pStyle w:val="26"/>
              <w:jc w:val="center"/>
            </w:pPr>
            <w:r>
              <w:t>56</w:t>
            </w:r>
          </w:p>
        </w:tc>
        <w:tc>
          <w:tcPr>
            <w:vAlign w:val="center"/>
          </w:tcPr>
          <w:p w14:paraId="546E054C">
            <w:pPr>
              <w:pStyle w:val="26"/>
              <w:jc w:val="center"/>
            </w:pPr>
            <w:r>
              <w:t>SSC+EC (narrow core)</w:t>
            </w:r>
          </w:p>
        </w:tc>
        <w:tc>
          <w:tcPr>
            <w:vAlign w:val="center"/>
          </w:tcPr>
          <w:p w14:paraId="25770A34">
            <w:pPr>
              <w:pStyle w:val="26"/>
              <w:jc w:val="center"/>
            </w:pPr>
            <w:r>
              <w:t>1.31</w:t>
            </w:r>
          </w:p>
        </w:tc>
        <w:tc>
          <w:tcPr>
            <w:vAlign w:val="center"/>
          </w:tcPr>
          <w:p w14:paraId="197EEB96">
            <w:pPr>
              <w:pStyle w:val="26"/>
              <w:jc w:val="center"/>
            </w:pPr>
            <w:r>
              <w:t>KM2A data</w:t>
            </w:r>
          </w:p>
        </w:tc>
      </w:tr>
      <w:tr w14:paraId="4397C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E344345">
            <w:pPr>
              <w:pStyle w:val="26"/>
              <w:jc w:val="center"/>
            </w:pPr>
            <w:r>
              <w:t>250–300 TeV</w:t>
            </w:r>
          </w:p>
        </w:tc>
        <w:tc>
          <w:tcPr>
            <w:vAlign w:val="center"/>
          </w:tcPr>
          <w:p w14:paraId="763FC482">
            <w:pPr>
              <w:pStyle w:val="26"/>
              <w:jc w:val="center"/>
            </w:pPr>
            <w:r>
              <w:t>2 (single photons)</w:t>
            </w:r>
          </w:p>
        </w:tc>
        <w:tc>
          <w:tcPr>
            <w:vAlign w:val="center"/>
          </w:tcPr>
          <w:p w14:paraId="7BB77E77">
            <w:pPr>
              <w:pStyle w:val="26"/>
              <w:jc w:val="center"/>
            </w:pPr>
            <w:r>
              <w:t>IC (CMB+SSC)</w:t>
            </w:r>
          </w:p>
        </w:tc>
        <w:tc>
          <w:tcPr>
            <w:vAlign w:val="center"/>
          </w:tcPr>
          <w:p w14:paraId="6E7B21BC">
            <w:pPr>
              <w:pStyle w:val="26"/>
              <w:jc w:val="center"/>
            </w:pPr>
            <w:r>
              <w:t>—</w:t>
            </w:r>
          </w:p>
        </w:tc>
        <w:tc>
          <w:tcPr>
            <w:vAlign w:val="center"/>
          </w:tcPr>
          <w:p w14:paraId="13554E0F">
            <w:pPr>
              <w:pStyle w:val="26"/>
              <w:jc w:val="center"/>
            </w:pPr>
            <w:r>
              <w:t>Statistics not applicable for single-photon upper-limit tests</w:t>
            </w:r>
          </w:p>
        </w:tc>
      </w:tr>
    </w:tbl>
    <w:p w14:paraId="2EFA03F6">
      <w:pPr>
        <w:pStyle w:val="3"/>
      </w:pPr>
      <w:r>
        <w:rPr>
          <w:b/>
          <w:bCs/>
        </w:rPr>
        <w:t>Figure 2:</w:t>
      </w:r>
      <w:r>
        <w:t xml:space="preserve"> GRB 221009A TeV light curve (226–9000 s). Black circles: LHAASO-KM2A binned observations; red solid line: FCWFT model prediction; red shaded band: </w:t>
      </w:r>
      <m:oMath>
        <m:r>
          <m:rPr/>
          <m:t>1σ</m:t>
        </m:r>
      </m:oMath>
      <w:r>
        <w:t xml:space="preserve"> confidence interval; blue vertical line marks the </w:t>
      </w:r>
      <m:oMath>
        <m:sSub>
          <m:sSubPr/>
          <m:e>
            <m:r>
              <m:rPr/>
              <m:t>W</m:t>
            </m:r>
          </m:e>
          <m:sub>
            <m:r>
              <m:rPr/>
              <m:t>B</m:t>
            </m:r>
          </m:sub>
        </m:sSub>
      </m:oMath>
      <w:r>
        <w:t xml:space="preserve"> decay inflection point at </w:t>
      </w:r>
      <m:oMath>
        <m:r>
          <m:rPr/>
          <m:t>t</m:t>
        </m:r>
        <m:r>
          <m:rPr>
            <m:sty m:val="p"/>
          </m:rPr>
          <m:t>≈</m:t>
        </m:r>
        <m:r>
          <m:rPr/>
          <m:t>1800 </m:t>
        </m:r>
        <m:r>
          <m:rPr>
            <m:sty m:val="p"/>
          </m:rPr>
          <m:t>s.</m:t>
        </m:r>
      </m:oMath>
      <w:r>
        <w:t xml:space="preserve"> The model reproduces the two-segment structure of early rapid decay followed by late slow decay.</w:t>
      </w:r>
    </w:p>
    <w:bookmarkEnd w:id="22"/>
    <w:bookmarkEnd w:id="27"/>
    <w:p w14:paraId="4BBFE68E">
      <w:pPr>
        <w:pStyle w:val="6"/>
      </w:pPr>
      <w:bookmarkStart w:id="28" w:name="X76cc263af45a2e0cdcb0a446bfebf69cdc1475b"/>
      <w:r>
        <w:t>8 Extension to the GZK Limit: A-Field Ultra-High-Energy Cosmic Ray Cascade Mechanism</w:t>
      </w:r>
    </w:p>
    <w:p w14:paraId="2D4819D7">
      <w:pPr>
        <w:pStyle w:val="4"/>
      </w:pPr>
      <w:r>
        <w:t>Extend the FCWFT three-field system to heavy charged particle degrees of freedom such as protons and heavy nuclei, constructing a supplementary physical pathway for super-GZK cosmic rays, fully compatible with standard UHECR theory.</w:t>
      </w:r>
    </w:p>
    <w:p w14:paraId="4DA14ADA">
      <w:pPr>
        <w:pStyle w:val="7"/>
      </w:pPr>
      <w:bookmarkStart w:id="29" w:name="proton-shock-acceleration-mechanism"/>
      <w:r>
        <w:t>8.1 Proton Shock Acceleration Mechanism</w:t>
      </w:r>
    </w:p>
    <w:p w14:paraId="533FB6BC">
      <w:pPr>
        <w:pStyle w:val="4"/>
      </w:pPr>
      <w:r>
        <w:t>The Bohm acceleration timescale for A-field protons is:</w:t>
      </w:r>
    </w:p>
    <w:p w14:paraId="74CEF601">
      <w:pPr>
        <w:pStyle w:val="3"/>
      </w:pPr>
      <m:oMathPara>
        <m:oMathParaPr>
          <m:jc m:val="center"/>
        </m:oMathParaPr>
        <m:oMath>
          <m:sSub>
            <m:sSubPr/>
            <m:e>
              <m:r>
                <m:rPr/>
                <m:t>t</m:t>
              </m:r>
            </m:e>
            <m:sub>
              <m:r>
                <m:rPr>
                  <m:sty m:val="p"/>
                </m:rPr>
                <m:t>acc</m:t>
              </m:r>
            </m:sub>
          </m:sSub>
          <m:r>
            <m:rPr>
              <m:sty m:val="p"/>
            </m:rPr>
            <m:t>∼</m:t>
          </m:r>
          <m:f>
            <m:fPr/>
            <m:num>
              <m:r>
                <m:rPr/>
                <m:t>γ</m:t>
              </m:r>
              <m:sSub>
                <m:sSubPr/>
                <m:e>
                  <m:r>
                    <m:rPr/>
                    <m:t>m</m:t>
                  </m:r>
                </m:e>
                <m:sub>
                  <m:r>
                    <m:rPr/>
                    <m:t>p</m:t>
                  </m:r>
                </m:sub>
              </m:sSub>
              <m:r>
                <m:rPr/>
                <m:t>c</m:t>
              </m:r>
            </m:num>
            <m:den>
              <m:r>
                <m:rPr/>
                <m:t>eB</m:t>
              </m:r>
            </m:den>
          </m:f>
        </m:oMath>
      </m:oMathPara>
    </w:p>
    <w:p w14:paraId="5C0DCBBE">
      <w:pPr>
        <w:pStyle w:val="4"/>
      </w:pPr>
      <w:r>
        <w:t xml:space="preserve">Within GRB shock sources, protons can be accelerated to </w:t>
      </w:r>
      <m:oMath>
        <m:sSup>
          <m:sSupPr/>
          <m:e>
            <m:r>
              <m:rPr/>
              <m:t>10</m:t>
            </m:r>
          </m:e>
          <m:sup>
            <m:r>
              <m:rPr/>
              <m:t>20</m:t>
            </m:r>
          </m:sup>
        </m:sSup>
        <m:r>
          <m:rPr>
            <m:sty m:val="p"/>
          </m:rPr>
          <m:t>−−</m:t>
        </m:r>
        <m:sSup>
          <m:sSupPr/>
          <m:e>
            <m:r>
              <m:rPr/>
              <m:t>10</m:t>
            </m:r>
          </m:e>
          <m:sup>
            <m:r>
              <m:rPr/>
              <m:t>21</m:t>
            </m:r>
          </m:sup>
        </m:sSup>
        <m:r>
          <m:rPr/>
          <m:t> </m:t>
        </m:r>
        <m:r>
          <m:rPr>
            <m:sty m:val="p"/>
          </m:rPr>
          <m:t>eV</m:t>
        </m:r>
      </m:oMath>
      <w:r>
        <w:t xml:space="preserve"> (this is the source acceleration capability, not the GZK cutoff). The threshold for photopion production by protons is:</w:t>
      </w:r>
    </w:p>
    <w:p w14:paraId="01BA852A">
      <w:pPr>
        <w:pStyle w:val="3"/>
      </w:pPr>
      <m:oMathPara>
        <m:oMathParaPr>
          <m:jc m:val="center"/>
        </m:oMathParaPr>
        <m:oMath>
          <m:sSubSup>
            <m:sSubSupPr/>
            <m:e>
              <m:r>
                <m:rPr/>
                <m:t>E</m:t>
              </m:r>
            </m:e>
            <m:sub>
              <m:r>
                <m:rPr/>
                <m:t>pγ</m:t>
              </m:r>
            </m:sub>
            <m:sup>
              <m:r>
                <m:rPr>
                  <m:sty m:val="p"/>
                </m:rPr>
                <m:t>th</m:t>
              </m:r>
            </m:sup>
          </m:sSubSup>
          <m:r>
            <m:rPr>
              <m:sty m:val="p"/>
            </m:rPr>
            <m:t>≈</m:t>
          </m:r>
          <m:r>
            <m:rPr/>
            <m:t>5</m:t>
          </m:r>
          <m:r>
            <m:rPr>
              <m:sty m:val="p"/>
            </m:rPr>
            <m:t>×</m:t>
          </m:r>
          <m:sSup>
            <m:sSupPr/>
            <m:e>
              <m:r>
                <m:rPr/>
                <m:t>10</m:t>
              </m:r>
            </m:e>
            <m:sup>
              <m:r>
                <m:rPr/>
                <m:t>19</m:t>
              </m:r>
            </m:sup>
          </m:sSup>
          <m:sSup>
            <m:sSupPr/>
            <m:e>
              <m:d>
                <m:dPr>
                  <m:sepChr m:val=""/>
                </m:dPr>
                <m:e>
                  <m:f>
                    <m:fPr/>
                    <m:num>
                      <m:sSub>
                        <m:sSubPr/>
                        <m:e>
                          <m:r>
                            <m:rPr/>
                            <m:t>ε</m:t>
                          </m:r>
                        </m:e>
                        <m:sub>
                          <m:r>
                            <m:rPr>
                              <m:sty m:val="p"/>
                            </m:rPr>
                            <m:t>CMB</m:t>
                          </m:r>
                        </m:sub>
                      </m:sSub>
                    </m:num>
                    <m:den>
                      <m:sSup>
                        <m:sSupPr/>
                        <m:e>
                          <m:r>
                            <m:rPr/>
                            <m:t>10</m:t>
                          </m:r>
                        </m:e>
                        <m:sup>
                          <m:r>
                            <m:rPr>
                              <m:sty m:val="p"/>
                            </m:rPr>
                            <m:t>−</m:t>
                          </m:r>
                          <m:r>
                            <m:rPr/>
                            <m:t>3</m:t>
                          </m:r>
                        </m:sup>
                      </m:sSup>
                      <m:r>
                        <m:rPr/>
                        <m:t> </m:t>
                      </m:r>
                      <m:r>
                        <m:rPr>
                          <m:sty m:val="p"/>
                        </m:rPr>
                        <m:t>eV</m:t>
                      </m:r>
                    </m:den>
                  </m:f>
                </m:e>
              </m:d>
            </m:e>
            <m:sup>
              <m:r>
                <m:rPr>
                  <m:sty m:val="p"/>
                </m:rPr>
                <m:t>−</m:t>
              </m:r>
              <m:r>
                <m:rPr/>
                <m:t>1</m:t>
              </m:r>
            </m:sup>
          </m:sSup>
          <m:r>
            <m:rPr/>
            <m:t> </m:t>
          </m:r>
          <m:r>
            <m:rPr>
              <m:sty m:val="p"/>
            </m:rPr>
            <m:t>eV</m:t>
          </m:r>
        </m:oMath>
      </m:oMathPara>
    </w:p>
    <w:p w14:paraId="7221CF18">
      <w:pPr>
        <w:pStyle w:val="4"/>
      </w:pPr>
      <w:r>
        <w:t>High-energy protons interacting with CMB photons produce pions, losing 10%–20% of their energy per interaction, resulting in gradual energy loss (this is a propagation cutoff, not an acceleration upper limit).</w:t>
      </w:r>
    </w:p>
    <w:bookmarkEnd w:id="29"/>
    <w:p w14:paraId="6085ACEB">
      <w:pPr>
        <w:pStyle w:val="7"/>
      </w:pPr>
      <w:bookmarkStart w:id="30" w:name="X324eae6f79e626045ee7fcab7ae7d4876b8fdb2"/>
      <w:r>
        <w:t>8.2 Heavy Nucleus Photodisintegration and B-Field Topological Tube Effect</w:t>
      </w:r>
    </w:p>
    <w:p w14:paraId="347BF9E1">
      <w:pPr>
        <w:pStyle w:val="26"/>
        <w:numPr>
          <w:ilvl w:val="0"/>
          <w:numId w:val="6"/>
        </w:numPr>
      </w:pPr>
      <w:r>
        <w:rPr>
          <w:b/>
          <w:bCs/>
        </w:rPr>
        <w:t>Heavy nucleus cosmic rays:</w:t>
      </w:r>
      <w:r>
        <w:t xml:space="preserve"> Light nuclei are easily photodisintegrated in the CMB field; iron nuclei and other heavy nuclei have higher photodisintegration thresholds and lower energy losses, making them excellent carriers for super-GZK events.</w:t>
      </w:r>
    </w:p>
    <w:p w14:paraId="565DEA96">
      <w:pPr>
        <w:pStyle w:val="26"/>
        <w:numPr>
          <w:ilvl w:val="0"/>
          <w:numId w:val="6"/>
        </w:numPr>
      </w:pPr>
      <w:r>
        <w:rPr>
          <w:b/>
          <w:bCs/>
        </w:rPr>
        <w:t>B-field topological tube formulation (FCWFT encapsulation language):</w:t>
      </w:r>
      <w:r>
        <w:t xml:space="preserve"> Regions of high interstellar magnetic field invariant </w:t>
      </w:r>
      <m:oMath>
        <m:sSub>
          <m:sSubPr/>
          <m:e>
            <m:r>
              <m:rPr/>
              <m:t>N</m:t>
            </m:r>
          </m:e>
          <m:sub>
            <m:r>
              <m:rPr/>
              <m:t>B</m:t>
            </m:r>
          </m:sub>
        </m:sSub>
      </m:oMath>
      <w:r>
        <w:t xml:space="preserve"> correspond to low-deflection magnetic flux tubes in the standard model. A-field heavy nuclei/protons propagate directionally along topological tubes, effectively shortening the GZK propagation horizon. This formulation does not contradict classical magnetic deflection theory; it merely completes a topological language quantification encapsulation.</w:t>
      </w:r>
    </w:p>
    <w:bookmarkEnd w:id="28"/>
    <w:bookmarkEnd w:id="30"/>
    <w:p w14:paraId="408A4E57">
      <w:pPr>
        <w:pStyle w:val="6"/>
      </w:pPr>
      <w:bookmarkStart w:id="31" w:name="model-testable-observational-predictions"/>
      <w:r>
        <w:t>9 Model Testable Observational Predictions</w:t>
      </w:r>
    </w:p>
    <w:p w14:paraId="59907E9E">
      <w:pPr>
        <w:pStyle w:val="4"/>
      </w:pPr>
      <w:r>
        <w:t>All predictions in this paper are based on the evolutionary laws of three-field coupling and possess observable differences in time, spectral, and spatial dimensions, verifiable jointly by existing facilities:</w:t>
      </w:r>
    </w:p>
    <w:p w14:paraId="5117888A">
      <w:pPr>
        <w:pStyle w:val="26"/>
        <w:numPr>
          <w:ilvl w:val="0"/>
          <w:numId w:val="7"/>
        </w:numPr>
      </w:pPr>
      <w:r>
        <w:rPr>
          <w:b/>
          <w:bCs/>
        </w:rPr>
        <w:t>Temporal Decay Difference of High-Energy Photons:</w:t>
      </w:r>
      <w:r>
        <w:t xml:space="preserve"> &gt;10 TeV extreme photon flux is dominated by the B-field topological cascade, decaying temporally with </w:t>
      </w:r>
      <m:oMath>
        <m:sSub>
          <m:sSubPr/>
          <m:e>
            <m:r>
              <m:rPr/>
              <m:t>W</m:t>
            </m:r>
          </m:e>
          <m:sub>
            <m:r>
              <m:rPr/>
              <m:t>B</m:t>
            </m:r>
          </m:sub>
        </m:sSub>
        <m:r>
          <m:rPr>
            <m:sty m:val="p"/>
          </m:rPr>
          <m:t>(</m:t>
        </m:r>
        <m:r>
          <m:rPr/>
          <m:t>t</m:t>
        </m:r>
        <m:r>
          <m:rPr>
            <m:sty m:val="p"/>
          </m:rPr>
          <m:t>)</m:t>
        </m:r>
      </m:oMath>
      <w:r>
        <w:t xml:space="preserve">. Its flux decay rate is significantly faster than that predicted by classical synchrotron-dominated models (expected decay index </w:t>
      </w:r>
      <m:oMath>
        <m:sSub>
          <m:sSubPr/>
          <m:e>
            <m:r>
              <m:rPr/>
              <m:t>α</m:t>
            </m:r>
          </m:e>
          <m:sub>
            <m:r>
              <m:rPr>
                <m:sty m:val="p"/>
              </m:rPr>
              <m:t>FCWFT</m:t>
            </m:r>
          </m:sub>
        </m:sSub>
        <m:r>
          <m:rPr>
            <m:sty m:val="p"/>
          </m:rPr>
          <m:t>&gt;</m:t>
        </m:r>
        <m:r>
          <m:rPr/>
          <m:t>2.0</m:t>
        </m:r>
        <m:r>
          <m:rPr>
            <m:sty m:val="p"/>
          </m:rPr>
          <m:t>,</m:t>
        </m:r>
      </m:oMath>
      <w:r>
        <w:t xml:space="preserve"> vs. standard model </w:t>
      </w:r>
      <m:oMath>
        <m:sSub>
          <m:sSubPr/>
          <m:e>
            <m:r>
              <m:rPr/>
              <m:t>α</m:t>
            </m:r>
          </m:e>
          <m:sub>
            <m:r>
              <m:rPr>
                <m:sty m:val="p"/>
              </m:rPr>
              <m:t>std</m:t>
            </m:r>
          </m:sub>
        </m:sSub>
        <m:r>
          <m:rPr>
            <m:sty m:val="p"/>
          </m:rPr>
          <m:t>∼</m:t>
        </m:r>
        <m:r>
          <m:rPr/>
          <m:t>1.5</m:t>
        </m:r>
        <m:r>
          <m:rPr>
            <m:sty m:val="p"/>
          </m:rPr>
          <m:t>),</m:t>
        </m:r>
      </m:oMath>
      <w:r>
        <w:t xml:space="preserve"> testable via LHAASO segmented temporal-spectral fitting.</w:t>
      </w:r>
    </w:p>
    <w:p w14:paraId="4BEDB96E">
      <w:pPr>
        <w:pStyle w:val="26"/>
        <w:numPr>
          <w:ilvl w:val="0"/>
          <w:numId w:val="7"/>
        </w:numPr>
      </w:pPr>
      <w:r>
        <w:rPr>
          <w:b/>
          <w:bCs/>
        </w:rPr>
        <w:t>Secondary Pair Cascade Delay Effect:</w:t>
      </w:r>
      <w:r>
        <w:t xml:space="preserve"> The regeneration and re-acceleration process of electron-positron pairs has an inherent time lag. The GeV-TeV high-energy spectrum exhibits a quantifiable time delay relative to the lower-energy band, with a typical value </w:t>
      </w:r>
      <m:oMath>
        <m:r>
          <m:rPr>
            <m:sty m:val="p"/>
          </m:rPr>
          <m:t>Δ</m:t>
        </m:r>
        <m:r>
          <m:rPr/>
          <m:t>t</m:t>
        </m:r>
        <m:r>
          <m:rPr>
            <m:sty m:val="p"/>
          </m:rPr>
          <m:t>∼</m:t>
        </m:r>
        <m:sSup>
          <m:sSupPr/>
          <m:e>
            <m:r>
              <m:rPr/>
              <m:t>10</m:t>
            </m:r>
          </m:e>
          <m:sup>
            <m:r>
              <m:rPr/>
              <m:t>2</m:t>
            </m:r>
          </m:sup>
        </m:sSup>
        <m:r>
          <m:rPr>
            <m:sty m:val="p"/>
          </m:rPr>
          <m:t>−−</m:t>
        </m:r>
        <m:sSup>
          <m:sSupPr/>
          <m:e>
            <m:r>
              <m:rPr/>
              <m:t>10</m:t>
            </m:r>
          </m:e>
          <m:sup>
            <m:r>
              <m:rPr/>
              <m:t>4</m:t>
            </m:r>
          </m:sup>
        </m:sSup>
        <m:r>
          <m:rPr/>
          <m:t> </m:t>
        </m:r>
        <m:r>
          <m:rPr>
            <m:sty m:val="p"/>
          </m:rPr>
          <m:t>s</m:t>
        </m:r>
      </m:oMath>
      <w:r>
        <w:t xml:space="preserve"> (depending on IGMF strength and source region size), testable via joint temporal analysis by LHAASO and Fermi-LAT.</w:t>
      </w:r>
    </w:p>
    <w:p w14:paraId="4494EC02">
      <w:pPr>
        <w:pStyle w:val="26"/>
        <w:numPr>
          <w:ilvl w:val="0"/>
          <w:numId w:val="7"/>
        </w:numPr>
      </w:pPr>
      <w:r>
        <w:rPr>
          <w:b/>
          <w:bCs/>
        </w:rPr>
        <w:t>ALP Oscillation Signal (Primary Scheme Exclusive Prediction):</w:t>
      </w:r>
      <w:r>
        <w:t xml:space="preserve"> The event rate of 250–300 TeV photons shows periodic oscillations with the intergalactic magnetic field strength, with oscillation period </w:t>
      </w:r>
      <m:oMath>
        <m:r>
          <m:rPr>
            <m:sty m:val="p"/>
          </m:rPr>
          <m:t>Δ</m:t>
        </m:r>
        <m:r>
          <m:rPr/>
          <m:t>E</m:t>
        </m:r>
        <m:r>
          <m:rPr>
            <m:sty m:val="p"/>
          </m:rPr>
          <m:t>∼</m:t>
        </m:r>
        <m:sSubSup>
          <m:sSubSupPr/>
          <m:e>
            <m:r>
              <m:rPr/>
              <m:t>m</m:t>
            </m:r>
          </m:e>
          <m:sub>
            <m:r>
              <m:rPr/>
              <m:t>a</m:t>
            </m:r>
          </m:sub>
          <m:sup>
            <m:r>
              <m:rPr/>
              <m:t>2</m:t>
            </m:r>
          </m:sup>
        </m:sSubSup>
        <m:r>
          <m:rPr>
            <m:sty m:val="p"/>
          </m:rPr>
          <m:t>/(</m:t>
        </m:r>
        <m:r>
          <m:rPr/>
          <m:t>2</m:t>
        </m:r>
        <m:sSub>
          <m:sSubPr/>
          <m:e>
            <m:r>
              <m:rPr/>
              <m:t>g</m:t>
            </m:r>
          </m:e>
          <m:sub>
            <m:r>
              <m:rPr/>
              <m:t>aγ</m:t>
            </m:r>
          </m:sub>
        </m:sSub>
        <m:sSub>
          <m:sSubPr/>
          <m:e>
            <m:r>
              <m:rPr/>
              <m:t>B</m:t>
            </m:r>
          </m:e>
          <m:sub>
            <m:r>
              <m:rPr>
                <m:sty m:val="p"/>
              </m:rPr>
              <m:t>⟂</m:t>
            </m:r>
          </m:sub>
        </m:sSub>
        <m:r>
          <m:rPr>
            <m:sty m:val="p"/>
          </m:rPr>
          <m:t>)</m:t>
        </m:r>
      </m:oMath>
      <w:r>
        <w:t>. Absence of such oscillations would rule out the ALP scheme, favoring the LIV or near-source scheme.</w:t>
      </w:r>
    </w:p>
    <w:p w14:paraId="3FD1F3D6">
      <w:pPr>
        <w:pStyle w:val="26"/>
        <w:numPr>
          <w:ilvl w:val="0"/>
          <w:numId w:val="7"/>
        </w:numPr>
      </w:pPr>
      <w:r>
        <w:rPr>
          <w:b/>
          <w:bCs/>
        </w:rPr>
        <w:t>Super-GZK Event Spatial Clustering:</w:t>
      </w:r>
      <w:r>
        <w:t xml:space="preserve"> The B-field topological tube model predicts that super-GZK cosmic ray events will cluster in regions of high interstellar magnetic winding number, rather than being randomly distributed.</w:t>
      </w:r>
    </w:p>
    <w:p w14:paraId="7A16ED59">
      <w:pPr>
        <w:pStyle w:val="26"/>
        <w:numPr>
          <w:ilvl w:val="0"/>
          <w:numId w:val="7"/>
        </w:numPr>
      </w:pPr>
      <w:r>
        <w:rPr>
          <w:b/>
          <w:bCs/>
        </w:rPr>
        <w:t>Cosmic Ray Composition Dependence:</w:t>
      </w:r>
      <w:r>
        <w:t xml:space="preserve"> The heavy-nucleus-dominated model predicts that the atmospheric shower </w:t>
      </w:r>
      <m:oMath>
        <m:sSub>
          <m:sSubPr/>
          <m:e>
            <m:r>
              <m:rPr/>
              <m:t>X</m:t>
            </m:r>
          </m:e>
          <m:sub>
            <m:r>
              <m:rPr>
                <m:sty m:val="p"/>
              </m:rPr>
              <m:t>max</m:t>
            </m:r>
          </m:sub>
        </m:sSub>
      </m:oMath>
      <w:r>
        <w:t xml:space="preserve"> observed by Auger/TA will favor a heavy composition; the pure-proton model must rely on LIV/near-source propagation corrections. These can be distinguished via cosmic ray composition observations.</w:t>
      </w:r>
    </w:p>
    <w:bookmarkEnd w:id="31"/>
    <w:p w14:paraId="315B0EDC">
      <w:pPr>
        <w:pStyle w:val="6"/>
      </w:pPr>
      <w:bookmarkStart w:id="32" w:name="conclusion"/>
      <w:r>
        <w:t>10 Conclusion</w:t>
      </w:r>
    </w:p>
    <w:p w14:paraId="0F339125">
      <w:pPr>
        <w:pStyle w:val="4"/>
      </w:pPr>
      <w:r>
        <w:t>This paper has completed the standard physical FCWFT topological standardization encapsulation of GRB extreme high-energy radiation, constructing a self-consistent, convergent, and testable shock bowstring cascade model:</w:t>
      </w:r>
    </w:p>
    <w:p w14:paraId="44E20633">
      <w:pPr>
        <w:pStyle w:val="26"/>
        <w:numPr>
          <w:ilvl w:val="0"/>
          <w:numId w:val="8"/>
        </w:numPr>
      </w:pPr>
      <w:r>
        <w:rPr>
          <w:b/>
          <w:bCs/>
        </w:rPr>
        <w:t>Clear physical boundaries:</w:t>
      </w:r>
      <w:r>
        <w:t xml:space="preserve"> Strictly adheres to QED and relativistic plasma physics rules. CMB/EBL photons serve only as passive target media; all energy gains, cascade regenerations, and topological evolutions are accomplished by the standardized degrees of freedom of the A/B/C fields, with no custom non-standard physical mechanisms.</w:t>
      </w:r>
    </w:p>
    <w:p w14:paraId="243C3CE5">
      <w:pPr>
        <w:pStyle w:val="26"/>
        <w:numPr>
          <w:ilvl w:val="0"/>
          <w:numId w:val="8"/>
        </w:numPr>
      </w:pPr>
      <w:r>
        <w:rPr>
          <w:b/>
          <w:bCs/>
        </w:rPr>
        <w:t>Closed logical loop of the bowstring cascade:</w:t>
      </w:r>
      <w:r>
        <w:t xml:space="preserve"> Clearly establishes the complete causal chain of “charged particle acceleration </w:t>
      </w:r>
      <m:oMath>
        <m:r>
          <m:rPr>
            <m:sty m:val="p"/>
          </m:rPr>
          <m:t>→</m:t>
        </m:r>
      </m:oMath>
      <w:r>
        <w:t xml:space="preserve"> high-energy photon radiation </w:t>
      </w:r>
      <m:oMath>
        <m:r>
          <m:rPr>
            <m:sty m:val="p"/>
          </m:rPr>
          <m:t>→</m:t>
        </m:r>
      </m:oMath>
      <w:r>
        <w:t xml:space="preserve"> two-photon pair production </w:t>
      </w:r>
      <m:oMath>
        <m:r>
          <m:rPr>
            <m:sty m:val="p"/>
          </m:rPr>
          <m:t>→</m:t>
        </m:r>
      </m:oMath>
      <w:r>
        <w:t xml:space="preserve"> regenerated particle re-acceleration.” B-field topological constraint is the core necessary condition for multi-stage cascades.</w:t>
      </w:r>
    </w:p>
    <w:p w14:paraId="5EB92F66">
      <w:pPr>
        <w:pStyle w:val="26"/>
        <w:numPr>
          <w:ilvl w:val="0"/>
          <w:numId w:val="8"/>
        </w:numPr>
      </w:pPr>
      <w:r>
        <w:rPr>
          <w:b/>
          <w:bCs/>
        </w:rPr>
        <w:t>Complete energy spectrum saturation mechanism:</w:t>
      </w:r>
      <w:r>
        <w:t xml:space="preserve"> Four physical saturation criteria ensure theoretical convergence. The internal generation mechanism for 250–300 TeV photons is listed as an open question (Section 7.2.1), while the ALP propagation correction serves as the primary scheme with exclusive predictions.</w:t>
      </w:r>
    </w:p>
    <w:p w14:paraId="42947030">
      <w:pPr>
        <w:pStyle w:val="26"/>
        <w:numPr>
          <w:ilvl w:val="0"/>
          <w:numId w:val="8"/>
        </w:numPr>
      </w:pPr>
      <w:r>
        <w:rPr>
          <w:b/>
          <w:bCs/>
        </w:rPr>
        <w:t>Hierarchical resolution of observational paradoxes:</w:t>
      </w:r>
      <w:r>
        <w:t xml:space="preserve"> Distinguishes between internal generation (standard physics) and intergalactic propagation (ALP correction); the two levels do not interfere with each other.</w:t>
      </w:r>
    </w:p>
    <w:p w14:paraId="25C3C0F5">
      <w:pPr>
        <w:pStyle w:val="26"/>
        <w:numPr>
          <w:ilvl w:val="0"/>
          <w:numId w:val="8"/>
        </w:numPr>
      </w:pPr>
      <w:r>
        <w:rPr>
          <w:b/>
          <w:bCs/>
        </w:rPr>
        <w:t>Extensible and verifiable theoretical system:</w:t>
      </w:r>
      <w:r>
        <w:t xml:space="preserve"> Successfully extends the three-field topological system to the ultra-high-energy cosmic ray domain. All model conclusions yield quantifiable astronomical observational predictions (Section 9).</w:t>
      </w:r>
    </w:p>
    <w:p w14:paraId="02773E19">
      <w:pPr>
        <w:pStyle w:val="4"/>
      </w:pPr>
      <w:r>
        <w:t>Model B14 inherits the core idea of topological conservation from the FCWFT series of papers, achieving a structured, quantified, and unified encapsulation of high-energy gamma-ray burst physical processes, providing an explanatory framework that balances standard physics with innovative topological constraints for the puzzling phenomena of extreme high-energy celestial radiation.</w:t>
      </w:r>
    </w:p>
    <w:bookmarkEnd w:id="32"/>
    <w:p w14:paraId="2DF7AEF3">
      <w:pPr>
        <w:pStyle w:val="6"/>
      </w:pPr>
      <w:bookmarkStart w:id="33" w:name="X2eb2c81eee6f1e52a3c2198d8ee3474dec6c62e"/>
      <w:r>
        <w:t>Appendix A: Summary of Core Standardized Formulas</w:t>
      </w:r>
    </w:p>
    <w:p w14:paraId="27661BB7">
      <w:pPr>
        <w:pStyle w:val="4"/>
      </w:pPr>
      <m:oMathPara>
        <m:oMathParaPr>
          <m:jc m:val="center"/>
        </m:oMathParaPr>
        <m:oMath>
          <m:eqArr>
            <m:eqArrPr/>
            <m:e>
              <m:r>
                <m:rPr/>
                <m:t>&amp;A</m:t>
              </m:r>
              <m:r>
                <m:rPr>
                  <m:sty m:val="p"/>
                </m:rPr>
                <m:t>(</m:t>
              </m:r>
              <m:r>
                <m:rPr/>
                <m:t>x</m:t>
              </m:r>
              <m:r>
                <m:rPr>
                  <m:sty m:val="p"/>
                </m:rPr>
                <m:t>)=</m:t>
              </m:r>
              <m:nary>
                <m:naryPr>
                  <m:chr m:val="∑"/>
                  <m:limLoc m:val="undOvr"/>
                  <m:supHide m:val="1"/>
                </m:naryPr>
                <m:sub>
                  <m:r>
                    <m:rPr/>
                    <m:t>i</m:t>
                  </m:r>
                </m:sub>
                <m:sup>
                  <m:r>
                    <m:rPr/>
                    <m:t>​</m:t>
                  </m:r>
                </m:sup>
                <m:e>
                  <m:sSub>
                    <m:sSubPr/>
                    <m:e>
                      <m:r>
                        <m:rPr/>
                        <m:t>q</m:t>
                      </m:r>
                    </m:e>
                    <m:sub>
                      <m:r>
                        <m:rPr/>
                        <m:t>i</m:t>
                      </m:r>
                    </m:sub>
                  </m:sSub>
                </m:e>
              </m:nary>
              <m:sSub>
                <m:sSubPr/>
                <m:e>
                  <m:r>
                    <m:rPr/>
                    <m:t>ψ</m:t>
                  </m:r>
                </m:e>
                <m:sub>
                  <m:r>
                    <m:rPr/>
                    <m:t>i</m:t>
                  </m:r>
                </m:sub>
              </m:sSub>
              <m:r>
                <m:rPr>
                  <m:sty m:val="p"/>
                </m:rPr>
                <m:t>(</m:t>
              </m:r>
              <m:r>
                <m:rPr/>
                <m:t>x</m:t>
              </m:r>
              <m:r>
                <m:rPr>
                  <m:sty m:val="p"/>
                </m:rPr>
                <m:t>),</m:t>
              </m:r>
              <m:r>
                <m:rPr/>
                <m:t> </m:t>
              </m:r>
              <m:sSub>
                <m:sSubPr/>
                <m:e>
                  <m:r>
                    <m:rPr/>
                    <m:t>ε</m:t>
                  </m:r>
                </m:e>
                <m:sub>
                  <m:r>
                    <m:rPr/>
                    <m:t>A</m:t>
                  </m:r>
                </m:sub>
              </m:sSub>
              <m:r>
                <m:rPr>
                  <m:sty m:val="p"/>
                </m:rPr>
                <m:t>=⟨</m:t>
              </m:r>
              <m:sSub>
                <m:sSubPr/>
                <m:e>
                  <m:r>
                    <m:rPr/>
                    <m:t>γ</m:t>
                  </m:r>
                </m:e>
                <m:sub>
                  <m:r>
                    <m:rPr/>
                    <m:t>i</m:t>
                  </m:r>
                </m:sub>
              </m:sSub>
              <m:sSub>
                <m:sSubPr/>
                <m:e>
                  <m:r>
                    <m:rPr/>
                    <m:t>m</m:t>
                  </m:r>
                </m:e>
                <m:sub>
                  <m:r>
                    <m:rPr/>
                    <m:t>i</m:t>
                  </m:r>
                </m:sub>
              </m:sSub>
              <m:sSup>
                <m:sSupPr/>
                <m:e>
                  <m:r>
                    <m:rPr/>
                    <m:t>c</m:t>
                  </m:r>
                </m:e>
                <m:sup>
                  <m:r>
                    <m:rPr/>
                    <m:t>2</m:t>
                  </m:r>
                </m:sup>
              </m:sSup>
              <m:r>
                <m:rPr>
                  <m:sty m:val="p"/>
                </m:rPr>
                <m:t>⟩</m:t>
              </m:r>
            </m:e>
            <m:e>
              <m:r>
                <m:rPr/>
                <m:t>&amp;</m:t>
              </m:r>
              <m:sSub>
                <m:sSubPr/>
                <m:e>
                  <m:r>
                    <m:rPr/>
                    <m:t>N</m:t>
                  </m:r>
                </m:e>
                <m:sub>
                  <m:r>
                    <m:rPr/>
                    <m:t>B</m:t>
                  </m:r>
                </m:sub>
              </m:sSub>
              <m:r>
                <m:rPr>
                  <m:sty m:val="p"/>
                </m:rPr>
                <m:t>=</m:t>
              </m:r>
              <m:f>
                <m:fPr/>
                <m:num>
                  <m:r>
                    <m:rPr/>
                    <m:t>1</m:t>
                  </m:r>
                </m:num>
                <m:den>
                  <m:sSub>
                    <m:sSubPr/>
                    <m:e>
                      <m:r>
                        <m:rPr>
                          <m:sty m:val="p"/>
                        </m:rPr>
                        <m:t>Φ</m:t>
                      </m:r>
                    </m:e>
                    <m:sub>
                      <m:r>
                        <m:rPr/>
                        <m:t>0</m:t>
                      </m:r>
                    </m:sub>
                  </m:sSub>
                </m:den>
              </m:f>
              <m:nary>
                <m:naryPr>
                  <m:chr m:val="∮"/>
                  <m:limLoc m:val="subSup"/>
                  <m:supHide m:val="1"/>
                </m:naryPr>
                <m:sub>
                  <m:r>
                    <m:rPr>
                      <m:sty m:val="p"/>
                    </m:rPr>
                    <m:t>Σ</m:t>
                  </m:r>
                </m:sub>
                <m:sup>
                  <m:r>
                    <m:rPr/>
                    <m:t>​</m:t>
                  </m:r>
                </m:sup>
                <m:e>
                  <m:r>
                    <m:rPr>
                      <m:sty m:val="b"/>
                    </m:rPr>
                    <m:t>B</m:t>
                  </m:r>
                </m:e>
              </m:nary>
              <m:r>
                <m:rPr>
                  <m:sty m:val="p"/>
                </m:rPr>
                <m:t>⋅</m:t>
              </m:r>
              <m:r>
                <m:rPr/>
                <m:t>d</m:t>
              </m:r>
              <m:r>
                <m:rPr>
                  <m:sty m:val="b"/>
                </m:rPr>
                <m:t>S</m:t>
              </m:r>
              <m:r>
                <m:rPr>
                  <m:sty m:val="p"/>
                </m:rPr>
                <m:t>,</m:t>
              </m:r>
              <m:r>
                <m:rPr/>
                <m:t> </m:t>
              </m:r>
              <m:sSub>
                <m:sSubPr/>
                <m:e>
                  <m:r>
                    <m:rPr/>
                    <m:t>W</m:t>
                  </m:r>
                </m:e>
                <m:sub>
                  <m:r>
                    <m:rPr/>
                    <m:t>B</m:t>
                  </m:r>
                </m:sub>
              </m:sSub>
              <m:r>
                <m:rPr>
                  <m:sty m:val="p"/>
                </m:rPr>
                <m:t>=</m:t>
              </m:r>
              <m:sSub>
                <m:sSubPr/>
                <m:e>
                  <m:r>
                    <m:rPr/>
                    <m:t>η</m:t>
                  </m:r>
                </m:e>
                <m:sub>
                  <m:r>
                    <m:rPr/>
                    <m:t>B</m:t>
                  </m:r>
                </m:sub>
              </m:sSub>
              <m:d>
                <m:dPr>
                  <m:sepChr m:val=""/>
                </m:dPr>
                <m:e>
                  <m:f>
                    <m:fPr/>
                    <m:num>
                      <m:sSub>
                        <m:sSubPr/>
                        <m:e>
                          <m:r>
                            <m:rPr/>
                            <m:t>N</m:t>
                          </m:r>
                        </m:e>
                        <m:sub>
                          <m:r>
                            <m:rPr/>
                            <m:t>B</m:t>
                          </m:r>
                        </m:sub>
                      </m:sSub>
                    </m:num>
                    <m:den>
                      <m:sSubSup>
                        <m:sSubSupPr/>
                        <m:e>
                          <m:r>
                            <m:rPr/>
                            <m:t>N</m:t>
                          </m:r>
                        </m:e>
                        <m:sub>
                          <m:r>
                            <m:rPr/>
                            <m:t>B</m:t>
                          </m:r>
                        </m:sub>
                        <m:sup>
                          <m:r>
                            <m:rPr>
                              <m:sty m:val="p"/>
                            </m:rPr>
                            <m:t>max</m:t>
                          </m:r>
                        </m:sup>
                      </m:sSubSup>
                    </m:den>
                  </m:f>
                </m:e>
              </m:d>
              <m:r>
                <m:rPr>
                  <m:sty m:val="p"/>
                </m:rPr>
                <m:t>,</m:t>
              </m:r>
              <m:r>
                <m:rPr/>
                <m:t> </m:t>
              </m:r>
              <m:sSub>
                <m:sSubPr/>
                <m:e>
                  <m:r>
                    <m:rPr>
                      <m:sty m:val="b"/>
                    </m:rPr>
                    <m:t>J</m:t>
                  </m:r>
                </m:e>
                <m:sub>
                  <m:r>
                    <m:rPr/>
                    <m:t>B</m:t>
                  </m:r>
                </m:sub>
              </m:sSub>
              <m:r>
                <m:rPr>
                  <m:sty m:val="p"/>
                </m:rPr>
                <m:t>=</m:t>
              </m:r>
              <m:sSub>
                <m:sSubPr/>
                <m:e>
                  <m:r>
                    <m:rPr/>
                    <m:t>η</m:t>
                  </m:r>
                </m:e>
                <m:sub>
                  <m:r>
                    <m:rPr/>
                    <m:t>B</m:t>
                  </m:r>
                </m:sub>
              </m:sSub>
              <m:sSub>
                <m:sSubPr/>
                <m:e>
                  <m:r>
                    <m:rPr/>
                    <m:t>n</m:t>
                  </m:r>
                </m:e>
                <m:sub>
                  <m:r>
                    <m:rPr/>
                    <m:t>e</m:t>
                  </m:r>
                </m:sub>
              </m:sSub>
              <m:sSub>
                <m:sSubPr/>
                <m:e>
                  <m:r>
                    <m:rPr/>
                    <m:t>v</m:t>
                  </m:r>
                </m:e>
                <m:sub>
                  <m:r>
                    <m:rPr>
                      <m:sty m:val="p"/>
                    </m:rPr>
                    <m:t>drift</m:t>
                  </m:r>
                </m:sub>
              </m:sSub>
              <m:d>
                <m:dPr>
                  <m:sepChr m:val=""/>
                </m:dPr>
                <m:e>
                  <m:f>
                    <m:fPr/>
                    <m:num>
                      <m:sSub>
                        <m:sSubPr/>
                        <m:e>
                          <m:r>
                            <m:rPr/>
                            <m:t>N</m:t>
                          </m:r>
                        </m:e>
                        <m:sub>
                          <m:r>
                            <m:rPr/>
                            <m:t>B</m:t>
                          </m:r>
                        </m:sub>
                      </m:sSub>
                    </m:num>
                    <m:den>
                      <m:sSubSup>
                        <m:sSubSupPr/>
                        <m:e>
                          <m:r>
                            <m:rPr/>
                            <m:t>N</m:t>
                          </m:r>
                        </m:e>
                        <m:sub>
                          <m:r>
                            <m:rPr/>
                            <m:t>B</m:t>
                          </m:r>
                        </m:sub>
                        <m:sup>
                          <m:r>
                            <m:rPr>
                              <m:sty m:val="p"/>
                            </m:rPr>
                            <m:t>max</m:t>
                          </m:r>
                        </m:sup>
                      </m:sSubSup>
                    </m:den>
                  </m:f>
                </m:e>
              </m:d>
            </m:e>
            <m:e>
              <m:r>
                <m:rPr/>
                <m:t>&amp;</m:t>
              </m:r>
              <m:sSub>
                <m:sSubPr/>
                <m:e>
                  <m:r>
                    <m:rPr/>
                    <m:t>γ</m:t>
                  </m:r>
                </m:e>
                <m:sub>
                  <m:r>
                    <m:rPr/>
                    <m:t>n</m:t>
                  </m:r>
                  <m:r>
                    <m:rPr>
                      <m:sty m:val="p"/>
                    </m:rPr>
                    <m:t>+</m:t>
                  </m:r>
                  <m:r>
                    <m:rPr/>
                    <m:t>1</m:t>
                  </m:r>
                </m:sub>
              </m:sSub>
              <m:r>
                <m:rPr>
                  <m:sty m:val="p"/>
                </m:rPr>
                <m:t>=</m:t>
              </m:r>
              <m:sSub>
                <m:sSubPr/>
                <m:e>
                  <m:r>
                    <m:rPr/>
                    <m:t>γ</m:t>
                  </m:r>
                </m:e>
                <m:sub>
                  <m:r>
                    <m:rPr/>
                    <m:t>n</m:t>
                  </m:r>
                </m:sub>
              </m:sSub>
              <m:d>
                <m:dPr>
                  <m:sepChr m:val=""/>
                </m:dPr>
                <m:e>
                  <m:r>
                    <m:rPr/>
                    <m:t>1</m:t>
                  </m:r>
                  <m:r>
                    <m:rPr>
                      <m:sty m:val="p"/>
                    </m:rPr>
                    <m:t>+</m:t>
                  </m:r>
                  <m:r>
                    <m:rPr/>
                    <m:t>ξ</m:t>
                  </m:r>
                  <m:f>
                    <m:fPr/>
                    <m:num>
                      <m:r>
                        <m:rPr>
                          <m:sty m:val="p"/>
                        </m:rPr>
                        <m:t>Δ</m:t>
                      </m:r>
                      <m:r>
                        <m:rPr/>
                        <m:t>u</m:t>
                      </m:r>
                    </m:num>
                    <m:den>
                      <m:r>
                        <m:rPr/>
                        <m:t>c</m:t>
                      </m:r>
                    </m:den>
                  </m:f>
                </m:e>
              </m:d>
              <m:r>
                <m:rPr>
                  <m:sty m:val="p"/>
                </m:rPr>
                <m:t>,</m:t>
              </m:r>
              <m:r>
                <m:rPr/>
                <m:t> </m:t>
              </m:r>
              <m:r>
                <m:rPr>
                  <m:sty m:val="p"/>
                </m:rPr>
                <m:t>captureprobability</m:t>
              </m:r>
              <m:sSub>
                <m:sSubPr/>
                <m:e>
                  <m:r>
                    <m:rPr/>
                    <m:t>W</m:t>
                  </m:r>
                </m:e>
                <m:sub>
                  <m:r>
                    <m:rPr/>
                    <m:t>B</m:t>
                  </m:r>
                  <m:r>
                    <m:rPr>
                      <m:sty m:val="p"/>
                    </m:rPr>
                    <m:t>,</m:t>
                  </m:r>
                  <m:r>
                    <m:rPr/>
                    <m:t>n</m:t>
                  </m:r>
                </m:sub>
              </m:sSub>
            </m:e>
            <m:e>
              <m:r>
                <m:rPr/>
                <m:t>&amp;</m:t>
              </m:r>
              <m:sSub>
                <m:sSubPr/>
                <m:e>
                  <m:r>
                    <m:rPr/>
                    <m:t>ε</m:t>
                  </m:r>
                </m:e>
                <m:sub>
                  <m:r>
                    <m:rPr>
                      <m:sty m:val="p"/>
                    </m:rPr>
                    <m:t>sync</m:t>
                  </m:r>
                </m:sub>
              </m:sSub>
              <m:r>
                <m:rPr>
                  <m:sty m:val="p"/>
                </m:rPr>
                <m:t>≃</m:t>
              </m:r>
              <m:f>
                <m:fPr/>
                <m:num>
                  <m:r>
                    <m:rPr/>
                    <m:t>3</m:t>
                  </m:r>
                </m:num>
                <m:den>
                  <m:r>
                    <m:rPr/>
                    <m:t>2</m:t>
                  </m:r>
                </m:den>
              </m:f>
              <m:r>
                <m:rPr>
                  <m:sty m:val="p"/>
                </m:rPr>
                <m:t>ℏ</m:t>
              </m:r>
              <m:sSubSup>
                <m:sSubSupPr/>
                <m:e>
                  <m:r>
                    <m:rPr/>
                    <m:t>γ</m:t>
                  </m:r>
                </m:e>
                <m:sub>
                  <m:r>
                    <m:rPr/>
                    <m:t>e</m:t>
                  </m:r>
                </m:sub>
                <m:sup>
                  <m:r>
                    <m:rPr/>
                    <m:t>2</m:t>
                  </m:r>
                </m:sup>
              </m:sSubSup>
              <m:d>
                <m:dPr>
                  <m:sepChr m:val=""/>
                </m:dPr>
                <m:e>
                  <m:f>
                    <m:fPr/>
                    <m:num>
                      <m:r>
                        <m:rPr/>
                        <m:t>eB</m:t>
                      </m:r>
                    </m:num>
                    <m:den>
                      <m:sSub>
                        <m:sSubPr/>
                        <m:e>
                          <m:r>
                            <m:rPr/>
                            <m:t>m</m:t>
                          </m:r>
                        </m:e>
                        <m:sub>
                          <m:r>
                            <m:rPr/>
                            <m:t>e</m:t>
                          </m:r>
                        </m:sub>
                      </m:sSub>
                      <m:r>
                        <m:rPr/>
                        <m:t>c</m:t>
                      </m:r>
                    </m:den>
                  </m:f>
                </m:e>
              </m:d>
              <m:r>
                <m:rPr>
                  <m:sty m:val="p"/>
                </m:rPr>
                <m:t>sin</m:t>
              </m:r>
              <m:r>
                <m:rPr/>
                <m:t>α</m:t>
              </m:r>
            </m:e>
            <m:e>
              <m:r>
                <m:rPr/>
                <m:t>&amp;</m:t>
              </m:r>
              <m:sSubSup>
                <m:sSubSupPr/>
                <m:e>
                  <m:r>
                    <m:rPr/>
                    <m:t>ε</m:t>
                  </m:r>
                </m:e>
                <m:sub>
                  <m:r>
                    <m:rPr/>
                    <m:t>γ</m:t>
                  </m:r>
                </m:sub>
                <m:sup>
                  <m:r>
                    <m:rPr>
                      <m:sty m:val="p"/>
                    </m:rPr>
                    <m:t>IC</m:t>
                  </m:r>
                </m:sup>
              </m:sSubSup>
              <m:r>
                <m:rPr>
                  <m:sty m:val="p"/>
                </m:rPr>
                <m:t>≃</m:t>
              </m:r>
              <m:f>
                <m:fPr/>
                <m:num>
                  <m:r>
                    <m:rPr/>
                    <m:t>4</m:t>
                  </m:r>
                </m:num>
                <m:den>
                  <m:r>
                    <m:rPr/>
                    <m:t>3</m:t>
                  </m:r>
                </m:den>
              </m:f>
              <m:sSubSup>
                <m:sSubSupPr/>
                <m:e>
                  <m:r>
                    <m:rPr/>
                    <m:t>γ</m:t>
                  </m:r>
                </m:e>
                <m:sub>
                  <m:r>
                    <m:rPr/>
                    <m:t>e</m:t>
                  </m:r>
                </m:sub>
                <m:sup>
                  <m:r>
                    <m:rPr/>
                    <m:t>2</m:t>
                  </m:r>
                </m:sup>
              </m:sSubSup>
              <m:sSub>
                <m:sSubPr/>
                <m:e>
                  <m:r>
                    <m:rPr/>
                    <m:t>ε</m:t>
                  </m:r>
                </m:e>
                <m:sub>
                  <m:r>
                    <m:rPr>
                      <m:sty m:val="p"/>
                    </m:rPr>
                    <m:t>bg</m:t>
                  </m:r>
                </m:sub>
              </m:sSub>
              <m:r>
                <m:rPr>
                  <m:sty m:val="p"/>
                </m:rPr>
                <m:t>,</m:t>
              </m:r>
              <m:r>
                <m:rPr/>
                <m:t> </m:t>
              </m:r>
              <m:sSub>
                <m:sSubPr/>
                <m:e>
                  <m:r>
                    <m:rPr/>
                    <m:t>σ</m:t>
                  </m:r>
                </m:e>
                <m:sub>
                  <m:r>
                    <m:rPr>
                      <m:sty m:val="p"/>
                    </m:rPr>
                    <m:t>IC</m:t>
                  </m:r>
                </m:sub>
              </m:sSub>
              <m:r>
                <m:rPr>
                  <m:sty m:val="p"/>
                </m:rPr>
                <m:t>→</m:t>
              </m:r>
              <m:sSub>
                <m:sSubPr/>
                <m:e>
                  <m:r>
                    <m:rPr/>
                    <m:t>σ</m:t>
                  </m:r>
                </m:e>
                <m:sub>
                  <m:r>
                    <m:rPr>
                      <m:sty m:val="p"/>
                    </m:rPr>
                    <m:t>KN</m:t>
                  </m:r>
                </m:sub>
              </m:sSub>
              <m:r>
                <m:rPr/>
                <m:t> </m:t>
              </m:r>
              <m:r>
                <m:rPr>
                  <m:sty m:val="p"/>
                </m:rPr>
                <m:t>(</m:t>
              </m:r>
              <m:sSub>
                <m:sSubPr/>
                <m:e>
                  <m:r>
                    <m:rPr/>
                    <m:t>γ</m:t>
                  </m:r>
                </m:e>
                <m:sub>
                  <m:r>
                    <m:rPr/>
                    <m:t>e</m:t>
                  </m:r>
                </m:sub>
              </m:sSub>
              <m:sSub>
                <m:sSubPr/>
                <m:e>
                  <m:r>
                    <m:rPr/>
                    <m:t>ε</m:t>
                  </m:r>
                </m:e>
                <m:sub>
                  <m:r>
                    <m:rPr>
                      <m:sty m:val="p"/>
                    </m:rPr>
                    <m:t>bg</m:t>
                  </m:r>
                </m:sub>
              </m:sSub>
              <m:r>
                <m:rPr>
                  <m:sty m:val="p"/>
                </m:rPr>
                <m:t>≳</m:t>
              </m:r>
              <m:sSub>
                <m:sSubPr/>
                <m:e>
                  <m:r>
                    <m:rPr/>
                    <m:t>m</m:t>
                  </m:r>
                </m:e>
                <m:sub>
                  <m:r>
                    <m:rPr/>
                    <m:t>e</m:t>
                  </m:r>
                </m:sub>
              </m:sSub>
              <m:sSup>
                <m:sSupPr/>
                <m:e>
                  <m:r>
                    <m:rPr/>
                    <m:t>c</m:t>
                  </m:r>
                </m:e>
                <m:sup>
                  <m:r>
                    <m:rPr/>
                    <m:t>2</m:t>
                  </m:r>
                </m:sup>
              </m:sSup>
              <m:r>
                <m:rPr>
                  <m:sty m:val="p"/>
                </m:rPr>
                <m:t>)</m:t>
              </m:r>
            </m:e>
            <m:e>
              <m:r>
                <m:rPr/>
                <m:t>&amp;γ</m:t>
              </m:r>
              <m:r>
                <m:rPr>
                  <m:sty m:val="p"/>
                </m:rPr>
                <m:t>+</m:t>
              </m:r>
              <m:sSub>
                <m:sSubPr/>
                <m:e>
                  <m:r>
                    <m:rPr/>
                    <m:t>γ</m:t>
                  </m:r>
                </m:e>
                <m:sub>
                  <m:r>
                    <m:rPr>
                      <m:sty m:val="p"/>
                    </m:rPr>
                    <m:t>bg</m:t>
                  </m:r>
                </m:sub>
              </m:sSub>
              <m:r>
                <m:rPr>
                  <m:sty m:val="p"/>
                </m:rPr>
                <m:t>→</m:t>
              </m:r>
              <m:sSup>
                <m:sSupPr/>
                <m:e>
                  <m:r>
                    <m:rPr/>
                    <m:t>e</m:t>
                  </m:r>
                </m:e>
                <m:sup>
                  <m:r>
                    <m:rPr>
                      <m:sty m:val="p"/>
                    </m:rPr>
                    <m:t>+</m:t>
                  </m:r>
                </m:sup>
              </m:sSup>
              <m:sSup>
                <m:sSupPr/>
                <m:e>
                  <m:r>
                    <m:rPr/>
                    <m:t>e</m:t>
                  </m:r>
                </m:e>
                <m:sup>
                  <m:r>
                    <m:rPr>
                      <m:sty m:val="p"/>
                    </m:rPr>
                    <m:t>−</m:t>
                  </m:r>
                </m:sup>
              </m:sSup>
              <m:r>
                <m:rPr>
                  <m:sty m:val="p"/>
                </m:rPr>
                <m:t>:</m:t>
              </m:r>
              <m:r>
                <m:rPr/>
                <m:t> </m:t>
              </m:r>
              <m:sSub>
                <m:sSubPr/>
                <m:e>
                  <m:r>
                    <m:rPr/>
                    <m:t>ε</m:t>
                  </m:r>
                </m:e>
                <m:sub>
                  <m:r>
                    <m:rPr/>
                    <m:t>γ</m:t>
                  </m:r>
                </m:sub>
              </m:sSub>
              <m:sSub>
                <m:sSubPr/>
                <m:e>
                  <m:r>
                    <m:rPr/>
                    <m:t>ε</m:t>
                  </m:r>
                </m:e>
                <m:sub>
                  <m:r>
                    <m:rPr>
                      <m:sty m:val="p"/>
                    </m:rPr>
                    <m:t>bg</m:t>
                  </m:r>
                </m:sub>
              </m:sSub>
              <m:r>
                <m:rPr>
                  <m:sty m:val="p"/>
                </m:rPr>
                <m:t>(</m:t>
              </m:r>
              <m:r>
                <m:rPr/>
                <m:t>1</m:t>
              </m:r>
              <m:r>
                <m:rPr>
                  <m:sty m:val="p"/>
                </m:rPr>
                <m:t>−cos</m:t>
              </m:r>
              <m:r>
                <m:rPr/>
                <m:t>θ</m:t>
              </m:r>
              <m:r>
                <m:rPr>
                  <m:sty m:val="p"/>
                </m:rPr>
                <m:t>)≥</m:t>
              </m:r>
              <m:r>
                <m:rPr/>
                <m:t>2</m:t>
              </m:r>
              <m:r>
                <m:rPr>
                  <m:sty m:val="p"/>
                </m:rPr>
                <m:t>(</m:t>
              </m:r>
              <m:sSub>
                <m:sSubPr/>
                <m:e>
                  <m:r>
                    <m:rPr/>
                    <m:t>m</m:t>
                  </m:r>
                </m:e>
                <m:sub>
                  <m:r>
                    <m:rPr/>
                    <m:t>e</m:t>
                  </m:r>
                </m:sub>
              </m:sSub>
              <m:sSup>
                <m:sSupPr/>
                <m:e>
                  <m:r>
                    <m:rPr/>
                    <m:t>c</m:t>
                  </m:r>
                </m:e>
                <m:sup>
                  <m:r>
                    <m:rPr/>
                    <m:t>2</m:t>
                  </m:r>
                </m:sup>
              </m:sSup>
              <m:sSup>
                <m:sSupPr/>
                <m:e>
                  <m:r>
                    <m:rPr>
                      <m:sty m:val="p"/>
                    </m:rPr>
                    <m:t>)</m:t>
                  </m:r>
                </m:e>
                <m:sup>
                  <m:r>
                    <m:rPr/>
                    <m:t>2</m:t>
                  </m:r>
                </m:sup>
              </m:sSup>
            </m:e>
            <m:e>
              <m:r>
                <m:rPr/>
                <m:t>&amp;</m:t>
              </m:r>
              <m:sSubSup>
                <m:sSubSupPr/>
                <m:e>
                  <m:r>
                    <m:rPr/>
                    <m:t>t</m:t>
                  </m:r>
                </m:e>
                <m:sub>
                  <m:r>
                    <m:rPr>
                      <m:sty m:val="p"/>
                    </m:rPr>
                    <m:t>acc</m:t>
                  </m:r>
                </m:sub>
                <m:sup>
                  <m:r>
                    <m:rPr>
                      <m:sty m:val="p"/>
                    </m:rPr>
                    <m:t>Bohm</m:t>
                  </m:r>
                </m:sup>
              </m:sSubSup>
              <m:r>
                <m:rPr>
                  <m:sty m:val="p"/>
                </m:rPr>
                <m:t>≃</m:t>
              </m:r>
              <m:f>
                <m:fPr/>
                <m:num>
                  <m:r>
                    <m:rPr/>
                    <m:t>3γmc</m:t>
                  </m:r>
                </m:num>
                <m:den>
                  <m:r>
                    <m:rPr/>
                    <m:t>eB</m:t>
                  </m:r>
                </m:den>
              </m:f>
              <m:sSub>
                <m:sSubPr/>
                <m:e>
                  <m:r>
                    <m:rPr/>
                    <m:t>f</m:t>
                  </m:r>
                </m:e>
                <m:sub>
                  <m:r>
                    <m:rPr>
                      <m:sty m:val="p"/>
                    </m:rPr>
                    <m:t>scat</m:t>
                  </m:r>
                </m:sub>
              </m:sSub>
              <m:r>
                <m:rPr>
                  <m:sty m:val="p"/>
                </m:rPr>
                <m:t>,</m:t>
              </m:r>
              <m:r>
                <m:rPr/>
                <m:t> </m:t>
              </m:r>
              <m:sSubSup>
                <m:sSubSupPr/>
                <m:e>
                  <m:r>
                    <m:rPr/>
                    <m:t>t</m:t>
                  </m:r>
                </m:e>
                <m:sub>
                  <m:r>
                    <m:rPr>
                      <m:sty m:val="p"/>
                    </m:rPr>
                    <m:t>syn</m:t>
                  </m:r>
                </m:sub>
                <m:sup>
                  <m:r>
                    <m:rPr>
                      <m:sty m:val="p"/>
                    </m:rPr>
                    <m:t>−</m:t>
                  </m:r>
                  <m:r>
                    <m:rPr/>
                    <m:t>1</m:t>
                  </m:r>
                </m:sup>
              </m:sSubSup>
              <m:r>
                <m:rPr>
                  <m:sty m:val="p"/>
                </m:rPr>
                <m:t>=</m:t>
              </m:r>
              <m:f>
                <m:fPr/>
                <m:num>
                  <m:r>
                    <m:rPr/>
                    <m:t>4</m:t>
                  </m:r>
                </m:num>
                <m:den>
                  <m:r>
                    <m:rPr/>
                    <m:t>3</m:t>
                  </m:r>
                </m:den>
              </m:f>
              <m:f>
                <m:fPr/>
                <m:num>
                  <m:sSub>
                    <m:sSubPr/>
                    <m:e>
                      <m:r>
                        <m:rPr/>
                        <m:t>σ</m:t>
                      </m:r>
                    </m:e>
                    <m:sub>
                      <m:r>
                        <m:rPr/>
                        <m:t>T</m:t>
                      </m:r>
                    </m:sub>
                  </m:sSub>
                  <m:r>
                    <m:rPr/>
                    <m:t>c</m:t>
                  </m:r>
                </m:num>
                <m:den>
                  <m:sSub>
                    <m:sSubPr/>
                    <m:e>
                      <m:r>
                        <m:rPr/>
                        <m:t>m</m:t>
                      </m:r>
                    </m:e>
                    <m:sub>
                      <m:r>
                        <m:rPr/>
                        <m:t>e</m:t>
                      </m:r>
                    </m:sub>
                  </m:sSub>
                  <m:sSup>
                    <m:sSupPr/>
                    <m:e>
                      <m:r>
                        <m:rPr/>
                        <m:t>c</m:t>
                      </m:r>
                    </m:e>
                    <m:sup>
                      <m:r>
                        <m:rPr/>
                        <m:t>2</m:t>
                      </m:r>
                    </m:sup>
                  </m:sSup>
                </m:den>
              </m:f>
              <m:sSup>
                <m:sSupPr/>
                <m:e>
                  <m:r>
                    <m:rPr/>
                    <m:t>γ</m:t>
                  </m:r>
                </m:e>
                <m:sup>
                  <m:r>
                    <m:rPr/>
                    <m:t>2</m:t>
                  </m:r>
                </m:sup>
              </m:sSup>
              <m:sSub>
                <m:sSubPr/>
                <m:e>
                  <m:r>
                    <m:rPr/>
                    <m:t>U</m:t>
                  </m:r>
                </m:e>
                <m:sub>
                  <m:r>
                    <m:rPr/>
                    <m:t>B</m:t>
                  </m:r>
                </m:sub>
              </m:sSub>
            </m:e>
            <m:e>
              <m:r>
                <m:rPr/>
                <m:t>&amp;</m:t>
              </m:r>
              <m:f>
                <m:fPr/>
                <m:num>
                  <m:r>
                    <m:rPr/>
                    <m:t>dN</m:t>
                  </m:r>
                </m:num>
                <m:den>
                  <m:r>
                    <m:rPr/>
                    <m:t>dE</m:t>
                  </m:r>
                </m:den>
              </m:f>
              <m:r>
                <m:rPr>
                  <m:sty m:val="p"/>
                </m:rPr>
                <m:t>∝</m:t>
              </m:r>
              <m:sSup>
                <m:sSupPr/>
                <m:e>
                  <m:r>
                    <m:rPr/>
                    <m:t>E</m:t>
                  </m:r>
                </m:e>
                <m:sup>
                  <m:r>
                    <m:rPr>
                      <m:sty m:val="p"/>
                    </m:rPr>
                    <m:t>−</m:t>
                  </m:r>
                  <m:r>
                    <m:rPr/>
                    <m:t>p</m:t>
                  </m:r>
                </m:sup>
              </m:sSup>
              <m:r>
                <m:rPr>
                  <m:sty m:val="p"/>
                </m:rPr>
                <m:t>,</m:t>
              </m:r>
              <m:r>
                <m:rPr/>
                <m:t> p</m:t>
              </m:r>
              <m:r>
                <m:rPr>
                  <m:sty m:val="p"/>
                </m:rPr>
                <m:t>=</m:t>
              </m:r>
              <m:r>
                <m:rPr/>
                <m:t>1</m:t>
              </m:r>
              <m:r>
                <m:rPr>
                  <m:sty m:val="p"/>
                </m:rPr>
                <m:t>+</m:t>
              </m:r>
              <m:f>
                <m:fPr/>
                <m:num>
                  <m:r>
                    <m:rPr>
                      <m:sty m:val="p"/>
                    </m:rPr>
                    <m:t>ln(</m:t>
                  </m:r>
                  <m:r>
                    <m:rPr/>
                    <m:t>1</m:t>
                  </m:r>
                  <m:r>
                    <m:rPr>
                      <m:sty m:val="p"/>
                    </m:rPr>
                    <m:t>/</m:t>
                  </m:r>
                  <m:sSub>
                    <m:sSubPr/>
                    <m:e>
                      <m:r>
                        <m:rPr/>
                        <m:t>W</m:t>
                      </m:r>
                    </m:e>
                    <m:sub>
                      <m:r>
                        <m:rPr/>
                        <m:t>B</m:t>
                      </m:r>
                    </m:sub>
                  </m:sSub>
                  <m:r>
                    <m:rPr>
                      <m:sty m:val="p"/>
                    </m:rPr>
                    <m:t>)</m:t>
                  </m:r>
                </m:num>
                <m:den>
                  <m:r>
                    <m:rPr>
                      <m:sty m:val="p"/>
                    </m:rPr>
                    <m:t>ln(</m:t>
                  </m:r>
                  <m:r>
                    <m:rPr/>
                    <m:t>1</m:t>
                  </m:r>
                  <m:r>
                    <m:rPr>
                      <m:sty m:val="p"/>
                    </m:rPr>
                    <m:t>+</m:t>
                  </m:r>
                  <m:r>
                    <m:rPr/>
                    <m:t>g</m:t>
                  </m:r>
                  <m:r>
                    <m:rPr>
                      <m:sty m:val="p"/>
                    </m:rPr>
                    <m:t>)</m:t>
                  </m:r>
                </m:den>
              </m:f>
              <m:r>
                <m:rPr/>
                <m:t> </m:t>
              </m:r>
              <m:r>
                <m:rPr>
                  <m:sty m:val="p"/>
                </m:rPr>
                <m:t>[Discretebowstringrecurrencecontinuumlimit→StandardDSApower−lawspectrum]</m:t>
              </m:r>
            </m:e>
            <m:e>
              <m:r>
                <m:rPr/>
                <m:t>&amp;</m:t>
              </m:r>
              <m:sSub>
                <m:sSubPr/>
                <m:e>
                  <m:r>
                    <m:rPr/>
                    <m:t>Y</m:t>
                  </m:r>
                </m:e>
                <m:sub>
                  <m:r>
                    <m:rPr/>
                    <m:t>γ</m:t>
                  </m:r>
                </m:sub>
              </m:sSub>
              <m:r>
                <m:rPr>
                  <m:sty m:val="p"/>
                </m:rPr>
                <m:t>∝</m:t>
              </m:r>
              <m:sSub>
                <m:sSubPr/>
                <m:e>
                  <m:r>
                    <m:rPr>
                      <m:sty m:val="p"/>
                      <m:scr m:val="script"/>
                    </m:rPr>
                    <m:t>O</m:t>
                  </m:r>
                </m:e>
                <m:sub>
                  <m:r>
                    <m:rPr/>
                    <m:t>A</m:t>
                  </m:r>
                </m:sub>
              </m:sSub>
              <m:sSub>
                <m:sSubPr/>
                <m:e>
                  <m:r>
                    <m:rPr/>
                    <m:t>W</m:t>
                  </m:r>
                </m:e>
                <m:sub>
                  <m:r>
                    <m:rPr/>
                    <m:t>B</m:t>
                  </m:r>
                </m:sub>
              </m:sSub>
              <m:sSub>
                <m:sSubPr/>
                <m:e>
                  <m:r>
                    <m:rPr>
                      <m:sty m:val="p"/>
                      <m:scr m:val="script"/>
                    </m:rPr>
                    <m:t>P</m:t>
                  </m:r>
                </m:e>
                <m:sub>
                  <m:r>
                    <m:rPr/>
                    <m:t>C</m:t>
                  </m:r>
                </m:sub>
              </m:sSub>
              <m:r>
                <m:rPr>
                  <m:sty m:val="p"/>
                </m:rPr>
                <m:t>,</m:t>
              </m:r>
              <m:r>
                <m:rPr/>
                <m:t> </m:t>
              </m:r>
              <m:sSubSup>
                <m:sSubSupPr/>
                <m:e>
                  <m:r>
                    <m:rPr/>
                    <m:t>ε</m:t>
                  </m:r>
                </m:e>
                <m:sub>
                  <m:r>
                    <m:rPr/>
                    <m:t>γ</m:t>
                  </m:r>
                </m:sub>
                <m:sup>
                  <m:r>
                    <m:rPr>
                      <m:sty m:val="p"/>
                    </m:rPr>
                    <m:t>sat</m:t>
                  </m:r>
                </m:sup>
              </m:sSubSup>
              <m:r>
                <m:rPr>
                  <m:sty m:val="p"/>
                </m:rPr>
                <m:t>=min</m:t>
              </m:r>
              <m:d>
                <m:dPr>
                  <m:sepChr m:val=""/>
                </m:dPr>
                <m:e>
                  <m:sSub>
                    <m:sSubPr/>
                    <m:e>
                      <m:r>
                        <m:rPr/>
                        <m:t>ε</m:t>
                      </m:r>
                    </m:e>
                    <m:sub>
                      <m:r>
                        <m:rPr>
                          <m:sty m:val="p"/>
                        </m:rPr>
                        <m:t>Bohm</m:t>
                      </m:r>
                    </m:sub>
                  </m:sSub>
                  <m:r>
                    <m:rPr>
                      <m:sty m:val="p"/>
                    </m:rPr>
                    <m:t>,</m:t>
                  </m:r>
                  <m:r>
                    <m:rPr/>
                    <m:t> </m:t>
                  </m:r>
                  <m:sSub>
                    <m:sSubPr/>
                    <m:e>
                      <m:r>
                        <m:rPr/>
                        <m:t>ε</m:t>
                      </m:r>
                    </m:e>
                    <m:sub>
                      <m:r>
                        <m:rPr>
                          <m:sty m:val="p"/>
                        </m:rPr>
                        <m:t>cool</m:t>
                      </m:r>
                    </m:sub>
                  </m:sSub>
                  <m:r>
                    <m:rPr>
                      <m:sty m:val="p"/>
                    </m:rPr>
                    <m:t>,</m:t>
                  </m:r>
                  <m:r>
                    <m:rPr/>
                    <m:t> </m:t>
                  </m:r>
                  <m:sSub>
                    <m:sSubPr/>
                    <m:e>
                      <m:r>
                        <m:rPr/>
                        <m:t>ε</m:t>
                      </m:r>
                    </m:e>
                    <m:sub>
                      <m:r>
                        <m:rPr>
                          <m:sty m:val="p"/>
                        </m:rPr>
                        <m:t>KN</m:t>
                      </m:r>
                    </m:sub>
                  </m:sSub>
                  <m:r>
                    <m:rPr>
                      <m:sty m:val="p"/>
                    </m:rPr>
                    <m:t>,</m:t>
                  </m:r>
                  <m:r>
                    <m:rPr/>
                    <m:t> </m:t>
                  </m:r>
                  <m:sSub>
                    <m:sSubPr/>
                    <m:e>
                      <m:r>
                        <m:rPr/>
                        <m:t>ε</m:t>
                      </m:r>
                    </m:e>
                    <m:sub>
                      <m:r>
                        <m:rPr/>
                        <m:t>B</m:t>
                      </m:r>
                      <m:r>
                        <m:rPr>
                          <m:sty m:val="p"/>
                        </m:rPr>
                        <m:t>,diss</m:t>
                      </m:r>
                    </m:sub>
                  </m:sSub>
                </m:e>
              </m:d>
            </m:e>
            <m:e>
              <m:r>
                <m:rPr/>
                <m:t>&amp;</m:t>
              </m:r>
              <m:sSubSup>
                <m:sSubSupPr/>
                <m:e>
                  <m:r>
                    <m:rPr/>
                    <m:t>E</m:t>
                  </m:r>
                </m:e>
                <m:sub>
                  <m:r>
                    <m:rPr/>
                    <m:t>pγ</m:t>
                  </m:r>
                </m:sub>
                <m:sup>
                  <m:r>
                    <m:rPr>
                      <m:sty m:val="p"/>
                    </m:rPr>
                    <m:t>th</m:t>
                  </m:r>
                </m:sup>
              </m:sSubSup>
              <m:r>
                <m:rPr>
                  <m:sty m:val="p"/>
                </m:rPr>
                <m:t>≈</m:t>
              </m:r>
              <m:r>
                <m:rPr/>
                <m:t>5</m:t>
              </m:r>
              <m:r>
                <m:rPr>
                  <m:sty m:val="p"/>
                </m:rPr>
                <m:t>×</m:t>
              </m:r>
              <m:sSup>
                <m:sSupPr/>
                <m:e>
                  <m:r>
                    <m:rPr/>
                    <m:t>10</m:t>
                  </m:r>
                </m:e>
                <m:sup>
                  <m:r>
                    <m:rPr/>
                    <m:t>19</m:t>
                  </m:r>
                </m:sup>
              </m:sSup>
              <m:sSup>
                <m:sSupPr/>
                <m:e>
                  <m:d>
                    <m:dPr>
                      <m:sepChr m:val=""/>
                    </m:dPr>
                    <m:e>
                      <m:f>
                        <m:fPr/>
                        <m:num>
                          <m:sSub>
                            <m:sSubPr/>
                            <m:e>
                              <m:r>
                                <m:rPr/>
                                <m:t>ε</m:t>
                              </m:r>
                            </m:e>
                            <m:sub>
                              <m:r>
                                <m:rPr>
                                  <m:sty m:val="p"/>
                                </m:rPr>
                                <m:t>CMB</m:t>
                              </m:r>
                            </m:sub>
                          </m:sSub>
                        </m:num>
                        <m:den>
                          <m:sSup>
                            <m:sSupPr/>
                            <m:e>
                              <m:r>
                                <m:rPr/>
                                <m:t>10</m:t>
                              </m:r>
                            </m:e>
                            <m:sup>
                              <m:r>
                                <m:rPr>
                                  <m:sty m:val="p"/>
                                </m:rPr>
                                <m:t>−</m:t>
                              </m:r>
                              <m:r>
                                <m:rPr/>
                                <m:t>3</m:t>
                              </m:r>
                            </m:sup>
                          </m:sSup>
                          <m:r>
                            <m:rPr/>
                            <m:t> </m:t>
                          </m:r>
                          <m:r>
                            <m:rPr>
                              <m:sty m:val="p"/>
                            </m:rPr>
                            <m:t>eV</m:t>
                          </m:r>
                        </m:den>
                      </m:f>
                    </m:e>
                  </m:d>
                </m:e>
                <m:sup>
                  <m:r>
                    <m:rPr>
                      <m:sty m:val="p"/>
                    </m:rPr>
                    <m:t>−</m:t>
                  </m:r>
                  <m:r>
                    <m:rPr/>
                    <m:t>1</m:t>
                  </m:r>
                </m:sup>
              </m:sSup>
              <m:r>
                <m:rPr/>
                <m:t> </m:t>
              </m:r>
              <m:r>
                <m:rPr>
                  <m:sty m:val="p"/>
                </m:rPr>
                <m:t>eV,</m:t>
              </m:r>
              <m:r>
                <m:rPr/>
                <m:t> </m:t>
              </m:r>
              <m:sSub>
                <m:sSubPr/>
                <m:e>
                  <m:r>
                    <m:rPr/>
                    <m:t>E</m:t>
                  </m:r>
                </m:e>
                <m:sub>
                  <m:r>
                    <m:rPr>
                      <m:sty m:val="p"/>
                    </m:rPr>
                    <m:t>GZK</m:t>
                  </m:r>
                </m:sub>
              </m:sSub>
              <m:r>
                <m:rPr>
                  <m:sty m:val="p"/>
                </m:rPr>
                <m:t>∼</m:t>
              </m:r>
              <m:r>
                <m:rPr/>
                <m:t>5</m:t>
              </m:r>
              <m:r>
                <m:rPr>
                  <m:sty m:val="p"/>
                </m:rPr>
                <m:t>×</m:t>
              </m:r>
              <m:sSup>
                <m:sSupPr/>
                <m:e>
                  <m:r>
                    <m:rPr/>
                    <m:t>10</m:t>
                  </m:r>
                </m:e>
                <m:sup>
                  <m:r>
                    <m:rPr/>
                    <m:t>19</m:t>
                  </m:r>
                </m:sup>
              </m:sSup>
              <m:r>
                <m:rPr/>
                <m:t> </m:t>
              </m:r>
              <m:r>
                <m:rPr>
                  <m:sty m:val="p"/>
                </m:rPr>
                <m:t>eV</m:t>
              </m:r>
            </m:e>
          </m:eqArr>
        </m:oMath>
      </m:oMathPara>
    </w:p>
    <w:bookmarkEnd w:id="33"/>
    <w:p w14:paraId="64CD3B2B">
      <w:pPr>
        <w:pStyle w:val="6"/>
      </w:pPr>
      <w:bookmarkStart w:id="34" w:name="X8d72d0a60d6f4a2a3f5fbadc4973e64c0bb8a72"/>
      <w:r>
        <w:t>Appendix B: GRB 221009A Standardized Parameter Table</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3"/>
        <w:gridCol w:w="1576"/>
        <w:gridCol w:w="1995"/>
        <w:gridCol w:w="2522"/>
      </w:tblGrid>
      <w:tr w14:paraId="6F51E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4B6B824">
            <w:pPr>
              <w:pStyle w:val="26"/>
              <w:jc w:val="center"/>
            </w:pPr>
            <w:r>
              <w:rPr>
                <w:b/>
              </w:rPr>
              <w:t>Parameter Symbol</w:t>
            </w:r>
          </w:p>
        </w:tc>
        <w:tc>
          <w:tcPr>
            <w:shd w:val="clear" w:color="auto" w:fill="B9CDE5"/>
            <w:vAlign w:val="center"/>
          </w:tcPr>
          <w:p w14:paraId="7DBD2558">
            <w:pPr>
              <w:pStyle w:val="26"/>
              <w:jc w:val="center"/>
            </w:pPr>
            <w:r>
              <w:rPr>
                <w:b/>
              </w:rPr>
              <w:t>0.2–7 TeV Afterglow</w:t>
            </w:r>
          </w:p>
        </w:tc>
        <w:tc>
          <w:tcPr>
            <w:shd w:val="clear" w:color="auto" w:fill="B9CDE5"/>
            <w:vAlign w:val="center"/>
          </w:tcPr>
          <w:p w14:paraId="10360576">
            <w:pPr>
              <w:pStyle w:val="26"/>
              <w:jc w:val="center"/>
            </w:pPr>
            <w:r>
              <w:rPr>
                <w:b/>
              </w:rPr>
              <w:t>&gt;10 TeV High-Energy Hard Tail</w:t>
            </w:r>
          </w:p>
        </w:tc>
        <w:tc>
          <w:tcPr>
            <w:shd w:val="clear" w:color="auto" w:fill="B9CDE5"/>
            <w:vAlign w:val="center"/>
          </w:tcPr>
          <w:p w14:paraId="5B59E526">
            <w:pPr>
              <w:pStyle w:val="26"/>
              <w:jc w:val="center"/>
            </w:pPr>
            <w:r>
              <w:rPr>
                <w:b/>
              </w:rPr>
              <w:t>250–300 TeV Extreme Events</w:t>
            </w:r>
          </w:p>
        </w:tc>
      </w:tr>
      <w:tr w14:paraId="7BCCB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212890F">
            <w:pPr>
              <w:pStyle w:val="26"/>
              <w:jc w:val="center"/>
            </w:pPr>
            <w:r>
              <w:t xml:space="preserve">Redshift </w:t>
            </w:r>
            <m:oMath>
              <m:r>
                <m:rPr/>
                <m:t>z</m:t>
              </m:r>
            </m:oMath>
          </w:p>
        </w:tc>
        <w:tc>
          <w:tcPr>
            <w:vAlign w:val="center"/>
          </w:tcPr>
          <w:p w14:paraId="1C365C6E">
            <w:pPr>
              <w:pStyle w:val="26"/>
              <w:jc w:val="center"/>
            </w:pPr>
            <w:r>
              <w:t>0.151</w:t>
            </w:r>
          </w:p>
        </w:tc>
        <w:tc>
          <w:tcPr>
            <w:vAlign w:val="center"/>
          </w:tcPr>
          <w:p w14:paraId="2A912818">
            <w:pPr>
              <w:pStyle w:val="26"/>
              <w:jc w:val="center"/>
            </w:pPr>
            <w:r>
              <w:t>0.151</w:t>
            </w:r>
          </w:p>
        </w:tc>
        <w:tc>
          <w:tcPr>
            <w:vAlign w:val="center"/>
          </w:tcPr>
          <w:p w14:paraId="0F85E669">
            <w:pPr>
              <w:pStyle w:val="26"/>
              <w:jc w:val="center"/>
            </w:pPr>
            <w:r>
              <w:t>0.151</w:t>
            </w:r>
          </w:p>
        </w:tc>
      </w:tr>
      <w:tr w14:paraId="752F8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F6CCE16">
            <w:pPr>
              <w:pStyle w:val="26"/>
              <w:jc w:val="center"/>
            </w:pPr>
            <w:r>
              <w:t xml:space="preserve">Observation start time </w:t>
            </w:r>
            <m:oMath>
              <m:r>
                <m:rPr/>
                <m:t>T</m:t>
              </m:r>
              <m:r>
                <m:rPr>
                  <m:sty m:val="p"/>
                </m:rPr>
                <m:t>−</m:t>
              </m:r>
              <m:sSub>
                <m:sSubPr/>
                <m:e>
                  <m:r>
                    <m:rPr/>
                    <m:t>T</m:t>
                  </m:r>
                </m:e>
                <m:sub>
                  <m:r>
                    <m:rPr/>
                    <m:t>0</m:t>
                  </m:r>
                </m:sub>
              </m:sSub>
            </m:oMath>
          </w:p>
        </w:tc>
        <w:tc>
          <w:tcPr>
            <w:vAlign w:val="center"/>
          </w:tcPr>
          <w:p w14:paraId="2B4C00A8">
            <w:pPr>
              <w:pStyle w:val="26"/>
              <w:jc w:val="center"/>
            </w:pPr>
            <w:r>
              <w:t>226 s</w:t>
            </w:r>
          </w:p>
        </w:tc>
        <w:tc>
          <w:tcPr>
            <w:vAlign w:val="center"/>
          </w:tcPr>
          <w:p w14:paraId="6EB14494">
            <w:pPr>
              <w:pStyle w:val="26"/>
              <w:jc w:val="center"/>
            </w:pPr>
            <w:r>
              <w:t>900 s</w:t>
            </w:r>
          </w:p>
        </w:tc>
        <w:tc>
          <w:tcPr>
            <w:vAlign w:val="center"/>
          </w:tcPr>
          <w:p w14:paraId="1B5A5B06">
            <w:pPr>
              <w:pStyle w:val="26"/>
              <w:jc w:val="center"/>
            </w:pPr>
            <w:r>
              <w:t>4536 s</w:t>
            </w:r>
          </w:p>
        </w:tc>
      </w:tr>
      <w:tr w14:paraId="5DD4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C00CAD8">
            <w:pPr>
              <w:pStyle w:val="26"/>
              <w:jc w:val="center"/>
            </w:pPr>
            <w:r>
              <w:t xml:space="preserve">Jet Lorentz factor </w:t>
            </w:r>
            <m:oMath>
              <m:r>
                <m:rPr>
                  <m:sty m:val="p"/>
                </m:rPr>
                <m:t>Γ</m:t>
              </m:r>
            </m:oMath>
          </w:p>
        </w:tc>
        <w:tc>
          <w:tcPr>
            <w:vAlign w:val="center"/>
          </w:tcPr>
          <w:p w14:paraId="3E0E39DA">
            <w:pPr>
              <w:pStyle w:val="26"/>
              <w:jc w:val="center"/>
            </w:pPr>
            <w:r>
              <w:t>300–500</w:t>
            </w:r>
          </w:p>
        </w:tc>
        <w:tc>
          <w:tcPr>
            <w:vAlign w:val="center"/>
          </w:tcPr>
          <w:p w14:paraId="0C1B56B2">
            <w:pPr>
              <w:pStyle w:val="26"/>
              <w:jc w:val="center"/>
            </w:pPr>
            <w:r>
              <w:t>400–600 (narrow core)</w:t>
            </w:r>
          </w:p>
        </w:tc>
        <w:tc>
          <w:tcPr>
            <w:vAlign w:val="center"/>
          </w:tcPr>
          <w:p w14:paraId="6893D7F2">
            <w:pPr>
              <w:pStyle w:val="26"/>
              <w:jc w:val="center"/>
            </w:pPr>
            <w:r>
              <w:t>Same as high-energy tail</w:t>
            </w:r>
          </w:p>
        </w:tc>
      </w:tr>
      <w:tr w14:paraId="06B62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C67E61C">
            <w:pPr>
              <w:pStyle w:val="26"/>
              <w:jc w:val="center"/>
            </w:pPr>
            <w:r>
              <w:t xml:space="preserve">Shock magnetic field </w:t>
            </w:r>
            <m:oMath>
              <m:r>
                <m:rPr/>
                <m:t>B</m:t>
              </m:r>
            </m:oMath>
          </w:p>
        </w:tc>
        <w:tc>
          <w:tcPr>
            <w:vAlign w:val="center"/>
          </w:tcPr>
          <w:p w14:paraId="788AEC87">
            <w:pPr>
              <w:pStyle w:val="26"/>
              <w:jc w:val="center"/>
            </w:pPr>
            <w:r>
              <w:t>0.1–1 G</w:t>
            </w:r>
          </w:p>
        </w:tc>
        <w:tc>
          <w:tcPr>
            <w:vAlign w:val="center"/>
          </w:tcPr>
          <w:p w14:paraId="29686EC9">
            <w:pPr>
              <w:pStyle w:val="26"/>
              <w:jc w:val="center"/>
            </w:pPr>
            <w:r>
              <w:t>0.3–1 G</w:t>
            </w:r>
          </w:p>
        </w:tc>
        <w:tc>
          <w:tcPr>
            <w:vAlign w:val="center"/>
          </w:tcPr>
          <w:p w14:paraId="77ED132F">
            <w:pPr>
              <w:pStyle w:val="26"/>
              <w:jc w:val="center"/>
            </w:pPr>
            <w:r>
              <w:t>1–10 G (local strong field)</w:t>
            </w:r>
          </w:p>
        </w:tc>
      </w:tr>
      <w:tr w14:paraId="4A617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7B1AB65">
            <w:pPr>
              <w:pStyle w:val="26"/>
              <w:jc w:val="center"/>
            </w:pPr>
            <w:r>
              <w:t xml:space="preserve">Max electron Lorentz factor </w:t>
            </w:r>
            <m:oMath>
              <m:sSub>
                <m:sSubPr/>
                <m:e>
                  <m:r>
                    <m:rPr/>
                    <m:t>γ</m:t>
                  </m:r>
                </m:e>
                <m:sub>
                  <m:r>
                    <m:rPr/>
                    <m:t>e</m:t>
                  </m:r>
                  <m:r>
                    <m:rPr>
                      <m:sty m:val="p"/>
                    </m:rPr>
                    <m:t>,max</m:t>
                  </m:r>
                </m:sub>
              </m:sSub>
            </m:oMath>
          </w:p>
        </w:tc>
        <w:tc>
          <w:tcPr>
            <w:vAlign w:val="center"/>
          </w:tcPr>
          <w:p w14:paraId="62FFE7A8">
            <w:pPr>
              <w:pStyle w:val="26"/>
              <w:jc w:val="center"/>
            </w:pPr>
            <m:oMathPara>
              <m:oMath>
                <m:r>
                  <m:rPr/>
                  <m:t>1</m:t>
                </m:r>
                <m:r>
                  <m:rPr>
                    <m:sty m:val="p"/>
                  </m:rPr>
                  <m:t>×</m:t>
                </m:r>
                <m:sSup>
                  <m:sSupPr/>
                  <m:e>
                    <m:r>
                      <m:rPr/>
                      <m:t>10</m:t>
                    </m:r>
                  </m:e>
                  <m:sup>
                    <m:r>
                      <m:rPr/>
                      <m:t>4</m:t>
                    </m:r>
                  </m:sup>
                </m:sSup>
                <m:r>
                  <m:rPr>
                    <m:sty m:val="p"/>
                  </m:rPr>
                  <m:t>−−</m:t>
                </m:r>
                <m:r>
                  <m:rPr/>
                  <m:t>3</m:t>
                </m:r>
                <m:r>
                  <m:rPr>
                    <m:sty m:val="p"/>
                  </m:rPr>
                  <m:t>×</m:t>
                </m:r>
                <m:sSup>
                  <m:sSupPr/>
                  <m:e>
                    <m:r>
                      <m:rPr/>
                      <m:t>10</m:t>
                    </m:r>
                  </m:e>
                  <m:sup>
                    <m:r>
                      <m:rPr/>
                      <m:t>5</m:t>
                    </m:r>
                  </m:sup>
                </m:sSup>
              </m:oMath>
            </m:oMathPara>
          </w:p>
        </w:tc>
        <w:tc>
          <w:tcPr>
            <w:vAlign w:val="center"/>
          </w:tcPr>
          <w:p w14:paraId="78F3C43F">
            <w:pPr>
              <w:pStyle w:val="26"/>
              <w:jc w:val="center"/>
            </w:pPr>
            <m:oMathPara>
              <m:oMath>
                <m:r>
                  <m:rPr/>
                  <m:t>3</m:t>
                </m:r>
                <m:r>
                  <m:rPr>
                    <m:sty m:val="p"/>
                  </m:rPr>
                  <m:t>×</m:t>
                </m:r>
                <m:sSup>
                  <m:sSupPr/>
                  <m:e>
                    <m:r>
                      <m:rPr/>
                      <m:t>10</m:t>
                    </m:r>
                  </m:e>
                  <m:sup>
                    <m:r>
                      <m:rPr/>
                      <m:t>5</m:t>
                    </m:r>
                  </m:sup>
                </m:sSup>
                <m:r>
                  <m:rPr>
                    <m:sty m:val="p"/>
                  </m:rPr>
                  <m:t>−−</m:t>
                </m:r>
                <m:r>
                  <m:rPr/>
                  <m:t>6</m:t>
                </m:r>
                <m:r>
                  <m:rPr>
                    <m:sty m:val="p"/>
                  </m:rPr>
                  <m:t>×</m:t>
                </m:r>
                <m:sSup>
                  <m:sSupPr/>
                  <m:e>
                    <m:r>
                      <m:rPr/>
                      <m:t>10</m:t>
                    </m:r>
                  </m:e>
                  <m:sup>
                    <m:r>
                      <m:rPr/>
                      <m:t>5</m:t>
                    </m:r>
                  </m:sup>
                </m:sSup>
              </m:oMath>
            </m:oMathPara>
          </w:p>
        </w:tc>
        <w:tc>
          <w:tcPr>
            <w:vAlign w:val="center"/>
          </w:tcPr>
          <w:p w14:paraId="721DAE2F">
            <w:pPr>
              <w:pStyle w:val="26"/>
              <w:jc w:val="center"/>
            </w:pPr>
            <m:oMath>
              <m:r>
                <m:rPr>
                  <m:sty m:val="p"/>
                </m:rPr>
                <m:t>∼</m:t>
              </m:r>
              <m:r>
                <m:rPr/>
                <m:t>4.4</m:t>
              </m:r>
              <m:r>
                <m:rPr>
                  <m:sty m:val="p"/>
                </m:rPr>
                <m:t>×</m:t>
              </m:r>
              <m:sSup>
                <m:sSupPr/>
                <m:e>
                  <m:r>
                    <m:rPr/>
                    <m:t>10</m:t>
                  </m:r>
                </m:e>
                <m:sup>
                  <m:r>
                    <m:rPr/>
                    <m:t>5</m:t>
                  </m:r>
                </m:sup>
              </m:sSup>
            </m:oMath>
            <w:r>
              <w:t xml:space="preserve"> (parameters to be revised)</w:t>
            </w:r>
          </w:p>
        </w:tc>
      </w:tr>
      <w:tr w14:paraId="1C0D6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0F55DFE">
            <w:pPr>
              <w:pStyle w:val="26"/>
              <w:jc w:val="center"/>
            </w:pPr>
            <w:r>
              <w:t>Radiation target field</w:t>
            </w:r>
          </w:p>
        </w:tc>
        <w:tc>
          <w:tcPr>
            <w:vAlign w:val="center"/>
          </w:tcPr>
          <w:p w14:paraId="1F053BFF">
            <w:pPr>
              <w:pStyle w:val="26"/>
              <w:jc w:val="center"/>
            </w:pPr>
            <w:r>
              <w:t>—</w:t>
            </w:r>
          </w:p>
        </w:tc>
        <w:tc>
          <w:tcPr>
            <w:vAlign w:val="center"/>
          </w:tcPr>
          <w:p w14:paraId="18484D77">
            <w:pPr>
              <w:pStyle w:val="26"/>
              <w:jc w:val="center"/>
            </w:pPr>
            <w:r>
              <w:t>SSC+CMB Low-model</w:t>
            </w:r>
          </w:p>
        </w:tc>
        <w:tc>
          <w:tcPr>
            <w:vAlign w:val="center"/>
          </w:tcPr>
          <w:p w14:paraId="47857D33">
            <w:pPr>
              <w:pStyle w:val="26"/>
              <w:jc w:val="center"/>
            </w:pPr>
            <w:r>
              <w:t>EBL+SSC CMB+SSC (requires KN correction)</w:t>
            </w:r>
          </w:p>
        </w:tc>
      </w:tr>
      <w:tr w14:paraId="48192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F15EF85">
            <w:pPr>
              <w:pStyle w:val="26"/>
              <w:jc w:val="center"/>
            </w:pPr>
            <w:r>
              <w:t xml:space="preserve">B-field topological efficiency factor </w:t>
            </w:r>
            <m:oMath>
              <m:sSub>
                <m:sSubPr/>
                <m:e>
                  <m:r>
                    <m:rPr/>
                    <m:t>W</m:t>
                  </m:r>
                </m:e>
                <m:sub>
                  <m:r>
                    <m:rPr/>
                    <m:t>B</m:t>
                  </m:r>
                </m:sub>
              </m:sSub>
            </m:oMath>
          </w:p>
        </w:tc>
        <w:tc>
          <w:tcPr>
            <w:vAlign w:val="center"/>
          </w:tcPr>
          <w:p w14:paraId="4DEB25F0">
            <w:pPr>
              <w:pStyle w:val="26"/>
              <w:jc w:val="center"/>
            </w:pPr>
            <w:r>
              <w:t>0.6–1.0</w:t>
            </w:r>
          </w:p>
        </w:tc>
        <w:tc>
          <w:tcPr>
            <w:vAlign w:val="center"/>
          </w:tcPr>
          <w:p w14:paraId="7F0670CC">
            <w:pPr>
              <w:pStyle w:val="26"/>
              <w:jc w:val="center"/>
            </w:pPr>
            <w:r>
              <w:t>0.3–0.6 (temporal decay)</w:t>
            </w:r>
          </w:p>
        </w:tc>
        <w:tc>
          <w:tcPr>
            <w:vAlign w:val="center"/>
          </w:tcPr>
          <w:p w14:paraId="3753BAAC">
            <w:pPr>
              <w:pStyle w:val="26"/>
              <w:jc w:val="center"/>
            </w:pPr>
            <m:oMath>
              <m:r>
                <m:rPr>
                  <m:sty m:val="p"/>
                </m:rPr>
                <m:t>→</m:t>
              </m:r>
              <m:r>
                <m:rPr/>
                <m:t>1</m:t>
              </m:r>
            </m:oMath>
            <w:r>
              <w:t xml:space="preserve"> (local conservation)</w:t>
            </w:r>
          </w:p>
        </w:tc>
      </w:tr>
    </w:tbl>
    <w:p w14:paraId="64F07B1C">
      <w:pPr>
        <w:pStyle w:val="3"/>
      </w:pPr>
      <w:r>
        <w:rPr>
          <w:i/>
          <w:iCs/>
        </w:rPr>
        <w:t>Note:</w:t>
      </w:r>
      <w:r>
        <w:t xml:space="preserve"> Under </w:t>
      </w:r>
      <m:oMath>
        <m:sSub>
          <m:sSubPr/>
          <m:e>
            <m:r>
              <m:rPr/>
              <m:t>γ</m:t>
            </m:r>
          </m:e>
          <m:sub>
            <m:r>
              <m:rPr/>
              <m:t>e</m:t>
            </m:r>
            <m:r>
              <m:rPr>
                <m:sty m:val="p"/>
              </m:rPr>
              <m:t>,max</m:t>
            </m:r>
          </m:sub>
        </m:sSub>
        <m:r>
          <m:rPr>
            <m:sty m:val="p"/>
          </m:rPr>
          <m:t>∼</m:t>
        </m:r>
        <m:r>
          <m:rPr/>
          <m:t>4.4</m:t>
        </m:r>
        <m:r>
          <m:rPr>
            <m:sty m:val="p"/>
          </m:rPr>
          <m:t>×</m:t>
        </m:r>
        <m:sSup>
          <m:sSupPr/>
          <m:e>
            <m:r>
              <m:rPr/>
              <m:t>10</m:t>
            </m:r>
          </m:e>
          <m:sup>
            <m:r>
              <m:rPr/>
              <m:t>5</m:t>
            </m:r>
          </m:sup>
        </m:sSup>
        <m:r>
          <m:rPr>
            <m:sty m:val="p"/>
          </m:rPr>
          <m:t>,</m:t>
        </m:r>
      </m:oMath>
      <w:r>
        <w:t xml:space="preserve"> producing 250–300 TeV photons via CMB/SSC target fields is difficult due to KN suppression (see Section 7.2.1). This parameter row is marked “to be revised,” indicating the need for a higher </w:t>
      </w:r>
      <m:oMath>
        <m:sSub>
          <m:sSubPr/>
          <m:e>
            <m:r>
              <m:rPr/>
              <m:t>γ</m:t>
            </m:r>
          </m:e>
          <m:sub>
            <m:r>
              <m:rPr/>
              <m:t>e</m:t>
            </m:r>
          </m:sub>
        </m:sSub>
      </m:oMath>
      <w:r>
        <w:t xml:space="preserve"> component or a hadronic channel supplement.</w:t>
      </w:r>
    </w:p>
    <w:bookmarkEnd w:id="34"/>
    <w:p w14:paraId="6576BD0B">
      <w:pPr>
        <w:pStyle w:val="6"/>
      </w:pPr>
      <w:bookmarkStart w:id="35" w:name="Xf3b75063fe9fb2902eb0885bc8a57a557309a12"/>
      <w:r>
        <w:t xml:space="preserve">Appendix C: Parameterization Anchor for </w:t>
      </w:r>
      <m:oMath>
        <m:sSub>
          <m:sSubPr/>
          <m:e>
            <m:r>
              <m:rPr/>
              <m:t>v</m:t>
            </m:r>
          </m:e>
          <m:sub>
            <m:r>
              <m:rPr>
                <m:sty m:val="p"/>
              </m:rPr>
              <m:t>drift</m:t>
            </m:r>
          </m:sub>
        </m:sSub>
      </m:oMath>
    </w:p>
    <w:p w14:paraId="1371ADC8">
      <w:pPr>
        <w:pStyle w:val="4"/>
      </w:pPr>
      <m:oMath>
        <m:sSub>
          <m:sSubPr/>
          <m:e>
            <m:r>
              <m:rPr/>
              <m:t>v</m:t>
            </m:r>
          </m:e>
          <m:sub>
            <m:r>
              <m:rPr>
                <m:sty m:val="p"/>
              </m:rPr>
              <m:t>drift</m:t>
            </m:r>
          </m:sub>
        </m:sSub>
      </m:oMath>
      <w:r>
        <w:t xml:space="preserve"> is defined as the effective return velocity of the downstream plasma in magnetic turbulence. To avoid the situation where the dependence of </w:t>
      </w:r>
      <m:oMath>
        <m:sSub>
          <m:sSubPr/>
          <m:e>
            <m:r>
              <m:rPr>
                <m:sty m:val="b"/>
              </m:rPr>
              <m:t>J</m:t>
            </m:r>
          </m:e>
          <m:sub>
            <m:r>
              <m:rPr/>
              <m:t>B</m:t>
            </m:r>
          </m:sub>
        </m:sSub>
      </m:oMath>
      <w:r>
        <w:t xml:space="preserve"> in Section 2.2 and the fitted values in Section 7 form an inverted “parameter black box,” this paper adopts a temporary anchor in the form of a Bohm-approximation-based turbulent decay parameterization, consistent with classical literature (Spitkovsky 2008; Kirk &amp; Reville 2010):</w:t>
      </w:r>
    </w:p>
    <w:p w14:paraId="467612F7">
      <w:pPr>
        <w:pStyle w:val="3"/>
      </w:pPr>
      <m:oMathPara>
        <m:oMathParaPr>
          <m:jc m:val="center"/>
        </m:oMathParaPr>
        <m:oMath>
          <m:sSub>
            <m:sSubPr/>
            <m:e>
              <m:r>
                <m:rPr/>
                <m:t>v</m:t>
              </m:r>
            </m:e>
            <m:sub>
              <m:r>
                <m:rPr>
                  <m:sty m:val="p"/>
                </m:rPr>
                <m:t>drift</m:t>
              </m:r>
            </m:sub>
          </m:sSub>
          <m:r>
            <m:rPr>
              <m:sty m:val="p"/>
            </m:rPr>
            <m:t>(</m:t>
          </m:r>
          <m:r>
            <m:rPr/>
            <m:t>r</m:t>
          </m:r>
          <m:r>
            <m:rPr>
              <m:sty m:val="p"/>
            </m:rPr>
            <m:t>,</m:t>
          </m:r>
          <m:r>
            <m:rPr/>
            <m:t>t</m:t>
          </m:r>
          <m:r>
            <m:rPr>
              <m:sty m:val="p"/>
            </m:rPr>
            <m:t>)=</m:t>
          </m:r>
          <m:f>
            <m:fPr/>
            <m:num>
              <m:r>
                <m:rPr/>
                <m:t>c</m:t>
              </m:r>
            </m:num>
            <m:den>
              <m:r>
                <m:rPr/>
                <m:t>3</m:t>
              </m:r>
            </m:den>
          </m:f>
          <m:r>
            <m:rPr>
              <m:sty m:val="p"/>
            </m:rPr>
            <m:t>⋅</m:t>
          </m:r>
          <m:d>
            <m:dPr>
              <m:sepChr m:val=""/>
            </m:dPr>
            <m:e>
              <m:f>
                <m:fPr/>
                <m:num>
                  <m:sSub>
                    <m:sSubPr/>
                    <m:e>
                      <m:r>
                        <m:rPr/>
                        <m:t>r</m:t>
                      </m:r>
                    </m:e>
                    <m:sub>
                      <m:r>
                        <m:rPr/>
                        <m:t>L</m:t>
                      </m:r>
                    </m:sub>
                  </m:sSub>
                </m:num>
                <m:den>
                  <m:sSub>
                    <m:sSubPr/>
                    <m:e>
                      <m:r>
                        <m:rPr/>
                        <m:t>λ</m:t>
                      </m:r>
                    </m:e>
                    <m:sub>
                      <m:r>
                        <m:rPr>
                          <m:sty m:val="p"/>
                        </m:rPr>
                        <m:t>mfp</m:t>
                      </m:r>
                    </m:sub>
                  </m:sSub>
                </m:den>
              </m:f>
            </m:e>
          </m:d>
          <m:r>
            <m:rPr>
              <m:sty m:val="p"/>
            </m:rPr>
            <m:t>⋅</m:t>
          </m:r>
          <m:sSub>
            <m:sSubPr/>
            <m:e>
              <m:r>
                <m:rPr/>
                <m:t>F</m:t>
              </m:r>
            </m:e>
            <m:sub>
              <m:r>
                <m:rPr>
                  <m:sty m:val="p"/>
                </m:rPr>
                <m:t>turb</m:t>
              </m:r>
            </m:sub>
          </m:sSub>
          <m:r>
            <m:rPr>
              <m:sty m:val="p"/>
            </m:rPr>
            <m:t>(</m:t>
          </m:r>
          <m:r>
            <m:rPr/>
            <m:t>t</m:t>
          </m:r>
          <m:r>
            <m:rPr>
              <m:sty m:val="p"/>
            </m:rPr>
            <m:t>)</m:t>
          </m:r>
        </m:oMath>
      </m:oMathPara>
    </w:p>
    <w:p w14:paraId="0BD6A9F6">
      <w:pPr>
        <w:pStyle w:val="4"/>
      </w:pPr>
      <w:r>
        <w:t xml:space="preserve">where </w:t>
      </w:r>
      <m:oMath>
        <m:sSub>
          <m:sSubPr/>
          <m:e>
            <m:r>
              <m:rPr/>
              <m:t>r</m:t>
            </m:r>
          </m:e>
          <m:sub>
            <m:r>
              <m:rPr/>
              <m:t>L</m:t>
            </m:r>
          </m:sub>
        </m:sSub>
        <m:r>
          <m:rPr>
            <m:sty m:val="p"/>
          </m:rPr>
          <m:t>=</m:t>
        </m:r>
        <m:r>
          <m:rPr/>
          <m:t>γmc</m:t>
        </m:r>
        <m:r>
          <m:rPr>
            <m:sty m:val="p"/>
          </m:rPr>
          <m:t>/(</m:t>
        </m:r>
        <m:r>
          <m:rPr/>
          <m:t>eB</m:t>
        </m:r>
        <m:r>
          <m:rPr>
            <m:sty m:val="p"/>
          </m:rPr>
          <m:t>)</m:t>
        </m:r>
      </m:oMath>
      <w:r>
        <w:t xml:space="preserve"> is the particle Larmor radius, </w:t>
      </w:r>
      <m:oMath>
        <m:sSub>
          <m:sSubPr/>
          <m:e>
            <m:r>
              <m:rPr/>
              <m:t>λ</m:t>
            </m:r>
          </m:e>
          <m:sub>
            <m:r>
              <m:rPr>
                <m:sty m:val="p"/>
              </m:rPr>
              <m:t>mfp</m:t>
            </m:r>
          </m:sub>
        </m:sSub>
      </m:oMath>
      <w:r>
        <w:t xml:space="preserve"> is the mean free path of magnetic turbulence, and </w:t>
      </w:r>
      <m:oMath>
        <m:sSub>
          <m:sSubPr/>
          <m:e>
            <m:r>
              <m:rPr/>
              <m:t>F</m:t>
            </m:r>
          </m:e>
          <m:sub>
            <m:r>
              <m:rPr>
                <m:sty m:val="p"/>
              </m:rPr>
              <m:t>turb</m:t>
            </m:r>
          </m:sub>
        </m:sSub>
        <m:r>
          <m:rPr>
            <m:sty m:val="p"/>
          </m:rPr>
          <m:t>(</m:t>
        </m:r>
        <m:r>
          <m:rPr/>
          <m:t>t</m:t>
        </m:r>
        <m:r>
          <m:rPr>
            <m:sty m:val="p"/>
          </m:rPr>
          <m:t>)</m:t>
        </m:r>
      </m:oMath>
      <w:r>
        <w:t xml:space="preserve"> is the turbulence decay factor (decaying from 1 to 0 over time). This form ensures that </w:t>
      </w:r>
      <m:oMath>
        <m:sSub>
          <m:sSubPr/>
          <m:e>
            <m:r>
              <m:rPr>
                <m:sty m:val="b"/>
              </m:rPr>
              <m:t>J</m:t>
            </m:r>
          </m:e>
          <m:sub>
            <m:r>
              <m:rPr/>
              <m:t>B</m:t>
            </m:r>
          </m:sub>
        </m:sSub>
      </m:oMath>
      <w:r>
        <w:t xml:space="preserve"> has a calculable and traceable physical basis in the main text. Specific numerical calibration is left for future numerical work, at which time the </w:t>
      </w:r>
      <m:oMath>
        <m:sSub>
          <m:sSubPr/>
          <m:e>
            <m:r>
              <m:rPr/>
              <m:t>W</m:t>
            </m:r>
          </m:e>
          <m:sub>
            <m:r>
              <m:rPr/>
              <m:t>B</m:t>
            </m:r>
          </m:sub>
        </m:sSub>
      </m:oMath>
      <w:r>
        <w:t xml:space="preserve"> fitted values in Section 7 will be updated accordingly.</w:t>
      </w:r>
      <w:bookmarkStart w:id="37" w:name="_GoBack"/>
      <w:bookmarkEnd w:id="37"/>
    </w:p>
    <w:bookmarkEnd w:id="35"/>
    <w:p w14:paraId="29F4956F">
      <w:pPr>
        <w:pStyle w:val="6"/>
      </w:pPr>
      <w:bookmarkStart w:id="36" w:name="references"/>
      <w:r>
        <w:t>References</w:t>
      </w:r>
    </w:p>
    <w:p w14:paraId="42D77E2C">
      <w:pPr>
        <w:pStyle w:val="26"/>
        <w:numPr>
          <w:ilvl w:val="0"/>
          <w:numId w:val="9"/>
        </w:numPr>
      </w:pPr>
      <w:r>
        <w:t xml:space="preserve">LHAASO Collaboration. Ultrahigh-energy gamma-ray emission from GRB 221009A. </w:t>
      </w:r>
      <w:r>
        <w:rPr>
          <w:i/>
          <w:iCs/>
        </w:rPr>
        <w:t>Science</w:t>
      </w:r>
      <w:r>
        <w:t>, 380, 1390 (2023).</w:t>
      </w:r>
    </w:p>
    <w:p w14:paraId="357C5417">
      <w:pPr>
        <w:pStyle w:val="26"/>
        <w:numPr>
          <w:ilvl w:val="0"/>
          <w:numId w:val="9"/>
        </w:numPr>
      </w:pPr>
      <w:r>
        <w:t xml:space="preserve">Dzhappuev D. D., et al. (Carpet-2). Detection of 251 TeV photon. </w:t>
      </w:r>
      <w:r>
        <w:rPr>
          <w:i/>
          <w:iCs/>
        </w:rPr>
        <w:t>The Astronomer’s Telegram</w:t>
      </w:r>
      <w:r>
        <w:t>, No. 15669 (2022).</w:t>
      </w:r>
    </w:p>
    <w:p w14:paraId="51008920">
      <w:pPr>
        <w:pStyle w:val="26"/>
        <w:numPr>
          <w:ilvl w:val="0"/>
          <w:numId w:val="9"/>
        </w:numPr>
      </w:pPr>
      <w:r>
        <w:t xml:space="preserve">Greisen K. End to the cosmic-ray spectrum? </w:t>
      </w:r>
      <w:r>
        <w:rPr>
          <w:i/>
          <w:iCs/>
        </w:rPr>
        <w:t>Physical Review Letters</w:t>
      </w:r>
      <w:r>
        <w:t>, 16, 748 (1966).</w:t>
      </w:r>
    </w:p>
    <w:p w14:paraId="14B01447">
      <w:pPr>
        <w:pStyle w:val="26"/>
        <w:numPr>
          <w:ilvl w:val="0"/>
          <w:numId w:val="9"/>
        </w:numPr>
      </w:pPr>
      <w:r>
        <w:t xml:space="preserve">Zatsepin G. T., Kuzmin V. A. Upper limit of the spectrum of cosmic-ray protons. </w:t>
      </w:r>
      <w:r>
        <w:rPr>
          <w:i/>
          <w:iCs/>
        </w:rPr>
        <w:t>JETP Letters</w:t>
      </w:r>
      <w:r>
        <w:t>, 4, 78 (1966).</w:t>
      </w:r>
    </w:p>
    <w:p w14:paraId="0E5A8EA0">
      <w:pPr>
        <w:pStyle w:val="26"/>
        <w:numPr>
          <w:ilvl w:val="0"/>
          <w:numId w:val="9"/>
        </w:numPr>
      </w:pPr>
      <w:r>
        <w:t xml:space="preserve">Abbasi R. U., et al. (Pierre Auger Collaboration). Measurement of the cosmic-ray energy spectrum above </w:t>
      </w:r>
      <m:oMath>
        <m:r>
          <m:rPr/>
          <m:t>2.5</m:t>
        </m:r>
        <m:r>
          <m:rPr>
            <m:sty m:val="p"/>
          </m:rPr>
          <m:t>×</m:t>
        </m:r>
        <m:sSup>
          <m:sSupPr/>
          <m:e>
            <m:r>
              <m:rPr/>
              <m:t>10</m:t>
            </m:r>
          </m:e>
          <m:sup>
            <m:r>
              <m:rPr/>
              <m:t>18</m:t>
            </m:r>
          </m:sup>
        </m:sSup>
        <m:r>
          <m:rPr/>
          <m:t> </m:t>
        </m:r>
        <m:r>
          <m:rPr>
            <m:sty m:val="p"/>
          </m:rPr>
          <m:t>eV</m:t>
        </m:r>
      </m:oMath>
      <w:r>
        <w:t xml:space="preserve">. </w:t>
      </w:r>
      <w:r>
        <w:rPr>
          <w:i/>
          <w:iCs/>
        </w:rPr>
        <w:t>Physical Review D</w:t>
      </w:r>
      <w:r>
        <w:t>, 90, 122005 (2014).</w:t>
      </w:r>
    </w:p>
    <w:p w14:paraId="5FC1B430">
      <w:pPr>
        <w:pStyle w:val="26"/>
        <w:numPr>
          <w:ilvl w:val="0"/>
          <w:numId w:val="9"/>
        </w:numPr>
      </w:pPr>
      <w:r>
        <w:t xml:space="preserve">Kirk J. G., Reville B. Radiative signatures of relativistic shocks. </w:t>
      </w:r>
      <w:r>
        <w:rPr>
          <w:i/>
          <w:iCs/>
        </w:rPr>
        <w:t>The Astrophysical Journal Letters</w:t>
      </w:r>
      <w:r>
        <w:t>, 710, L16 (2010).</w:t>
      </w:r>
    </w:p>
    <w:p w14:paraId="2160CD0A">
      <w:pPr>
        <w:pStyle w:val="26"/>
        <w:numPr>
          <w:ilvl w:val="0"/>
          <w:numId w:val="9"/>
        </w:numPr>
      </w:pPr>
      <w:r>
        <w:t xml:space="preserve">Spitkovsky A. Particle acceleration in relativistic collisionless shocks. </w:t>
      </w:r>
      <w:r>
        <w:rPr>
          <w:i/>
          <w:iCs/>
        </w:rPr>
        <w:t>The Astrophysical Journal</w:t>
      </w:r>
      <w:r>
        <w:t>, 682, L5 (2008).</w:t>
      </w:r>
    </w:p>
    <w:p w14:paraId="21813558">
      <w:pPr>
        <w:pStyle w:val="26"/>
        <w:numPr>
          <w:ilvl w:val="0"/>
          <w:numId w:val="9"/>
        </w:numPr>
      </w:pPr>
      <w:r>
        <w:t xml:space="preserve">Galanti G., Nava L., Roncadelli M., Tavecchio F., Bonnoli G. Axion-like particles explain the very-high-energy emission from GRB 221009A. </w:t>
      </w:r>
      <w:r>
        <w:rPr>
          <w:i/>
          <w:iCs/>
        </w:rPr>
        <w:t>Physical Review Letters</w:t>
      </w:r>
      <w:r>
        <w:t>, 131, 251001 (2023).</w:t>
      </w:r>
    </w:p>
    <w:p w14:paraId="04A42281">
      <w:pPr>
        <w:pStyle w:val="26"/>
        <w:numPr>
          <w:ilvl w:val="0"/>
          <w:numId w:val="9"/>
        </w:numPr>
      </w:pPr>
      <w:r>
        <w:t xml:space="preserve">Murase K., et al. Hadronic models for GRB 221009A: multi-messenger signatures. </w:t>
      </w:r>
      <w:r>
        <w:rPr>
          <w:i/>
          <w:iCs/>
        </w:rPr>
        <w:t>The Astrophysical Journal Letters</w:t>
      </w:r>
      <w:r>
        <w:t>, 941, L10 (2022).</w:t>
      </w:r>
    </w:p>
    <w:p w14:paraId="0B1C5927">
      <w:pPr>
        <w:pStyle w:val="26"/>
        <w:numPr>
          <w:ilvl w:val="0"/>
          <w:numId w:val="9"/>
        </w:numPr>
      </w:pPr>
      <w:r>
        <w:t xml:space="preserve">Unger M., Farrar G., Anchordoqui L. Superheavy nuclei as ultrahigh-energy cosmic rays beyond the GZK limit. </w:t>
      </w:r>
      <w:r>
        <w:rPr>
          <w:i/>
          <w:iCs/>
        </w:rPr>
        <w:t>Physical Review Letters</w:t>
      </w:r>
      <w:r>
        <w:t>, 133, 051001 (2024).</w:t>
      </w:r>
    </w:p>
    <w:p w14:paraId="4092A1A0">
      <w:pPr>
        <w:pStyle w:val="26"/>
        <w:numPr>
          <w:ilvl w:val="0"/>
          <w:numId w:val="9"/>
        </w:numPr>
      </w:pPr>
      <w:r>
        <w:t xml:space="preserve">Blumenthal G. R., Gould R. J. Bremsstrahlung, synchrotron radiation, and Compton scattering of high-energy electrons. </w:t>
      </w:r>
      <w:r>
        <w:rPr>
          <w:i/>
          <w:iCs/>
        </w:rPr>
        <w:t>Reviews of Modern Physics</w:t>
      </w:r>
      <w:r>
        <w:t>, 42, 237 (1970).</w:t>
      </w:r>
    </w:p>
    <w:p w14:paraId="4F651D70">
      <w:pPr>
        <w:pStyle w:val="26"/>
        <w:numPr>
          <w:ilvl w:val="0"/>
          <w:numId w:val="9"/>
        </w:numPr>
      </w:pPr>
      <w:r>
        <w:t xml:space="preserve">Dermer C. D., Menon G. </w:t>
      </w:r>
      <w:r>
        <w:rPr>
          <w:i/>
          <w:iCs/>
        </w:rPr>
        <w:t>High Energy Radiation from Black Holes</w:t>
      </w:r>
      <w:r>
        <w:t>. Princeton University Press (2009).</w:t>
      </w:r>
    </w:p>
    <w:p w14:paraId="76AF44A5">
      <w:pPr>
        <w:pStyle w:val="26"/>
        <w:numPr>
          <w:ilvl w:val="0"/>
          <w:numId w:val="9"/>
        </w:numPr>
      </w:pPr>
      <w:r>
        <w:t xml:space="preserve">Gould R. J., Schreder G. P. The opacity of the universe to high-energy gamma rays. </w:t>
      </w:r>
      <w:r>
        <w:rPr>
          <w:i/>
          <w:iCs/>
        </w:rPr>
        <w:t>Physical Review</w:t>
      </w:r>
      <w:r>
        <w:t>, 158, 1414 (1967).</w:t>
      </w:r>
    </w:p>
    <w:p w14:paraId="1EBF012E">
      <w:pPr>
        <w:pStyle w:val="26"/>
        <w:numPr>
          <w:ilvl w:val="0"/>
          <w:numId w:val="9"/>
        </w:numPr>
      </w:pPr>
      <w:r>
        <w:t xml:space="preserve">Kneiske T. M., et al. Extragalactic background light models and gamma-ray opacity. </w:t>
      </w:r>
      <w:r>
        <w:rPr>
          <w:i/>
          <w:iCs/>
        </w:rPr>
        <w:t>Astronomy &amp; Astrophysics</w:t>
      </w:r>
      <w:r>
        <w:t>, 413, 807 (2004).</w:t>
      </w:r>
    </w:p>
    <w:p w14:paraId="2F6CD400">
      <w:pPr>
        <w:pStyle w:val="26"/>
        <w:numPr>
          <w:ilvl w:val="0"/>
          <w:numId w:val="9"/>
        </w:numPr>
      </w:pPr>
      <w:r>
        <w:t xml:space="preserve">Mirizzi A., et al. Axion-like particles and the transparency of the universe to VHE gamma rays. </w:t>
      </w:r>
      <w:r>
        <w:rPr>
          <w:i/>
          <w:iCs/>
        </w:rPr>
        <w:t>Physical Review D</w:t>
      </w:r>
      <w:r>
        <w:t>, 76, 023001 (2007).</w:t>
      </w:r>
    </w:p>
    <w:p w14:paraId="7C749341">
      <w:pPr>
        <w:pStyle w:val="26"/>
        <w:numPr>
          <w:ilvl w:val="0"/>
          <w:numId w:val="9"/>
        </w:numPr>
      </w:pPr>
      <w:r>
        <w:t xml:space="preserve">Jacobson T., Liberati S., Mattingly D. Lorentz invariance violation and cosmic ray physics. </w:t>
      </w:r>
      <w:r>
        <w:rPr>
          <w:i/>
          <w:iCs/>
        </w:rPr>
        <w:t>Physical Review D</w:t>
      </w:r>
      <w:r>
        <w:t>, 67, 125011 (2003).</w:t>
      </w:r>
    </w:p>
    <w:p w14:paraId="0D6BE175">
      <w:pPr>
        <w:pStyle w:val="26"/>
        <w:numPr>
          <w:ilvl w:val="0"/>
          <w:numId w:val="9"/>
        </w:numPr>
      </w:pPr>
      <w:r>
        <w:t>Li Zhijun, Zhao Guangyao, Xue Yanyu. B70: Electron quantum tunneling A-field topological deformation model. FCWFT preprint series (2025).</w:t>
      </w:r>
    </w:p>
    <w:p w14:paraId="169F5EE7">
      <w:pPr>
        <w:pStyle w:val="26"/>
        <w:numPr>
          <w:ilvl w:val="0"/>
          <w:numId w:val="9"/>
        </w:numPr>
      </w:pPr>
      <w:r>
        <w:t xml:space="preserve">Li Zhijun, Zhao Guangyao, Xue Yanyu. B5/B15/B68/B69: FCWFT three-field axioms and </w:t>
      </w:r>
      <m:oMath>
        <m:sSup>
          <m:sSupPr/>
          <m:e>
            <m:r>
              <m:rPr/>
              <m:t>S</m:t>
            </m:r>
          </m:e>
          <m:sup>
            <m:r>
              <m:rPr/>
              <m:t>3</m:t>
            </m:r>
          </m:sup>
        </m:sSup>
      </m:oMath>
      <w:r>
        <w:t>/Hopf topological system. FCWFT preprint series (2024–2025).</w:t>
      </w:r>
    </w:p>
    <w:bookmarkEnd w:id="0"/>
    <w:bookmarkEnd w:id="1"/>
    <w:bookmarkEnd w:id="36"/>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2B183ECF"/>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21</Pages>
  <Words>1190</Words>
  <Characters>7334</Characters>
  <Lines>283</Lines>
  <Paragraphs>310</Paragraphs>
  <TotalTime>2</TotalTime>
  <ScaleCrop>false</ScaleCrop>
  <LinksUpToDate>false</LinksUpToDate>
  <CharactersWithSpaces>8459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2026-10-05T11:35:00Z</dcterms:created>
  <dc:creator>迈斯纳效应</dc:creator>
  <cp:lastModifiedBy>迈斯纳效应</cp:lastModifiedBy>
  <dcterms:modified xsi:type="dcterms:W3CDTF">2026-10-05T11:38:51Z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95B7470EAF524547A5DE8C3AF6AECA41_12</vt:lpwstr>
  </property>
</Properties>
</file>