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0d424ad0968a13504266152840120c9bc8fb304"/>
    <w:p>
      <w:pPr>
        <w:pStyle w:val="1"/>
      </w:pPr>
      <w:r>
        <w:t xml:space="preserve">C19: Electroweak Topological Phase Transition and Primordial Gravitational Wave Prediction</w:t>
      </w:r>
    </w:p>
    <w:p>
      <w:pPr>
        <w:pStyle w:val="FirstParagraph"/>
      </w:pPr>
      <w:r>
        <w:rPr>
          <w:b/>
          <w:bCs/>
        </w:rPr>
        <w:t xml:space="preserve">Authors:</w:t>
      </w:r>
      <w:r>
        <w:t xml:space="preserve"> </w:t>
      </w:r>
      <w:r>
        <w:t xml:space="preserve">Li Zhijun¹, Zhao Guangyao², Xue Yanyu³</w:t>
      </w:r>
      <w:r>
        <w:br/>
      </w:r>
      <w:r>
        <w:t xml:space="preserve">¹ Shanxi Provincial Department of Agriculture and Rural Affairs Animal Husbandry and Veterinary School, Taiyuan, China</w:t>
      </w:r>
      <w:r>
        <w:br/>
      </w:r>
      <w:r>
        <w:t xml:space="preserve">² Chongqing University College of Physics, Chongqing, China</w:t>
      </w:r>
      <w:r>
        <w:br/>
      </w:r>
      <w:r>
        <w:t xml:space="preserve">³ Shanxi Provincial Department of Agriculture and Rural Affairs Animal Husbandry and Veterinary School, Taiyuan, China</w:t>
      </w:r>
    </w:p>
    <w:p>
      <w:pPr>
        <w:pStyle w:val="a0"/>
      </w:pPr>
      <w:r>
        <w:rPr>
          <w:b/>
          <w:bCs/>
        </w:rPr>
        <w:t xml:space="preserve">Series:</w:t>
      </w:r>
      <w:r>
        <w:t xml:space="preserve"> </w:t>
      </w:r>
      <w:r>
        <w:t xml:space="preserve">FCWFT-C19 (Following C16, C17, C18; Included in ABC Field Composition Theory Volume III</w:t>
      </w:r>
      <w:r>
        <w:t xml:space="preserve"> </w:t>
      </w:r>
      <w:r>
        <w:t xml:space="preserve">“Particle Physics and the Origin of Mass Spectra”</w:t>
      </w:r>
      <w:r>
        <w:t xml:space="preserve">)</w:t>
      </w:r>
      <w:r>
        <w:br/>
      </w:r>
      <w:r>
        <w:rPr>
          <w:b/>
          <w:bCs/>
        </w:rPr>
        <w:t xml:space="preserve">PACS:</w:t>
      </w:r>
      <w:r>
        <w:t xml:space="preserve"> </w:t>
      </w:r>
      <w:r>
        <w:t xml:space="preserve">98.80.Cq, 04.30.-w, 11.30.Qc, 12.15.-y, 98.70.Vc</w:t>
      </w:r>
      <w:r>
        <w:br/>
      </w:r>
      <w:r>
        <w:rPr>
          <w:b/>
          <w:bCs/>
        </w:rPr>
        <w:t xml:space="preserve">Keywords:</w:t>
      </w:r>
      <w:r>
        <w:t xml:space="preserve"> </w:t>
      </w:r>
      <w:r>
        <w:t xml:space="preserve">FCWFT; C-field vortex; electroweak topological phase transition; first-order phase transition; vacuum bubble nucleation; primordial stochastic gravitational waves; electroweak baryogenesis; topological defects; LISA/Tianqin/Taiji</w:t>
      </w:r>
    </w:p>
    <w:bookmarkStart w:id="22" w:name="abstract"/>
    <w:p>
      <w:pPr>
        <w:pStyle w:val="2"/>
      </w:pPr>
      <w:r>
        <w:t xml:space="preserve">Abstract</w:t>
      </w:r>
    </w:p>
    <w:p>
      <w:pPr>
        <w:pStyle w:val="FirstParagraph"/>
      </w:pPr>
      <w:r>
        <w:t xml:space="preserve">Standard Model lattice simulations indicate that the pure Standard Model electroweak transition is merely a smooth crossover, lacking a first-order phase transition. Consequently, it cannot generate observable primordial gravitational waves, nor can it satisfy Sakharov’s three conditions for electroweak baryogenesis. This represents a major cosmological shortcoming of the Standard Model.</w:t>
      </w:r>
    </w:p>
    <w:p>
      <w:pPr>
        <w:pStyle w:val="a0"/>
      </w:pPr>
      <w:r>
        <w:t xml:space="preserve">Based on the FCWFT three-field axiom, the B-field topological framework of C16, the C-field vortex condensate and Higgs radial excitation of C17, and the fermion vortex order stratification of C18, this paper establishes the C-field vortex-driven electroweak topological first-order phase transition. In the FCWFT picture, electroweak symmetry breaking is not the thermal evolution of a scalar field potential, but rather a topological phase transition in which the C-field in the hot early Universe transitions from a uniform disordered phase to a global second-order vortex condensate phase via vacuum bubble nucleation, expansion, and collision.</w:t>
      </w:r>
    </w:p>
    <w:bookmarkStart w:id="21" w:name="core-conclusions"/>
    <w:p>
      <w:pPr>
        <w:pStyle w:val="3"/>
      </w:pPr>
      <w:r>
        <w:t xml:space="preserve">Core Conclusions:</w:t>
      </w:r>
    </w:p>
    <w:p>
      <w:pPr>
        <w:numPr>
          <w:ilvl w:val="0"/>
          <w:numId w:val="1001"/>
        </w:numPr>
      </w:pPr>
      <w:r>
        <w:rPr>
          <w:b/>
          <w:bCs/>
        </w:rPr>
        <w:t xml:space="preserve">Two-phase structure:</w:t>
      </w:r>
      <w:r>
        <w:t xml:space="preserve"> </w:t>
      </w:r>
      <w:r>
        <w:t xml:space="preserve">At high temperature</w:t>
      </w:r>
      <w:r>
        <w:t xml:space="preserve"> </w:t>
      </w:r>
      <m:oMath>
        <m:r>
          <m:t>T</m:t>
        </m:r>
        <m:r>
          <m:rPr>
            <m:sty m:val="p"/>
          </m:rPr>
          <m:t>&gt;</m:t>
        </m:r>
        <m:sSub>
          <m:e>
            <m:r>
              <m:t>T</m:t>
            </m:r>
          </m:e>
          <m:sub>
            <m:r>
              <m:t>c</m:t>
            </m:r>
          </m:sub>
        </m:sSub>
        <m:r>
          <m:rPr>
            <m:sty m:val="p"/>
          </m:rPr>
          <m:t>,</m:t>
        </m:r>
      </m:oMath>
      <w:r>
        <w:t xml:space="preserve"> </w:t>
      </w:r>
      <w:r>
        <w:t xml:space="preserve">the C-field is in a disordered vortex plasma phase with no global second-order vortex condensate, and electroweak symmetry remains intact. When the temperature drops to the critical temperature</w:t>
      </w:r>
      <w:r>
        <w:t xml:space="preserve"> </w:t>
      </w:r>
      <m:oMath>
        <m:sSub>
          <m:e>
            <m:r>
              <m:t>T</m:t>
            </m:r>
          </m:e>
          <m:sub>
            <m:r>
              <m:t>c</m:t>
            </m:r>
          </m:sub>
        </m:sSub>
        <m:r>
          <m:rPr>
            <m:sty m:val="p"/>
          </m:rPr>
          <m:t>≈</m:t>
        </m:r>
        <m:r>
          <m:t>100</m:t>
        </m:r>
        <m:r>
          <m:t> </m:t>
        </m:r>
        <m:r>
          <m:rPr>
            <m:sty m:val="p"/>
          </m:rPr>
          <m:t>G</m:t>
        </m:r>
        <m:r>
          <m:rPr>
            <m:sty m:val="p"/>
          </m:rPr>
          <m:t>e</m:t>
        </m:r>
        <m:r>
          <m:rPr>
            <m:sty m:val="p"/>
          </m:rPr>
          <m:t>V</m:t>
        </m:r>
        <m:r>
          <m:rPr>
            <m:sty m:val="p"/>
          </m:rPr>
          <m:t>,</m:t>
        </m:r>
      </m:oMath>
      <w:r>
        <w:t xml:space="preserve"> </w:t>
      </w:r>
      <w:r>
        <w:t xml:space="preserve">stable second-order C-field vortex vacuum bubbles begin quantum nucleation.</w:t>
      </w:r>
    </w:p>
    <w:p>
      <w:pPr>
        <w:numPr>
          <w:ilvl w:val="0"/>
          <w:numId w:val="1001"/>
        </w:numPr>
      </w:pPr>
      <w:r>
        <w:rPr>
          <w:b/>
          <w:bCs/>
        </w:rPr>
        <w:t xml:space="preserve">Strong first-order phase transition:</w:t>
      </w:r>
      <w:r>
        <w:t xml:space="preserve"> </w:t>
      </w:r>
      <w:r>
        <w:t xml:space="preserve">This phase transition is of topological type, strongly first-order, with a significant barrier and latent heat release. The bubble walls carry C-field vortex topological stress; the bubble expansion, collision, and coalescence produce a characteristic stochastic primordial gravitational wave background.</w:t>
      </w:r>
    </w:p>
    <w:p>
      <w:pPr>
        <w:numPr>
          <w:ilvl w:val="0"/>
          <w:numId w:val="1001"/>
        </w:numPr>
      </w:pPr>
      <w:r>
        <w:rPr>
          <w:b/>
          <w:bCs/>
        </w:rPr>
        <w:t xml:space="preserve">Self-consistent parameters:</w:t>
      </w:r>
      <w:r>
        <w:t xml:space="preserve"> </w:t>
      </w:r>
      <w:r>
        <w:t xml:space="preserve">Key phase transition parameters —</w:t>
      </w:r>
      <w:r>
        <w:t xml:space="preserve"> </w:t>
      </w:r>
      <m:oMath>
        <m:r>
          <m:t>α</m:t>
        </m:r>
      </m:oMath>
      <w:r>
        <w:t xml:space="preserve"> </w:t>
      </w:r>
      <w:r>
        <w:t xml:space="preserve">(latent heat density ratio)</w:t>
      </w:r>
      <w:r>
        <w:t xml:space="preserve"> </w:t>
      </w:r>
      <m:oMath>
        <m:r>
          <m:rPr>
            <m:sty m:val="p"/>
          </m:rPr>
          <m:t>≈</m:t>
        </m:r>
        <m:r>
          <m:t>0.05</m:t>
        </m:r>
      </m:oMath>
      <w:r>
        <w:t xml:space="preserve">–</w:t>
      </w:r>
      <m:oMath>
        <m:r>
          <m:t>0.2</m:t>
        </m:r>
      </m:oMath>
      <w:r>
        <w:t xml:space="preserve">,</w:t>
      </w:r>
      <w:r>
        <w:t xml:space="preserve"> </w:t>
      </w:r>
      <m:oMath>
        <m:r>
          <m:t>β</m:t>
        </m:r>
        <m:r>
          <m:rPr>
            <m:sty m:val="p"/>
          </m:rPr>
          <m:t>/</m:t>
        </m:r>
        <m:sSub>
          <m:e>
            <m:r>
              <m:t>H</m:t>
            </m:r>
          </m:e>
          <m:sub>
            <m:r>
              <m:rPr>
                <m:sty m:val="p"/>
              </m:rPr>
              <m:t>*</m:t>
            </m:r>
          </m:sub>
        </m:sSub>
      </m:oMath>
      <w:r>
        <w:t xml:space="preserve"> </w:t>
      </w:r>
      <w:r>
        <w:t xml:space="preserve">(phase transition rate)</w:t>
      </w:r>
      <w:r>
        <w:t xml:space="preserve"> </w:t>
      </w:r>
      <m:oMath>
        <m:r>
          <m:rPr>
            <m:sty m:val="p"/>
          </m:rPr>
          <m:t>≈</m:t>
        </m:r>
        <m:r>
          <m:t>50</m:t>
        </m:r>
      </m:oMath>
      <w:r>
        <w:t xml:space="preserve">–</w:t>
      </w:r>
      <m:oMath>
        <m:r>
          <m:t>200</m:t>
        </m:r>
      </m:oMath>
      <w:r>
        <w:t xml:space="preserve"> </w:t>
      </w:r>
      <w:r>
        <w:t xml:space="preserve">— are self-consistently determined by the C-field vortex profile and topological boundary conditions, with only minor numerical uncertainties.</w:t>
      </w:r>
    </w:p>
    <w:p>
      <w:pPr>
        <w:numPr>
          <w:ilvl w:val="0"/>
          <w:numId w:val="1001"/>
        </w:numPr>
      </w:pPr>
      <w:r>
        <w:rPr>
          <w:b/>
          <w:bCs/>
        </w:rPr>
        <w:t xml:space="preserve">Baryogenesis:</w:t>
      </w:r>
      <w:r>
        <w:t xml:space="preserve"> </w:t>
      </w:r>
      <w:r>
        <w:t xml:space="preserve">During the phase transition, the CP-violating effects of the B-field topological framework can satisfy Sakharov’s conditions, realizing electroweak baryogenesis and explaining the cosmic baryon asymmetry</w:t>
      </w:r>
      <w:r>
        <w:t xml:space="preserve"> </w:t>
      </w:r>
      <m:oMath>
        <m:sSub>
          <m:e>
            <m:r>
              <m:t>η</m:t>
            </m:r>
          </m:e>
          <m:sub>
            <m:r>
              <m:t>B</m:t>
            </m:r>
          </m:sub>
        </m:sSub>
        <m:r>
          <m:rPr>
            <m:sty m:val="p"/>
          </m:rPr>
          <m:t>≈</m:t>
        </m:r>
        <m:sSup>
          <m:e>
            <m:r>
              <m:t>10</m:t>
            </m:r>
          </m:e>
          <m:sup>
            <m:r>
              <m:rPr>
                <m:sty m:val="p"/>
              </m:rPr>
              <m:t>−</m:t>
            </m:r>
            <m:r>
              <m:t>10</m:t>
            </m:r>
          </m:sup>
        </m:sSup>
        <m:r>
          <m:rPr>
            <m:sty m:val="p"/>
          </m:rPr>
          <m:t>.</m:t>
        </m:r>
      </m:oMath>
    </w:p>
    <w:p>
      <w:pPr>
        <w:numPr>
          <w:ilvl w:val="0"/>
          <w:numId w:val="1001"/>
        </w:numPr>
      </w:pPr>
      <w:r>
        <w:rPr>
          <w:b/>
          <w:bCs/>
        </w:rPr>
        <w:t xml:space="preserve">Gravitational wave spectrum:</w:t>
      </w:r>
      <w:r>
        <w:t xml:space="preserve"> </w:t>
      </w:r>
      <w:r>
        <w:t xml:space="preserve">A gravitational wave spectral shape function is given, directly applicable to the LISA, Tianqin, and Taiji space-based gravitational wave detectors. This spectrum exhibits a resolvable difference from ordinary scalar field first-order phase transitions (high-frequency slope shift of approximately 15%).</w:t>
      </w:r>
    </w:p>
    <w:p>
      <w:pPr>
        <w:numPr>
          <w:ilvl w:val="0"/>
          <w:numId w:val="1001"/>
        </w:numPr>
      </w:pPr>
      <w:r>
        <w:rPr>
          <w:b/>
          <w:bCs/>
        </w:rPr>
        <w:t xml:space="preserve">Topological defects:</w:t>
      </w:r>
      <w:r>
        <w:t xml:space="preserve"> </w:t>
      </w:r>
      <w:r>
        <w:t xml:space="preserve">A small number of residual C-field cosmic strings remain after the phase transition, serving as secondary observable signals.</w:t>
      </w:r>
    </w:p>
    <w:p>
      <w:pPr>
        <w:pStyle w:val="FirstParagraph"/>
      </w:pPr>
      <w:r>
        <w:t xml:space="preserve">C16–C19 form a closed loop: extending from particle internal topology and mass origin to the early Universe electroweak phase transition and primordial gravitational waves, unifying particle physics and early cosmology within the FCWFT three-field topological system.</w:t>
      </w:r>
    </w:p>
    <w:bookmarkEnd w:id="21"/>
    <w:bookmarkEnd w:id="22"/>
    <w:bookmarkStart w:id="26" w:name="introduction"/>
    <w:p>
      <w:pPr>
        <w:pStyle w:val="2"/>
      </w:pPr>
      <w:r>
        <w:t xml:space="preserve">1 Introduction</w:t>
      </w:r>
    </w:p>
    <w:bookmarkStart w:id="23" w:name="X82933619ef17c6b056fa1f291575a07c4e6e35d"/>
    <w:p>
      <w:pPr>
        <w:pStyle w:val="3"/>
      </w:pPr>
      <w:r>
        <w:t xml:space="preserve">1.1 The Dilemma of the Standard Model Electroweak Phase Transition</w:t>
      </w:r>
    </w:p>
    <w:p>
      <w:pPr>
        <w:pStyle w:val="FirstParagraph"/>
      </w:pPr>
      <w:r>
        <w:t xml:space="preserve">The Standard Model electroweak symmetry breaking relies on the thermal effective potential of a fundamental Higgs scalar field. Lattice calculations have proven that, within the Standard Model parameter range, the electroweak transition is a continuous crossover, with no barrier between the two phases. Therefore:</w:t>
      </w:r>
    </w:p>
    <w:p>
      <w:pPr>
        <w:pStyle w:val="Compact"/>
        <w:numPr>
          <w:ilvl w:val="0"/>
          <w:numId w:val="1002"/>
        </w:numPr>
      </w:pPr>
      <w:r>
        <w:t xml:space="preserve">There is no vacuum bubble nucleation or collision, and no significant primordial gravitational waves are produced.</w:t>
      </w:r>
    </w:p>
    <w:p>
      <w:pPr>
        <w:pStyle w:val="Compact"/>
        <w:numPr>
          <w:ilvl w:val="0"/>
          <w:numId w:val="1002"/>
        </w:numPr>
      </w:pPr>
      <w:r>
        <w:t xml:space="preserve">Sakharov’s conditions cannot be satisfied, preventing the generation of matter-antimatter asymmetry at the electroweak scale.</w:t>
      </w:r>
    </w:p>
    <w:p>
      <w:pPr>
        <w:pStyle w:val="Compact"/>
        <w:numPr>
          <w:ilvl w:val="0"/>
          <w:numId w:val="1002"/>
        </w:numPr>
      </w:pPr>
      <w:r>
        <w:t xml:space="preserve">To realize a strong first-order phase transition, additional new scalar fields and new particles must be introduced — an artificial extension of degrees of freedom.</w:t>
      </w:r>
    </w:p>
    <w:p>
      <w:pPr>
        <w:pStyle w:val="FirstParagraph"/>
      </w:pPr>
      <w:r>
        <w:t xml:space="preserve">Future space-based gravitational wave detectors (LISA, Tianqin, Taiji) will probe primordial stochastic gravitational waves in the mHz band, providing a new window for testing new physics at the electroweak scale.</w:t>
      </w:r>
    </w:p>
    <w:bookmarkEnd w:id="23"/>
    <w:bookmarkStart w:id="24" w:name="X2de46a26cc64b138be068687357a120dd9da5fd"/>
    <w:p>
      <w:pPr>
        <w:pStyle w:val="3"/>
      </w:pPr>
      <w:r>
        <w:t xml:space="preserve">1.2 FCWFT Foundational Basis (Following C16, C17, C18)</w:t>
      </w:r>
    </w:p>
    <w:p>
      <w:pPr>
        <w:pStyle w:val="FirstParagraph"/>
      </w:pPr>
      <w:r>
        <w:t xml:space="preserve">FCWFT three-field tensor product axiom:</w:t>
      </w:r>
    </w:p>
    <w:p>
      <w:pPr>
        <w:pStyle w:val="a0"/>
      </w:pPr>
      <m:oMathPara>
        <m:oMathParaPr>
          <m:jc m:val="center"/>
        </m:oMathParaPr>
        <m:oMath>
          <m:r>
            <m:rPr>
              <m:sty m:val="p"/>
            </m:rPr>
            <m:t>|</m:t>
          </m:r>
          <m:r>
            <m:rPr>
              <m:sty m:val="p"/>
            </m:rPr>
            <m:t>Ψ</m:t>
          </m:r>
          <m:r>
            <m:rPr>
              <m:sty m:val="p"/>
            </m:rPr>
            <m:t>⟩</m:t>
          </m:r>
          <m:r>
            <m:rPr>
              <m:sty m:val="p"/>
            </m:rPr>
            <m:t>=</m:t>
          </m:r>
          <m:r>
            <m:rPr>
              <m:sty m:val="p"/>
            </m:rPr>
            <m:t>|</m:t>
          </m:r>
          <m:r>
            <m:t>A</m:t>
          </m:r>
          <m:r>
            <m:rPr>
              <m:sty m:val="p"/>
            </m:rPr>
            <m:t>⟩</m:t>
          </m:r>
          <m:r>
            <m:rPr>
              <m:sty m:val="p"/>
            </m:rPr>
            <m:t>⊗</m:t>
          </m:r>
          <m:r>
            <m:rPr>
              <m:sty m:val="p"/>
            </m:rPr>
            <m:t>|</m:t>
          </m:r>
          <m:r>
            <m:t>B</m:t>
          </m:r>
          <m:r>
            <m:rPr>
              <m:sty m:val="p"/>
            </m:rPr>
            <m:t>⟩</m:t>
          </m:r>
          <m:r>
            <m:rPr>
              <m:sty m:val="p"/>
            </m:rPr>
            <m:t>⊗</m:t>
          </m:r>
          <m:r>
            <m:rPr>
              <m:sty m:val="p"/>
            </m:rPr>
            <m:t>|</m:t>
          </m:r>
          <m:r>
            <m:t>C</m:t>
          </m:r>
          <m:r>
            <m:rPr>
              <m:sty m:val="p"/>
            </m:rPr>
            <m:t>⟩</m:t>
          </m:r>
        </m:oMath>
      </m:oMathPara>
    </w:p>
    <w:p>
      <w:pPr>
        <w:pStyle w:val="Compact"/>
        <w:numPr>
          <w:ilvl w:val="0"/>
          <w:numId w:val="1003"/>
        </w:numPr>
      </w:pPr>
      <w:r>
        <w:rPr>
          <w:b/>
          <w:bCs/>
        </w:rPr>
        <w:t xml:space="preserve">A-field:</w:t>
      </w:r>
      <w:r>
        <w:t xml:space="preserve"> </w:t>
      </w:r>
      <w:r>
        <w:t xml:space="preserve">Spacetime medium, gravitational topological substrate.</w:t>
      </w:r>
    </w:p>
    <w:p>
      <w:pPr>
        <w:pStyle w:val="Compact"/>
        <w:numPr>
          <w:ilvl w:val="0"/>
          <w:numId w:val="1003"/>
        </w:numPr>
      </w:pPr>
      <w:r>
        <w:rPr>
          <w:b/>
          <w:bCs/>
        </w:rPr>
        <w:t xml:space="preserve">B-field:</w:t>
      </w:r>
      <w:r>
        <w:t xml:space="preserve"> </w:t>
      </w:r>
      <w:r>
        <w:t xml:space="preserve">Topological color framework, carrier of weak charge, spin, isospin.</w:t>
      </w:r>
    </w:p>
    <w:p>
      <w:pPr>
        <w:pStyle w:val="Compact"/>
        <w:numPr>
          <w:ilvl w:val="0"/>
          <w:numId w:val="1003"/>
        </w:numPr>
      </w:pPr>
      <w:r>
        <w:rPr>
          <w:b/>
          <w:bCs/>
        </w:rPr>
        <w:t xml:space="preserve">C-field:</w:t>
      </w:r>
      <w:r>
        <w:t xml:space="preserve"> </w:t>
      </w:r>
      <w:r>
        <w:t xml:space="preserve">Scalar vortex field; the low-energy vacuum is a</w:t>
      </w:r>
      <w:r>
        <w:t xml:space="preserve"> </w:t>
      </w:r>
      <m:oMath>
        <m:sSub>
          <m:e>
            <m:r>
              <m:t>n</m:t>
            </m:r>
          </m:e>
          <m:sub>
            <m:r>
              <m:t>C</m:t>
            </m:r>
          </m:sub>
        </m:sSub>
        <m:r>
          <m:rPr>
            <m:sty m:val="p"/>
          </m:rPr>
          <m:t>=</m:t>
        </m:r>
        <m:r>
          <m:t>2</m:t>
        </m:r>
      </m:oMath>
      <w:r>
        <w:t xml:space="preserve"> </w:t>
      </w:r>
      <w:r>
        <w:t xml:space="preserve">second-order vortex condensate; the 125 GeV Higgs is its radial collective excitation; fermion masses are determined by the C-field fractional vortex order stratification.</w:t>
      </w:r>
    </w:p>
    <w:p>
      <w:pPr>
        <w:pStyle w:val="FirstParagraph"/>
      </w:pPr>
      <w:r>
        <w:t xml:space="preserve">C16–C18 complete the static particle spectrum; C19 turns to high-temperature cosmic dynamics, studying the topological phase transition of the C-field from a disordered phase to a global second-order vortex condensate.</w:t>
      </w:r>
    </w:p>
    <w:bookmarkEnd w:id="24"/>
    <w:bookmarkStart w:id="25" w:name="article-structure"/>
    <w:p>
      <w:pPr>
        <w:pStyle w:val="3"/>
      </w:pPr>
      <w:r>
        <w:t xml:space="preserve">1.3 Article Structure</w:t>
      </w:r>
    </w:p>
    <w:p>
      <w:pPr>
        <w:pStyle w:val="FirstParagraph"/>
      </w:pPr>
      <w:r>
        <w:t xml:space="preserve">Section 2: High-temperature C-field two-phase structure and topological critical conditions; Section 3: Vacuum bubble nucleation, wall dynamics, and latent heat; Section 4: Mechanism and spectrum of primordial gravitational wave generation from the topological phase transition; Section 5: Baryogenesis during the electroweak topological phase transition; Section 6: Residual topological defect effects; Section 7: Gravitational wave observational predictions and discrimination criteria; Section 8: Summary of the complete FCWFT particle-cosmology closed loop.</w:t>
      </w:r>
    </w:p>
    <w:bookmarkEnd w:id="25"/>
    <w:bookmarkEnd w:id="26"/>
    <w:bookmarkStart w:id="31" w:name="X76555ebe2112d0aba2e3ff00fb58500a9dd7ef1"/>
    <w:p>
      <w:pPr>
        <w:pStyle w:val="2"/>
      </w:pPr>
      <w:r>
        <w:t xml:space="preserve">2 C-Field Two-Phase Structure and Topological Critical Conditions</w:t>
      </w:r>
    </w:p>
    <w:bookmarkStart w:id="27" w:name="high-temperature-disordered-phase-t-t_c"/>
    <w:p>
      <w:pPr>
        <w:pStyle w:val="3"/>
      </w:pPr>
      <w:r>
        <w:t xml:space="preserve">2.1 High-Temperature Disordered Phase (</w:t>
      </w:r>
      <m:oMath>
        <m:r>
          <m:t>T</m:t>
        </m:r>
        <m:r>
          <m:rPr>
            <m:sty m:val="p"/>
          </m:rPr>
          <m:t>&gt;</m:t>
        </m:r>
        <m:sSub>
          <m:e>
            <m:r>
              <m:t>T</m:t>
            </m:r>
          </m:e>
          <m:sub>
            <m:r>
              <m:t>c</m:t>
            </m:r>
          </m:sub>
        </m:sSub>
      </m:oMath>
      <w:r>
        <w:t xml:space="preserve">)</w:t>
      </w:r>
    </w:p>
    <w:p>
      <w:pPr>
        <w:pStyle w:val="FirstParagraph"/>
      </w:pPr>
      <w:r>
        <w:t xml:space="preserve">In the early Universe at temperatures above the critical temperature, thermal fluctuations are violent, and the C-field cannot maintain a globally coherent second-order vortex configuration. The system is in a disordered vortex plasma phase:</w:t>
      </w:r>
    </w:p>
    <w:p>
      <w:pPr>
        <w:pStyle w:val="Compact"/>
        <w:numPr>
          <w:ilvl w:val="0"/>
          <w:numId w:val="1004"/>
        </w:numPr>
      </w:pPr>
      <w:r>
        <w:t xml:space="preserve">Local C-field vortices are constantly created, annihilated, and recombined; there is no large-scale stable</w:t>
      </w:r>
      <w:r>
        <w:t xml:space="preserve"> </w:t>
      </w:r>
      <m:oMath>
        <m:sSub>
          <m:e>
            <m:r>
              <m:t>n</m:t>
            </m:r>
          </m:e>
          <m:sub>
            <m:r>
              <m:t>C</m:t>
            </m:r>
          </m:sub>
        </m:sSub>
        <m:r>
          <m:rPr>
            <m:sty m:val="p"/>
          </m:rPr>
          <m:t>=</m:t>
        </m:r>
        <m:r>
          <m:t>2</m:t>
        </m:r>
      </m:oMath>
      <w:r>
        <w:t xml:space="preserve"> </w:t>
      </w:r>
      <w:r>
        <w:t xml:space="preserve">second-order vortex condensate.</w:t>
      </w:r>
    </w:p>
    <w:p>
      <w:pPr>
        <w:pStyle w:val="Compact"/>
        <w:numPr>
          <w:ilvl w:val="0"/>
          <w:numId w:val="1004"/>
        </w:numPr>
      </w:pPr>
      <w:r>
        <w:t xml:space="preserve">Globally,</w:t>
      </w:r>
      <w:r>
        <w:t xml:space="preserve"> </w:t>
      </w:r>
      <m:oMath>
        <m:r>
          <m:rPr>
            <m:sty m:val="p"/>
          </m:rPr>
          <m:t>⟨</m:t>
        </m:r>
        <m:r>
          <m:t>C</m:t>
        </m:r>
        <m:r>
          <m:rPr>
            <m:sty m:val="p"/>
          </m:rPr>
          <m:t>⟩</m:t>
        </m:r>
        <m:r>
          <m:rPr>
            <m:sty m:val="p"/>
          </m:rPr>
          <m:t>=</m:t>
        </m:r>
        <m:r>
          <m:t>0</m:t>
        </m:r>
      </m:oMath>
      <w:r>
        <w:t xml:space="preserve">; the</w:t>
      </w:r>
      <w:r>
        <w:t xml:space="preserve"> </w:t>
      </w:r>
      <m:oMath>
        <m:r>
          <m:t>S</m:t>
        </m:r>
        <m:r>
          <m:t>U</m:t>
        </m:r>
        <m:r>
          <m:rPr>
            <m:sty m:val="p"/>
          </m:rPr>
          <m:t>(</m:t>
        </m:r>
        <m:r>
          <m:t>2</m:t>
        </m:r>
        <m:sSub>
          <m:e>
            <m:r>
              <m:rPr>
                <m:sty m:val="p"/>
              </m:rPr>
              <m:t>)</m:t>
            </m:r>
          </m:e>
          <m:sub>
            <m:r>
              <m:t>L</m:t>
            </m:r>
          </m:sub>
        </m:sSub>
        <m:r>
          <m:rPr>
            <m:sty m:val="p"/>
          </m:rPr>
          <m:t>×</m:t>
        </m:r>
        <m:r>
          <m:t>U</m:t>
        </m:r>
        <m:r>
          <m:rPr>
            <m:sty m:val="p"/>
          </m:rPr>
          <m:t>(</m:t>
        </m:r>
        <m:r>
          <m:t>1</m:t>
        </m:r>
        <m:sSub>
          <m:e>
            <m:r>
              <m:rPr>
                <m:sty m:val="p"/>
              </m:rPr>
              <m:t>)</m:t>
            </m:r>
          </m:e>
          <m:sub>
            <m:r>
              <m:t>Y</m:t>
            </m:r>
          </m:sub>
        </m:sSub>
      </m:oMath>
      <w:r>
        <w:t xml:space="preserve"> </w:t>
      </w:r>
      <w:r>
        <w:t xml:space="preserve">topological symmetry remains unbroken; W/Z bosons are massless; fermion C-field fractional vortices cannot form stable localized bound states.</w:t>
      </w:r>
    </w:p>
    <w:bookmarkEnd w:id="27"/>
    <w:bookmarkStart w:id="28" w:name="low-temperature-condensed-phase-t-t_c"/>
    <w:p>
      <w:pPr>
        <w:pStyle w:val="3"/>
      </w:pPr>
      <w:r>
        <w:t xml:space="preserve">2.2 Low-Temperature Condensed Phase (</w:t>
      </w:r>
      <m:oMath>
        <m:r>
          <m:t>T</m:t>
        </m:r>
        <m:r>
          <m:rPr>
            <m:sty m:val="p"/>
          </m:rPr>
          <m:t>&lt;</m:t>
        </m:r>
        <m:sSub>
          <m:e>
            <m:r>
              <m:t>T</m:t>
            </m:r>
          </m:e>
          <m:sub>
            <m:r>
              <m:t>c</m:t>
            </m:r>
          </m:sub>
        </m:sSub>
      </m:oMath>
      <w:r>
        <w:t xml:space="preserve">)</w:t>
      </w:r>
    </w:p>
    <w:p>
      <w:pPr>
        <w:pStyle w:val="FirstParagraph"/>
      </w:pPr>
      <w:r>
        <w:t xml:space="preserve">When the temperature drops below the critical temperature, the C-field topological free energy decreases, and the lowest-energy state becomes the global second-order vortex condensate:</w:t>
      </w:r>
    </w:p>
    <w:p>
      <w:pPr>
        <w:pStyle w:val="Compact"/>
        <w:numPr>
          <w:ilvl w:val="0"/>
          <w:numId w:val="1005"/>
        </w:numPr>
      </w:pPr>
      <m:oMath>
        <m:r>
          <m:rPr>
            <m:sty m:val="p"/>
          </m:rPr>
          <m:t>⟨</m:t>
        </m:r>
        <m:r>
          <m:t>C</m:t>
        </m:r>
        <m:r>
          <m:rPr>
            <m:sty m:val="p"/>
          </m:rPr>
          <m:t>⟩</m:t>
        </m:r>
        <m:r>
          <m:rPr>
            <m:sty m:val="p"/>
          </m:rPr>
          <m:t>=</m:t>
        </m:r>
        <m:sSub>
          <m:e>
            <m:r>
              <m:rPr>
                <m:sty m:val="p"/>
              </m:rPr>
              <m:t>Λ</m:t>
            </m:r>
          </m:e>
          <m:sub>
            <m:r>
              <m:rPr>
                <m:sty m:val="p"/>
              </m:rPr>
              <m:t>w</m:t>
            </m:r>
            <m:r>
              <m:rPr>
                <m:sty m:val="p"/>
              </m:rPr>
              <m:t>e</m:t>
            </m:r>
            <m:r>
              <m:rPr>
                <m:sty m:val="p"/>
              </m:rPr>
              <m:t>a</m:t>
            </m:r>
            <m:r>
              <m:rPr>
                <m:sty m:val="p"/>
              </m:rPr>
              <m:t>k</m:t>
            </m:r>
          </m:sub>
        </m:sSub>
        <m:r>
          <m:rPr>
            <m:sty m:val="p"/>
          </m:rPr>
          <m:t>=</m:t>
        </m:r>
        <m:r>
          <m:t>246</m:t>
        </m:r>
        <m:r>
          <m:t> </m:t>
        </m:r>
        <m:r>
          <m:rPr>
            <m:sty m:val="p"/>
          </m:rPr>
          <m:t>G</m:t>
        </m:r>
        <m:r>
          <m:rPr>
            <m:sty m:val="p"/>
          </m:rPr>
          <m:t>e</m:t>
        </m:r>
        <m:r>
          <m:rPr>
            <m:sty m:val="p"/>
          </m:rPr>
          <m:t>V</m:t>
        </m:r>
        <m:r>
          <m:rPr>
            <m:sty m:val="p"/>
          </m:rPr>
          <m:t>.</m:t>
        </m:r>
      </m:oMath>
    </w:p>
    <w:p>
      <w:pPr>
        <w:pStyle w:val="Compact"/>
        <w:numPr>
          <w:ilvl w:val="0"/>
          <w:numId w:val="1005"/>
        </w:numPr>
      </w:pPr>
      <m:oMath>
        <m:r>
          <m:t>S</m:t>
        </m:r>
        <m:r>
          <m:t>U</m:t>
        </m:r>
        <m:r>
          <m:rPr>
            <m:sty m:val="p"/>
          </m:rPr>
          <m:t>(</m:t>
        </m:r>
        <m:r>
          <m:t>2</m:t>
        </m:r>
        <m:sSub>
          <m:e>
            <m:r>
              <m:rPr>
                <m:sty m:val="p"/>
              </m:rPr>
              <m:t>)</m:t>
            </m:r>
          </m:e>
          <m:sub>
            <m:r>
              <m:t>L</m:t>
            </m:r>
          </m:sub>
        </m:sSub>
        <m:r>
          <m:rPr>
            <m:sty m:val="p"/>
          </m:rPr>
          <m:t>×</m:t>
        </m:r>
        <m:r>
          <m:t>U</m:t>
        </m:r>
        <m:r>
          <m:rPr>
            <m:sty m:val="p"/>
          </m:rPr>
          <m:t>(</m:t>
        </m:r>
        <m:r>
          <m:t>1</m:t>
        </m:r>
        <m:sSub>
          <m:e>
            <m:r>
              <m:rPr>
                <m:sty m:val="p"/>
              </m:rPr>
              <m:t>)</m:t>
            </m:r>
          </m:e>
          <m:sub>
            <m:r>
              <m:t>Y</m:t>
            </m:r>
          </m:sub>
        </m:sSub>
      </m:oMath>
      <w:r>
        <w:t xml:space="preserve"> </w:t>
      </w:r>
      <w:r>
        <w:t xml:space="preserve">topological symmetry is broken, retaining</w:t>
      </w:r>
      <w:r>
        <w:t xml:space="preserve"> </w:t>
      </w:r>
      <m:oMath>
        <m:r>
          <m:t>U</m:t>
        </m:r>
        <m:r>
          <m:rPr>
            <m:sty m:val="p"/>
          </m:rPr>
          <m:t>(</m:t>
        </m:r>
        <m:r>
          <m:t>1</m:t>
        </m:r>
        <m:sSub>
          <m:e>
            <m:r>
              <m:rPr>
                <m:sty m:val="p"/>
              </m:rPr>
              <m:t>)</m:t>
            </m:r>
          </m:e>
          <m:sub>
            <m:r>
              <m:rPr>
                <m:sty m:val="p"/>
              </m:rPr>
              <m:t>e</m:t>
            </m:r>
            <m:r>
              <m:rPr>
                <m:sty m:val="p"/>
              </m:rPr>
              <m:t>m</m:t>
            </m:r>
          </m:sub>
        </m:sSub>
      </m:oMath>
      <w:r>
        <w:t xml:space="preserve"> </w:t>
      </w:r>
      <w:r>
        <w:t xml:space="preserve">electromagnetic symmetry.</w:t>
      </w:r>
    </w:p>
    <w:p>
      <w:pPr>
        <w:pStyle w:val="Compact"/>
        <w:numPr>
          <w:ilvl w:val="0"/>
          <w:numId w:val="1005"/>
        </w:numPr>
      </w:pPr>
      <w:r>
        <w:t xml:space="preserve">W/Z bosons and the three generations of fermions acquire masses, corresponding to the static topological configurations of particles in C16–C18.</w:t>
      </w:r>
    </w:p>
    <w:bookmarkEnd w:id="28"/>
    <w:bookmarkStart w:id="29" w:name="X6880886a312235f577a6ef78598a79e2b31c38d"/>
    <w:p>
      <w:pPr>
        <w:pStyle w:val="3"/>
      </w:pPr>
      <w:r>
        <w:t xml:space="preserve">2.3 Topological Barrier and First-Order Phase Transition Criterion</w:t>
      </w:r>
    </w:p>
    <w:p>
      <w:pPr>
        <w:pStyle w:val="FirstParagraph"/>
      </w:pPr>
      <w:r>
        <w:t xml:space="preserve">The transition between the two phases is not smooth but separated by a topological barrier arising from the C-field vortex curvature. The critical condition for the phase transition: the topological free energy densities of the disordered and condensed phases are equal.</w:t>
      </w:r>
    </w:p>
    <w:p>
      <w:pPr>
        <w:pStyle w:val="a0"/>
      </w:pPr>
      <m:oMathPara>
        <m:oMathParaPr>
          <m:jc m:val="center"/>
        </m:oMathParaPr>
        <m:oMath>
          <m:sSub>
            <m:e>
              <m:r>
                <m:t>F</m:t>
              </m:r>
            </m:e>
            <m:sub>
              <m:r>
                <m:rPr>
                  <m:sty m:val="p"/>
                </m:rPr>
                <m:t>d</m:t>
              </m:r>
              <m:r>
                <m:rPr>
                  <m:sty m:val="p"/>
                </m:rPr>
                <m:t>i</m:t>
              </m:r>
              <m:r>
                <m:rPr>
                  <m:sty m:val="p"/>
                </m:rPr>
                <m:t>s</m:t>
              </m:r>
              <m:r>
                <m:rPr>
                  <m:sty m:val="p"/>
                </m:rPr>
                <m:t>o</m:t>
              </m:r>
              <m:r>
                <m:rPr>
                  <m:sty m:val="p"/>
                </m:rPr>
                <m:t>r</m:t>
              </m:r>
              <m:r>
                <m:rPr>
                  <m:sty m:val="p"/>
                </m:rPr>
                <m:t>d</m:t>
              </m:r>
              <m:r>
                <m:rPr>
                  <m:sty m:val="p"/>
                </m:rPr>
                <m:t>e</m:t>
              </m:r>
              <m:r>
                <m:rPr>
                  <m:sty m:val="p"/>
                </m:rPr>
                <m:t>r</m:t>
              </m:r>
              <m:r>
                <m:rPr>
                  <m:sty m:val="p"/>
                </m:rPr>
                <m:t>e</m:t>
              </m:r>
              <m:r>
                <m:rPr>
                  <m:sty m:val="p"/>
                </m:rPr>
                <m:t>d</m:t>
              </m:r>
            </m:sub>
          </m:sSub>
          <m:r>
            <m:rPr>
              <m:sty m:val="p"/>
            </m:rPr>
            <m:t>(</m:t>
          </m:r>
          <m:sSub>
            <m:e>
              <m:r>
                <m:t>T</m:t>
              </m:r>
            </m:e>
            <m:sub>
              <m:r>
                <m:t>c</m:t>
              </m:r>
            </m:sub>
          </m:sSub>
          <m:r>
            <m:rPr>
              <m:sty m:val="p"/>
            </m:rPr>
            <m:t>)</m:t>
          </m:r>
          <m:r>
            <m:rPr>
              <m:sty m:val="p"/>
            </m:rPr>
            <m:t>=</m:t>
          </m:r>
          <m:sSub>
            <m:e>
              <m:r>
                <m:t>F</m:t>
              </m:r>
            </m:e>
            <m:sub>
              <m:r>
                <m:rPr>
                  <m:sty m:val="p"/>
                </m:rPr>
                <m:t>v</m:t>
              </m:r>
              <m:r>
                <m:rPr>
                  <m:sty m:val="p"/>
                </m:rPr>
                <m:t>o</m:t>
              </m:r>
              <m:r>
                <m:rPr>
                  <m:sty m:val="p"/>
                </m:rPr>
                <m:t>r</m:t>
              </m:r>
              <m:r>
                <m:rPr>
                  <m:sty m:val="p"/>
                </m:rPr>
                <m:t>t</m:t>
              </m:r>
              <m:r>
                <m:rPr>
                  <m:sty m:val="p"/>
                </m:rPr>
                <m:t>e</m:t>
              </m:r>
              <m:r>
                <m:rPr>
                  <m:sty m:val="p"/>
                </m:rPr>
                <m:t>x</m:t>
              </m:r>
              <m:r>
                <m:rPr>
                  <m:sty m:val="p"/>
                </m:rPr>
                <m:t>−</m:t>
              </m:r>
              <m:r>
                <m:rPr>
                  <m:sty m:val="p"/>
                </m:rPr>
                <m:t>c</m:t>
              </m:r>
              <m:r>
                <m:rPr>
                  <m:sty m:val="p"/>
                </m:rPr>
                <m:t>o</m:t>
              </m:r>
              <m:r>
                <m:rPr>
                  <m:sty m:val="p"/>
                </m:rPr>
                <m:t>n</m:t>
              </m:r>
              <m:r>
                <m:rPr>
                  <m:sty m:val="p"/>
                </m:rPr>
                <m:t>d</m:t>
              </m:r>
            </m:sub>
          </m:sSub>
          <m:r>
            <m:rPr>
              <m:sty m:val="p"/>
            </m:rPr>
            <m:t>(</m:t>
          </m:r>
          <m:sSub>
            <m:e>
              <m:r>
                <m:t>T</m:t>
              </m:r>
            </m:e>
            <m:sub>
              <m:r>
                <m:t>c</m:t>
              </m:r>
            </m:sub>
          </m:sSub>
          <m:r>
            <m:rPr>
              <m:sty m:val="p"/>
            </m:rPr>
            <m:t>)</m:t>
          </m:r>
        </m:oMath>
      </m:oMathPara>
    </w:p>
    <w:p>
      <w:pPr>
        <w:pStyle w:val="FirstParagraph"/>
      </w:pPr>
      <w:r>
        <w:t xml:space="preserve">The barrier originates from the topological transition of the C-field vortex winding number when crossing the interface, not from a polynomial scalar field potential. The bubble wall is essentially a C-field topological domain wall: within the wall, the C-field vortex winding number changes continuously, carrying enormous topological stress and surface energy density.</w:t>
      </w:r>
    </w:p>
    <w:p>
      <w:pPr>
        <w:pStyle w:val="a0"/>
      </w:pPr>
      <w:r>
        <w:t xml:space="preserve">Key distinction:</w:t>
      </w:r>
    </w:p>
    <w:p>
      <w:pPr>
        <w:pStyle w:val="Compact"/>
        <w:numPr>
          <w:ilvl w:val="0"/>
          <w:numId w:val="1006"/>
        </w:numPr>
      </w:pPr>
      <w:r>
        <w:rPr>
          <w:b/>
          <w:bCs/>
        </w:rPr>
        <w:t xml:space="preserve">Standard Model:</w:t>
      </w:r>
      <w:r>
        <w:t xml:space="preserve"> </w:t>
      </w:r>
      <w:r>
        <w:t xml:space="preserve">Algebraic barrier from the thermal scalar effective potential.</w:t>
      </w:r>
    </w:p>
    <w:p>
      <w:pPr>
        <w:pStyle w:val="Compact"/>
        <w:numPr>
          <w:ilvl w:val="0"/>
          <w:numId w:val="1006"/>
        </w:numPr>
      </w:pPr>
      <w:r>
        <w:rPr>
          <w:b/>
          <w:bCs/>
        </w:rPr>
        <w:t xml:space="preserve">FCWFT:</w:t>
      </w:r>
      <w:r>
        <w:t xml:space="preserve"> </w:t>
      </w:r>
      <w:r>
        <w:t xml:space="preserve">Geometric barrier from the topological winding number transition.</w:t>
      </w:r>
    </w:p>
    <w:bookmarkEnd w:id="29"/>
    <w:bookmarkStart w:id="30" w:name="X87e9fce11657fc28c342b0748b49d61413ddccd"/>
    <w:p>
      <w:pPr>
        <w:pStyle w:val="3"/>
      </w:pPr>
      <w:r>
        <w:t xml:space="preserve">2.4 Dimensional Analysis of the Critical Temperature</w:t>
      </w:r>
    </w:p>
    <w:p>
      <w:pPr>
        <w:pStyle w:val="FirstParagraph"/>
      </w:pPr>
      <w:r>
        <w:t xml:space="preserve">The free energy density of the C-field vortex condensate at high temperature can be expanded as:</w:t>
      </w:r>
    </w:p>
    <w:p>
      <w:pPr>
        <w:pStyle w:val="a0"/>
      </w:pPr>
      <m:oMathPara>
        <m:oMathParaPr>
          <m:jc m:val="center"/>
        </m:oMathParaPr>
        <m:oMath>
          <m:r>
            <m:t>F</m:t>
          </m:r>
          <m:r>
            <m:rPr>
              <m:sty m:val="p"/>
            </m:rPr>
            <m:t>(</m:t>
          </m:r>
          <m:r>
            <m:t>T</m:t>
          </m:r>
          <m:r>
            <m:rPr>
              <m:sty m:val="p"/>
            </m:rPr>
            <m:t>)</m:t>
          </m:r>
          <m:r>
            <m:rPr>
              <m:sty m:val="p"/>
            </m:rPr>
            <m:t>=</m:t>
          </m:r>
          <m:sSub>
            <m:e>
              <m:r>
                <m:t>F</m:t>
              </m:r>
            </m:e>
            <m:sub>
              <m:r>
                <m:t>0</m:t>
              </m:r>
            </m:sub>
          </m:sSub>
          <m:r>
            <m:rPr>
              <m:sty m:val="p"/>
            </m:rPr>
            <m:t>+</m:t>
          </m:r>
          <m:f>
            <m:fPr>
              <m:type m:val="bar"/>
            </m:fPr>
            <m:num>
              <m:r>
                <m:t>1</m:t>
              </m:r>
            </m:num>
            <m:den>
              <m:r>
                <m:t>2</m:t>
              </m:r>
            </m:den>
          </m:f>
          <m:r>
            <m:t>g</m:t>
          </m:r>
          <m:r>
            <m:rPr>
              <m:sty m:val="p"/>
            </m:rPr>
            <m:t>(</m:t>
          </m:r>
          <m:r>
            <m:t>T</m:t>
          </m:r>
          <m:r>
            <m:rPr>
              <m:sty m:val="p"/>
            </m:rPr>
            <m:t>)</m:t>
          </m:r>
          <m:r>
            <m:rPr>
              <m:sty m:val="p"/>
            </m:rPr>
            <m:t>⟨</m:t>
          </m:r>
          <m:r>
            <m:t>C</m:t>
          </m:r>
          <m:sSup>
            <m:e>
              <m:r>
                <m:rPr>
                  <m:sty m:val="p"/>
                </m:rPr>
                <m:t>⟩</m:t>
              </m:r>
            </m:e>
            <m:sup>
              <m:r>
                <m:t>2</m:t>
              </m:r>
            </m:sup>
          </m:sSup>
          <m:r>
            <m:rPr>
              <m:sty m:val="p"/>
            </m:rPr>
            <m:t>+</m:t>
          </m:r>
          <m:f>
            <m:fPr>
              <m:type m:val="bar"/>
            </m:fPr>
            <m:num>
              <m:r>
                <m:t>λ</m:t>
              </m:r>
            </m:num>
            <m:den>
              <m:r>
                <m:t>4</m:t>
              </m:r>
            </m:den>
          </m:f>
          <m:r>
            <m:rPr>
              <m:sty m:val="p"/>
            </m:rPr>
            <m:t>⟨</m:t>
          </m:r>
          <m:r>
            <m:t>C</m:t>
          </m:r>
          <m:sSup>
            <m:e>
              <m:r>
                <m:rPr>
                  <m:sty m:val="p"/>
                </m:rPr>
                <m:t>⟩</m:t>
              </m:r>
            </m:e>
            <m:sup>
              <m:r>
                <m:t>4</m:t>
              </m:r>
            </m:sup>
          </m:sSup>
          <m:r>
            <m:rPr>
              <m:sty m:val="p"/>
            </m:rPr>
            <m:t>+</m:t>
          </m:r>
          <m:r>
            <m:rPr>
              <m:sty m:val="p"/>
            </m:rPr>
            <m:t>⋯</m:t>
          </m:r>
        </m:oMath>
      </m:oMathPara>
    </w:p>
    <w:p>
      <w:pPr>
        <w:pStyle w:val="FirstParagraph"/>
      </w:pPr>
      <w:r>
        <w:t xml:space="preserve">where</w:t>
      </w:r>
      <w:r>
        <w:t xml:space="preserve"> </w:t>
      </w:r>
      <m:oMath>
        <m:r>
          <m:t>g</m:t>
        </m:r>
        <m:r>
          <m:rPr>
            <m:sty m:val="p"/>
          </m:rPr>
          <m:t>(</m:t>
        </m:r>
        <m:r>
          <m:t>T</m:t>
        </m:r>
        <m:r>
          <m:rPr>
            <m:sty m:val="p"/>
          </m:rPr>
          <m:t>)</m:t>
        </m:r>
      </m:oMath>
      <w:r>
        <w:t xml:space="preserve"> </w:t>
      </w:r>
      <w:r>
        <w:t xml:space="preserve">is determined by the topological entropy contribution of the C-field vortex core. The critical temperature corresponds to</w:t>
      </w:r>
      <w:r>
        <w:t xml:space="preserve"> </w:t>
      </w:r>
      <m:oMath>
        <m:r>
          <m:t>g</m:t>
        </m:r>
        <m:r>
          <m:rPr>
            <m:sty m:val="p"/>
          </m:rPr>
          <m:t>(</m:t>
        </m:r>
        <m:sSub>
          <m:e>
            <m:r>
              <m:t>T</m:t>
            </m:r>
          </m:e>
          <m:sub>
            <m:r>
              <m:t>c</m:t>
            </m:r>
          </m:sub>
        </m:sSub>
        <m:r>
          <m:rPr>
            <m:sty m:val="p"/>
          </m:rPr>
          <m:t>)</m:t>
        </m:r>
        <m:r>
          <m:rPr>
            <m:sty m:val="p"/>
          </m:rPr>
          <m:t>=</m:t>
        </m:r>
        <m:r>
          <m:t>0</m:t>
        </m:r>
      </m:oMath>
      <w:r>
        <w:t xml:space="preserve">. Through dimensional analysis and comparison with the electroweak scale, we obtain:</w:t>
      </w:r>
    </w:p>
    <w:p>
      <w:pPr>
        <w:pStyle w:val="a0"/>
      </w:pPr>
      <m:oMathPara>
        <m:oMathParaPr>
          <m:jc m:val="center"/>
        </m:oMathParaPr>
        <m:oMath>
          <m:sSub>
            <m:e>
              <m:r>
                <m:t>T</m:t>
              </m:r>
            </m:e>
            <m:sub>
              <m:r>
                <m:t>c</m:t>
              </m:r>
            </m:sub>
          </m:sSub>
          <m:r>
            <m:rPr>
              <m:sty m:val="p"/>
            </m:rPr>
            <m:t>≈</m:t>
          </m:r>
          <m:f>
            <m:fPr>
              <m:type m:val="bar"/>
            </m:fPr>
            <m:num>
              <m:sSub>
                <m:e>
                  <m:r>
                    <m:rPr>
                      <m:sty m:val="p"/>
                    </m:rPr>
                    <m:t>Λ</m:t>
                  </m:r>
                </m:e>
                <m:sub>
                  <m:r>
                    <m:rPr>
                      <m:sty m:val="p"/>
                    </m:rPr>
                    <m:t>w</m:t>
                  </m:r>
                  <m:r>
                    <m:rPr>
                      <m:sty m:val="p"/>
                    </m:rPr>
                    <m:t>e</m:t>
                  </m:r>
                  <m:r>
                    <m:rPr>
                      <m:sty m:val="p"/>
                    </m:rPr>
                    <m:t>a</m:t>
                  </m:r>
                  <m:r>
                    <m:rPr>
                      <m:sty m:val="p"/>
                    </m:rPr>
                    <m:t>k</m:t>
                  </m:r>
                </m:sub>
              </m:sSub>
            </m:num>
            <m:den>
              <m:rad>
                <m:radPr>
                  <m:degHide m:val="on"/>
                </m:radPr>
                <m:deg/>
                <m:e>
                  <m:r>
                    <m:t>2</m:t>
                  </m:r>
                </m:e>
              </m:rad>
            </m:den>
          </m:f>
          <m:r>
            <m:rPr>
              <m:sty m:val="p"/>
            </m:rPr>
            <m:t>≈</m:t>
          </m:r>
          <m:r>
            <m:t>170</m:t>
          </m:r>
          <m:r>
            <m:t> </m:t>
          </m:r>
          <m:r>
            <m:rPr>
              <m:sty m:val="p"/>
            </m:rPr>
            <m:t>G</m:t>
          </m:r>
          <m:r>
            <m:rPr>
              <m:sty m:val="p"/>
            </m:rPr>
            <m:t>e</m:t>
          </m:r>
          <m:r>
            <m:rPr>
              <m:sty m:val="p"/>
            </m:rPr>
            <m:t>V</m:t>
          </m:r>
        </m:oMath>
      </m:oMathPara>
    </w:p>
    <w:p>
      <w:pPr>
        <w:pStyle w:val="FirstParagraph"/>
      </w:pPr>
      <w:r>
        <w:t xml:space="preserve">After accounting for corrections from the A-field medium, the actual value is approximately 100 GeV. This value is of the same order as the electroweak scale and requires no additional parameters.</w:t>
      </w:r>
    </w:p>
    <w:bookmarkEnd w:id="30"/>
    <w:bookmarkEnd w:id="31"/>
    <w:bookmarkStart w:id="35" w:name="X8e62b048fd3a8f5c7374f0dd03234e69c47cebe"/>
    <w:p>
      <w:pPr>
        <w:pStyle w:val="2"/>
      </w:pPr>
      <w:r>
        <w:t xml:space="preserve">3 Vacuum Bubble Nucleation, Wall Dynamics, and Latent Heat</w:t>
      </w:r>
    </w:p>
    <w:bookmarkStart w:id="32" w:name="quantum-nucleation"/>
    <w:p>
      <w:pPr>
        <w:pStyle w:val="3"/>
      </w:pPr>
      <w:r>
        <w:t xml:space="preserve">3.1 Quantum Nucleation</w:t>
      </w:r>
    </w:p>
    <w:p>
      <w:pPr>
        <w:pStyle w:val="FirstParagraph"/>
      </w:pPr>
      <w:r>
        <w:t xml:space="preserve">When</w:t>
      </w:r>
      <w:r>
        <w:t xml:space="preserve"> </w:t>
      </w:r>
      <m:oMath>
        <m:r>
          <m:t>T</m:t>
        </m:r>
        <m:r>
          <m:rPr>
            <m:sty m:val="p"/>
          </m:rPr>
          <m:t>&lt;</m:t>
        </m:r>
        <m:sSub>
          <m:e>
            <m:r>
              <m:t>T</m:t>
            </m:r>
          </m:e>
          <m:sub>
            <m:r>
              <m:t>c</m:t>
            </m:r>
          </m:sub>
        </m:sSub>
        <m:r>
          <m:rPr>
            <m:sty m:val="p"/>
          </m:rPr>
          <m:t>,</m:t>
        </m:r>
      </m:oMath>
      <w:r>
        <w:t xml:space="preserve"> </w:t>
      </w:r>
      <w:r>
        <w:t xml:space="preserve">the disordered phase becomes a metastable false vacuum. Through quantum tunneling, stable second-order vortex condensate vacuum bubbles form locally in space. The critical radius of the bubble is determined by the competition between the topological domain wall surface energy and the volume latent heat:</w:t>
      </w:r>
    </w:p>
    <w:p>
      <w:pPr>
        <w:pStyle w:val="a0"/>
      </w:pPr>
      <m:oMathPara>
        <m:oMathParaPr>
          <m:jc m:val="center"/>
        </m:oMathParaPr>
        <m:oMath>
          <m:sSub>
            <m:e>
              <m:r>
                <m:t>R</m:t>
              </m:r>
            </m:e>
            <m:sub>
              <m:r>
                <m:t>c</m:t>
              </m:r>
            </m:sub>
          </m:sSub>
          <m:r>
            <m:rPr>
              <m:sty m:val="p"/>
            </m:rPr>
            <m:t>∝</m:t>
          </m:r>
          <m:f>
            <m:fPr>
              <m:type m:val="bar"/>
            </m:fPr>
            <m:num>
              <m:r>
                <m:t>σ</m:t>
              </m:r>
            </m:num>
            <m:den>
              <m:r>
                <m:rPr>
                  <m:sty m:val="p"/>
                </m:rPr>
                <m:t>Δ</m:t>
              </m:r>
              <m:r>
                <m:t>f</m:t>
              </m:r>
            </m:den>
          </m:f>
        </m:oMath>
      </m:oMathPara>
    </w:p>
    <w:p>
      <w:pPr>
        <w:pStyle w:val="FirstParagraph"/>
      </w:pPr>
      <w:r>
        <w:t xml:space="preserve">where</w:t>
      </w:r>
      <w:r>
        <w:t xml:space="preserve"> </w:t>
      </w:r>
      <m:oMath>
        <m:r>
          <m:t>σ</m:t>
        </m:r>
      </m:oMath>
      <w:r>
        <w:t xml:space="preserve"> </w:t>
      </w:r>
      <w:r>
        <w:t xml:space="preserve">is the C-field topological domain wall surface energy density, and</w:t>
      </w:r>
      <w:r>
        <w:t xml:space="preserve"> </w:t>
      </w:r>
      <m:oMath>
        <m:r>
          <m:rPr>
            <m:sty m:val="p"/>
          </m:rPr>
          <m:t>Δ</m:t>
        </m:r>
        <m:r>
          <m:t>f</m:t>
        </m:r>
      </m:oMath>
      <w:r>
        <w:t xml:space="preserve"> </w:t>
      </w:r>
      <w:r>
        <w:t xml:space="preserve">is the free energy density difference between the two phases (latent heat density). Numerical estimates based on the C-field vortex profile give:</w:t>
      </w:r>
    </w:p>
    <w:p>
      <w:pPr>
        <w:pStyle w:val="a0"/>
      </w:pPr>
      <m:oMathPara>
        <m:oMathParaPr>
          <m:jc m:val="center"/>
        </m:oMathParaPr>
        <m:oMath>
          <m:eqArr>
            <m:e>
              <m:r>
                <m:t>σ</m:t>
              </m:r>
              <m:r>
                <m:t>&amp;</m:t>
              </m:r>
              <m:r>
                <m:rPr>
                  <m:sty m:val="p"/>
                </m:rPr>
                <m:t>≈</m:t>
              </m:r>
              <m:sSubSup>
                <m:e>
                  <m:r>
                    <m:rPr>
                      <m:sty m:val="p"/>
                    </m:rPr>
                    <m:t>Λ</m:t>
                  </m:r>
                </m:e>
                <m:sub>
                  <m:r>
                    <m:rPr>
                      <m:sty m:val="p"/>
                    </m:rPr>
                    <m:t>w</m:t>
                  </m:r>
                  <m:r>
                    <m:rPr>
                      <m:sty m:val="p"/>
                    </m:rPr>
                    <m:t>e</m:t>
                  </m:r>
                  <m:r>
                    <m:rPr>
                      <m:sty m:val="p"/>
                    </m:rPr>
                    <m:t>a</m:t>
                  </m:r>
                  <m:r>
                    <m:rPr>
                      <m:sty m:val="p"/>
                    </m:rPr>
                    <m:t>k</m:t>
                  </m:r>
                </m:sub>
                <m:sup>
                  <m:r>
                    <m:t>3</m:t>
                  </m:r>
                </m:sup>
              </m:sSubSup>
              <m:r>
                <m:rPr>
                  <m:sty m:val="p"/>
                </m:rPr>
                <m:t>≈</m:t>
              </m:r>
              <m:r>
                <m:rPr>
                  <m:sty m:val="p"/>
                </m:rPr>
                <m:t>(</m:t>
              </m:r>
              <m:r>
                <m:t>246</m:t>
              </m:r>
              <m:r>
                <m:t> </m:t>
              </m:r>
              <m:r>
                <m:rPr>
                  <m:sty m:val="p"/>
                </m:rPr>
                <m:t>G</m:t>
              </m:r>
              <m:r>
                <m:rPr>
                  <m:sty m:val="p"/>
                </m:rPr>
                <m:t>e</m:t>
              </m:r>
              <m:r>
                <m:rPr>
                  <m:sty m:val="p"/>
                </m:rPr>
                <m:t>V</m:t>
              </m:r>
              <m:sSup>
                <m:e>
                  <m:r>
                    <m:rPr>
                      <m:sty m:val="p"/>
                    </m:rPr>
                    <m:t>)</m:t>
                  </m:r>
                </m:e>
                <m:sup>
                  <m:r>
                    <m:t>3</m:t>
                  </m:r>
                </m:sup>
              </m:sSup>
              <m:r>
                <m:rPr>
                  <m:sty m:val="p"/>
                </m:rPr>
                <m:t>≈</m:t>
              </m:r>
              <m:r>
                <m:t>1.5</m:t>
              </m:r>
              <m:r>
                <m:rPr>
                  <m:sty m:val="p"/>
                </m:rPr>
                <m:t>×</m:t>
              </m:r>
              <m:sSup>
                <m:e>
                  <m:r>
                    <m:t>10</m:t>
                  </m:r>
                </m:e>
                <m:sup>
                  <m:r>
                    <m:t>7</m:t>
                  </m:r>
                </m:sup>
              </m:sSup>
              <m:r>
                <m:t> </m:t>
              </m:r>
              <m:sSup>
                <m:e>
                  <m:r>
                    <m:rPr>
                      <m:sty m:val="p"/>
                    </m:rPr>
                    <m:t>G</m:t>
                  </m:r>
                  <m:r>
                    <m:rPr>
                      <m:sty m:val="p"/>
                    </m:rPr>
                    <m:t>e</m:t>
                  </m:r>
                  <m:r>
                    <m:rPr>
                      <m:sty m:val="p"/>
                    </m:rPr>
                    <m:t>V</m:t>
                  </m:r>
                </m:e>
                <m:sup>
                  <m:r>
                    <m:t>3</m:t>
                  </m:r>
                </m:sup>
              </m:sSup>
            </m:e>
            <m:e>
              <m:r>
                <m:rPr>
                  <m:sty m:val="p"/>
                </m:rPr>
                <m:t>Δ</m:t>
              </m:r>
              <m:r>
                <m:t>f</m:t>
              </m:r>
              <m:r>
                <m:t>&amp;</m:t>
              </m:r>
              <m:r>
                <m:rPr>
                  <m:sty m:val="p"/>
                </m:rPr>
                <m:t>≈</m:t>
              </m:r>
              <m:f>
                <m:fPr>
                  <m:type m:val="bar"/>
                </m:fPr>
                <m:num>
                  <m:r>
                    <m:t>1</m:t>
                  </m:r>
                </m:num>
                <m:den>
                  <m:r>
                    <m:t>4</m:t>
                  </m:r>
                </m:den>
              </m:f>
              <m:sSubSup>
                <m:e>
                  <m:r>
                    <m:rPr>
                      <m:sty m:val="p"/>
                    </m:rPr>
                    <m:t>Λ</m:t>
                  </m:r>
                </m:e>
                <m:sub>
                  <m:r>
                    <m:rPr>
                      <m:sty m:val="p"/>
                    </m:rPr>
                    <m:t>w</m:t>
                  </m:r>
                  <m:r>
                    <m:rPr>
                      <m:sty m:val="p"/>
                    </m:rPr>
                    <m:t>e</m:t>
                  </m:r>
                  <m:r>
                    <m:rPr>
                      <m:sty m:val="p"/>
                    </m:rPr>
                    <m:t>a</m:t>
                  </m:r>
                  <m:r>
                    <m:rPr>
                      <m:sty m:val="p"/>
                    </m:rPr>
                    <m:t>k</m:t>
                  </m:r>
                </m:sub>
                <m:sup>
                  <m:r>
                    <m:t>4</m:t>
                  </m:r>
                </m:sup>
              </m:sSubSup>
              <m:r>
                <m:rPr>
                  <m:sty m:val="p"/>
                </m:rPr>
                <m:t>≈</m:t>
              </m:r>
              <m:r>
                <m:t>9</m:t>
              </m:r>
              <m:r>
                <m:rPr>
                  <m:sty m:val="p"/>
                </m:rPr>
                <m:t>×</m:t>
              </m:r>
              <m:sSup>
                <m:e>
                  <m:r>
                    <m:t>10</m:t>
                  </m:r>
                </m:e>
                <m:sup>
                  <m:r>
                    <m:t>8</m:t>
                  </m:r>
                </m:sup>
              </m:sSup>
              <m:r>
                <m:t> </m:t>
              </m:r>
              <m:sSup>
                <m:e>
                  <m:r>
                    <m:rPr>
                      <m:sty m:val="p"/>
                    </m:rPr>
                    <m:t>G</m:t>
                  </m:r>
                  <m:r>
                    <m:rPr>
                      <m:sty m:val="p"/>
                    </m:rPr>
                    <m:t>e</m:t>
                  </m:r>
                  <m:r>
                    <m:rPr>
                      <m:sty m:val="p"/>
                    </m:rPr>
                    <m:t>V</m:t>
                  </m:r>
                </m:e>
                <m:sup>
                  <m:r>
                    <m:t>4</m:t>
                  </m:r>
                </m:sup>
              </m:sSup>
            </m:e>
          </m:eqArr>
        </m:oMath>
      </m:oMathPara>
    </w:p>
    <w:p>
      <w:pPr>
        <w:pStyle w:val="FirstParagraph"/>
      </w:pPr>
      <w:r>
        <w:t xml:space="preserve">Thus the critical radius is</w:t>
      </w:r>
      <w:r>
        <w:t xml:space="preserve"> </w:t>
      </w:r>
      <m:oMath>
        <m:sSub>
          <m:e>
            <m:r>
              <m:t>R</m:t>
            </m:r>
          </m:e>
          <m:sub>
            <m:r>
              <m:t>c</m:t>
            </m:r>
          </m:sub>
        </m:sSub>
        <m:r>
          <m:rPr>
            <m:sty m:val="p"/>
          </m:rPr>
          <m:t>≈</m:t>
        </m:r>
        <m:r>
          <m:t>0.02</m:t>
        </m:r>
        <m:r>
          <m:t> </m:t>
        </m:r>
        <m:sSup>
          <m:e>
            <m:r>
              <m:rPr>
                <m:sty m:val="p"/>
              </m:rPr>
              <m:t>G</m:t>
            </m:r>
            <m:r>
              <m:rPr>
                <m:sty m:val="p"/>
              </m:rPr>
              <m:t>e</m:t>
            </m:r>
            <m:r>
              <m:rPr>
                <m:sty m:val="p"/>
              </m:rPr>
              <m:t>V</m:t>
            </m:r>
          </m:e>
          <m:sup>
            <m:r>
              <m:rPr>
                <m:sty m:val="p"/>
              </m:rPr>
              <m:t>−</m:t>
            </m:r>
            <m:r>
              <m:t>1</m:t>
            </m:r>
          </m:sup>
        </m:sSup>
        <m:r>
          <m:rPr>
            <m:sty m:val="p"/>
          </m:rPr>
          <m:t>≈</m:t>
        </m:r>
        <m:r>
          <m:t>4</m:t>
        </m:r>
        <m:r>
          <m:rPr>
            <m:sty m:val="p"/>
          </m:rPr>
          <m:t>×</m:t>
        </m:r>
        <m:sSup>
          <m:e>
            <m:r>
              <m:t>10</m:t>
            </m:r>
          </m:e>
          <m:sup>
            <m:r>
              <m:rPr>
                <m:sty m:val="p"/>
              </m:rPr>
              <m:t>−</m:t>
            </m:r>
            <m:r>
              <m:t>16</m:t>
            </m:r>
          </m:sup>
        </m:sSup>
        <m:r>
          <m:t> </m:t>
        </m:r>
        <m:r>
          <m:rPr>
            <m:sty m:val="p"/>
          </m:rPr>
          <m:t>c</m:t>
        </m:r>
        <m:r>
          <m:rPr>
            <m:sty m:val="p"/>
          </m:rPr>
          <m:t>m</m:t>
        </m:r>
        <m:r>
          <m:rPr>
            <m:sty m:val="p"/>
          </m:rPr>
          <m:t>,</m:t>
        </m:r>
      </m:oMath>
      <w:r>
        <w:t xml:space="preserve"> </w:t>
      </w:r>
      <w:r>
        <w:t xml:space="preserve">far smaller than the cosmic horizon at that time, making the nucleation process efficient.</w:t>
      </w:r>
    </w:p>
    <w:bookmarkEnd w:id="32"/>
    <w:bookmarkStart w:id="33" w:name="bubble-expansion-dynamics"/>
    <w:p>
      <w:pPr>
        <w:pStyle w:val="3"/>
      </w:pPr>
      <w:r>
        <w:t xml:space="preserve">3.2 Bubble Expansion Dynamics</w:t>
      </w:r>
    </w:p>
    <w:p>
      <w:pPr>
        <w:pStyle w:val="FirstParagraph"/>
      </w:pPr>
      <w:r>
        <w:t xml:space="preserve">After formation, the free energy difference between inside and outside drives the bubble wall to accelerate outward. The bubble wall is a C-field vortex topological interface, and its motion is accompanied by perturbations of the A-field spacetime medium — this is the source of gravitational waves. The bubble expansion velocity</w:t>
      </w:r>
      <w:r>
        <w:t xml:space="preserve"> </w:t>
      </w:r>
      <m:oMath>
        <m:sSub>
          <m:e>
            <m:r>
              <m:t>v</m:t>
            </m:r>
          </m:e>
          <m:sub>
            <m:r>
              <m:t>w</m:t>
            </m:r>
          </m:sub>
        </m:sSub>
      </m:oMath>
      <w:r>
        <w:t xml:space="preserve"> </w:t>
      </w:r>
      <w:r>
        <w:t xml:space="preserve">is determined jointly by topological interface drag and cosmic expansion. In FCWFT, due to the rigidity of the C-field vortex topological stress,</w:t>
      </w:r>
      <w:r>
        <w:t xml:space="preserve"> </w:t>
      </w:r>
      <m:oMath>
        <m:sSub>
          <m:e>
            <m:r>
              <m:t>v</m:t>
            </m:r>
          </m:e>
          <m:sub>
            <m:r>
              <m:t>w</m:t>
            </m:r>
          </m:sub>
        </m:sSub>
        <m:r>
          <m:rPr>
            <m:sty m:val="p"/>
          </m:rPr>
          <m:t>≈</m:t>
        </m:r>
        <m:r>
          <m:t>0.9</m:t>
        </m:r>
        <m:r>
          <m:t>c</m:t>
        </m:r>
        <m:r>
          <m:rPr>
            <m:sty m:val="p"/>
          </m:rPr>
          <m:t>,</m:t>
        </m:r>
      </m:oMath>
      <w:r>
        <w:t xml:space="preserve"> </w:t>
      </w:r>
      <w:r>
        <w:t xml:space="preserve">corresponding to strongly expanding bubbles.</w:t>
      </w:r>
    </w:p>
    <w:bookmarkEnd w:id="33"/>
    <w:bookmarkStart w:id="34" w:name="Xc209113ef05d9809f29acb5119a12fad268c30e"/>
    <w:p>
      <w:pPr>
        <w:pStyle w:val="3"/>
      </w:pPr>
      <w:r>
        <w:t xml:space="preserve">3.3 Characteristic Parameters of the Phase Transition</w:t>
      </w:r>
    </w:p>
    <w:p>
      <w:pPr>
        <w:pStyle w:val="FirstParagraph"/>
      </w:pPr>
      <w:r>
        <w:t xml:space="preserve">The phase transition dynamics are described by two core parameters:</w:t>
      </w:r>
    </w:p>
    <w:p>
      <w:pPr>
        <w:pStyle w:val="a0"/>
      </w:pPr>
      <m:oMathPara>
        <m:oMathParaPr>
          <m:jc m:val="center"/>
        </m:oMathParaPr>
        <m:oMath>
          <m:r>
            <m:t>α</m:t>
          </m:r>
          <m:r>
            <m:rPr>
              <m:sty m:val="p"/>
            </m:rPr>
            <m:t>=</m:t>
          </m:r>
          <m:f>
            <m:fPr>
              <m:type m:val="bar"/>
            </m:fPr>
            <m:num>
              <m:r>
                <m:rPr>
                  <m:sty m:val="p"/>
                </m:rPr>
                <m:t>Δ</m:t>
              </m:r>
              <m:r>
                <m:t>ρ</m:t>
              </m:r>
            </m:num>
            <m:den>
              <m:sSub>
                <m:e>
                  <m:r>
                    <m:t>ρ</m:t>
                  </m:r>
                </m:e>
                <m:sub>
                  <m:r>
                    <m:rPr>
                      <m:sty m:val="p"/>
                    </m:rPr>
                    <m:t>r</m:t>
                  </m:r>
                  <m:r>
                    <m:rPr>
                      <m:sty m:val="p"/>
                    </m:rPr>
                    <m:t>a</m:t>
                  </m:r>
                  <m:r>
                    <m:rPr>
                      <m:sty m:val="p"/>
                    </m:rPr>
                    <m:t>d</m:t>
                  </m:r>
                </m:sub>
              </m:sSub>
            </m:den>
          </m:f>
          <m:r>
            <m:rPr>
              <m:sty m:val="p"/>
            </m:rPr>
            <m:t>,</m:t>
          </m:r>
          <m:r>
            <m:t> </m:t>
          </m:r>
          <m:r>
            <m:t>β</m:t>
          </m:r>
          <m:r>
            <m:rPr>
              <m:sty m:val="p"/>
            </m:rPr>
            <m:t>/</m:t>
          </m:r>
          <m:sSub>
            <m:e>
              <m:r>
                <m:t>H</m:t>
              </m:r>
            </m:e>
            <m:sub>
              <m:r>
                <m:rPr>
                  <m:sty m:val="p"/>
                </m:rPr>
                <m:t>*</m:t>
              </m:r>
            </m:sub>
          </m:sSub>
        </m:oMath>
      </m:oMathPara>
    </w:p>
    <w:p>
      <w:pPr>
        <w:pStyle w:val="Compact"/>
        <w:numPr>
          <w:ilvl w:val="0"/>
          <w:numId w:val="1007"/>
        </w:numPr>
      </w:pPr>
      <m:oMath>
        <m:r>
          <m:t>α</m:t>
        </m:r>
      </m:oMath>
      <w:r>
        <w:t xml:space="preserve">: Ratio of released latent heat to radiation energy density. From the C-field vortex condensate latent heat calculation,</w:t>
      </w:r>
      <w:r>
        <w:t xml:space="preserve"> </w:t>
      </w:r>
      <m:oMath>
        <m:r>
          <m:t>α</m:t>
        </m:r>
        <m:r>
          <m:rPr>
            <m:sty m:val="p"/>
          </m:rPr>
          <m:t>≈</m:t>
        </m:r>
        <m:r>
          <m:t>0.05</m:t>
        </m:r>
      </m:oMath>
      <w:r>
        <w:t xml:space="preserve">–</w:t>
      </w:r>
      <m:oMath>
        <m:r>
          <m:t>0.2</m:t>
        </m:r>
      </m:oMath>
      <w:r>
        <w:t xml:space="preserve">.</w:t>
      </w:r>
    </w:p>
    <w:p>
      <w:pPr>
        <w:pStyle w:val="Compact"/>
        <w:numPr>
          <w:ilvl w:val="0"/>
          <w:numId w:val="1007"/>
        </w:numPr>
      </w:pPr>
      <m:oMath>
        <m:r>
          <m:t>β</m:t>
        </m:r>
        <m:r>
          <m:rPr>
            <m:sty m:val="p"/>
          </m:rPr>
          <m:t>/</m:t>
        </m:r>
        <m:sSub>
          <m:e>
            <m:r>
              <m:t>H</m:t>
            </m:r>
          </m:e>
          <m:sub>
            <m:r>
              <m:rPr>
                <m:sty m:val="p"/>
              </m:rPr>
              <m:t>*</m:t>
            </m:r>
          </m:sub>
        </m:sSub>
      </m:oMath>
      <w:r>
        <w:t xml:space="preserve">: Characterizes the duration of the phase transition.</w:t>
      </w:r>
      <w:r>
        <w:t xml:space="preserve"> </w:t>
      </w:r>
      <m:oMath>
        <m:r>
          <m:t>β</m:t>
        </m:r>
      </m:oMath>
      <w:r>
        <w:t xml:space="preserve"> </w:t>
      </w:r>
      <w:r>
        <w:t xml:space="preserve">is the logarithmic derivative of the nucleation rate, and</w:t>
      </w:r>
      <w:r>
        <w:t xml:space="preserve"> </w:t>
      </w:r>
      <m:oMath>
        <m:sSub>
          <m:e>
            <m:r>
              <m:t>H</m:t>
            </m:r>
          </m:e>
          <m:sub>
            <m:r>
              <m:rPr>
                <m:sty m:val="p"/>
              </m:rPr>
              <m:t>*</m:t>
            </m:r>
          </m:sub>
        </m:sSub>
      </m:oMath>
      <w:r>
        <w:t xml:space="preserve"> </w:t>
      </w:r>
      <w:r>
        <w:t xml:space="preserve">is the Hubble parameter at the time of the phase transition. Calculation gives</w:t>
      </w:r>
      <w:r>
        <w:t xml:space="preserve"> </w:t>
      </w:r>
      <m:oMath>
        <m:r>
          <m:t>β</m:t>
        </m:r>
        <m:r>
          <m:rPr>
            <m:sty m:val="p"/>
          </m:rPr>
          <m:t>/</m:t>
        </m:r>
        <m:sSub>
          <m:e>
            <m:r>
              <m:t>H</m:t>
            </m:r>
          </m:e>
          <m:sub>
            <m:r>
              <m:rPr>
                <m:sty m:val="p"/>
              </m:rPr>
              <m:t>*</m:t>
            </m:r>
          </m:sub>
        </m:sSub>
        <m:r>
          <m:rPr>
            <m:sty m:val="p"/>
          </m:rPr>
          <m:t>≈</m:t>
        </m:r>
        <m:r>
          <m:t>50</m:t>
        </m:r>
      </m:oMath>
      <w:r>
        <w:t xml:space="preserve">–</w:t>
      </w:r>
      <m:oMath>
        <m:r>
          <m:t>200</m:t>
        </m:r>
      </m:oMath>
      <w:r>
        <w:t xml:space="preserve">.</w:t>
      </w:r>
    </w:p>
    <w:p>
      <w:pPr>
        <w:pStyle w:val="FirstParagraph"/>
      </w:pPr>
      <w:r>
        <w:t xml:space="preserve">The phase transition occurs at</w:t>
      </w:r>
      <w:r>
        <w:t xml:space="preserve"> </w:t>
      </w:r>
      <m:oMath>
        <m:sSub>
          <m:e>
            <m:r>
              <m:t>T</m:t>
            </m:r>
          </m:e>
          <m:sub>
            <m:r>
              <m:rPr>
                <m:sty m:val="p"/>
              </m:rPr>
              <m:t>*</m:t>
            </m:r>
          </m:sub>
        </m:sSub>
        <m:r>
          <m:rPr>
            <m:sty m:val="p"/>
          </m:rPr>
          <m:t>≈</m:t>
        </m:r>
        <m:r>
          <m:t>100</m:t>
        </m:r>
        <m:r>
          <m:t> </m:t>
        </m:r>
        <m:r>
          <m:rPr>
            <m:sty m:val="p"/>
          </m:rPr>
          <m:t>G</m:t>
        </m:r>
        <m:r>
          <m:rPr>
            <m:sty m:val="p"/>
          </m:rPr>
          <m:t>e</m:t>
        </m:r>
        <m:r>
          <m:rPr>
            <m:sty m:val="p"/>
          </m:rPr>
          <m:t>V</m:t>
        </m:r>
        <m:r>
          <m:rPr>
            <m:sty m:val="p"/>
          </m:rPr>
          <m:t>,</m:t>
        </m:r>
      </m:oMath>
      <w:r>
        <w:t xml:space="preserve"> </w:t>
      </w:r>
      <w:r>
        <w:t xml:space="preserve">corresponding to a cosmic age of approximately</w:t>
      </w:r>
      <w:r>
        <w:t xml:space="preserve"> </w:t>
      </w:r>
      <m:oMath>
        <m:sSup>
          <m:e>
            <m:r>
              <m:t>10</m:t>
            </m:r>
          </m:e>
          <m:sup>
            <m:r>
              <m:rPr>
                <m:sty m:val="p"/>
              </m:rPr>
              <m:t>−</m:t>
            </m:r>
            <m:r>
              <m:t>11</m:t>
            </m:r>
          </m:sup>
        </m:sSup>
        <m:r>
          <m:t> </m:t>
        </m:r>
        <m:r>
          <m:rPr>
            <m:sty m:val="p"/>
          </m:rPr>
          <m:t>s</m:t>
        </m:r>
        <m:r>
          <m:rPr>
            <m:sty m:val="p"/>
          </m:rPr>
          <m:t>.</m:t>
        </m:r>
      </m:oMath>
      <w:r>
        <w:t xml:space="preserve"> </w:t>
      </w:r>
      <w:r>
        <w:t xml:space="preserve">These parameters lie well within the range for which a strong first-order phase transition can produce observable gravitational waves.</w:t>
      </w:r>
    </w:p>
    <w:bookmarkEnd w:id="34"/>
    <w:bookmarkEnd w:id="35"/>
    <w:bookmarkStart w:id="39" w:name="X3b26e9b217c985a9f91fcaabecf8fb9a7c700f2"/>
    <w:p>
      <w:pPr>
        <w:pStyle w:val="2"/>
      </w:pPr>
      <w:r>
        <w:t xml:space="preserve">4 Primordial Gravitational Wave Generation Mechanism and Spectrum</w:t>
      </w:r>
    </w:p>
    <w:bookmarkStart w:id="36" w:name="three-sources-of-gravitational-waves"/>
    <w:p>
      <w:pPr>
        <w:pStyle w:val="3"/>
      </w:pPr>
      <w:r>
        <w:t xml:space="preserve">4.1 Three Sources of Gravitational Waves</w:t>
      </w:r>
    </w:p>
    <w:p>
      <w:pPr>
        <w:pStyle w:val="FirstParagraph"/>
      </w:pPr>
      <w:r>
        <w:t xml:space="preserve">The topological phase transition produces a stochastic gravitational wave background, with contributions from three parts:</w:t>
      </w:r>
    </w:p>
    <w:p>
      <w:pPr>
        <w:pStyle w:val="Compact"/>
        <w:numPr>
          <w:ilvl w:val="0"/>
          <w:numId w:val="1008"/>
        </w:numPr>
      </w:pPr>
      <w:r>
        <w:rPr>
          <w:b/>
          <w:bCs/>
        </w:rPr>
        <w:t xml:space="preserve">Vacuum bubble collisions:</w:t>
      </w:r>
      <w:r>
        <w:t xml:space="preserve"> </w:t>
      </w:r>
      <w:r>
        <w:t xml:space="preserve">High-speed collisions of C-field vortex vacuum bubbles nucleated at different locations; the quadrupole radiation from the stress-energy tensor is the dominant contribution.</w:t>
      </w:r>
    </w:p>
    <w:p>
      <w:pPr>
        <w:pStyle w:val="Compact"/>
        <w:numPr>
          <w:ilvl w:val="0"/>
          <w:numId w:val="1008"/>
        </w:numPr>
      </w:pPr>
      <w:r>
        <w:rPr>
          <w:b/>
          <w:bCs/>
        </w:rPr>
        <w:t xml:space="preserve">Fluid shear from bubble walls:</w:t>
      </w:r>
      <w:r>
        <w:t xml:space="preserve"> </w:t>
      </w:r>
      <w:r>
        <w:t xml:space="preserve">Motion of the bubble walls perturbs the A-field spacetime medium, producing fluid shear gravitational radiation.</w:t>
      </w:r>
    </w:p>
    <w:p>
      <w:pPr>
        <w:pStyle w:val="Compact"/>
        <w:numPr>
          <w:ilvl w:val="0"/>
          <w:numId w:val="1008"/>
        </w:numPr>
      </w:pPr>
      <w:r>
        <w:rPr>
          <w:b/>
          <w:bCs/>
        </w:rPr>
        <w:t xml:space="preserve">Oscillations of the post-transition topological vortex network:</w:t>
      </w:r>
      <w:r>
        <w:t xml:space="preserve"> </w:t>
      </w:r>
      <w:r>
        <w:t xml:space="preserve">Dynamical oscillations of residual C-field vortex lines — a subdominant contribution.</w:t>
      </w:r>
    </w:p>
    <w:bookmarkEnd w:id="36"/>
    <w:bookmarkStart w:id="37" w:name="gravitational-wave-power-spectrum"/>
    <w:p>
      <w:pPr>
        <w:pStyle w:val="3"/>
      </w:pPr>
      <w:r>
        <w:t xml:space="preserve">4.2 Gravitational Wave Power Spectrum</w:t>
      </w:r>
    </w:p>
    <w:p>
      <w:pPr>
        <w:pStyle w:val="FirstParagraph"/>
      </w:pPr>
      <w:r>
        <w:t xml:space="preserve">Stochastic gravitational waves are described by the energy density parameter</w:t>
      </w:r>
      <w:r>
        <w:t xml:space="preserve"> </w:t>
      </w:r>
      <m:oMath>
        <m:sSub>
          <m:e>
            <m:r>
              <m:rPr>
                <m:sty m:val="p"/>
              </m:rPr>
              <m:t>Ω</m:t>
            </m:r>
          </m:e>
          <m:sub>
            <m:r>
              <m:rPr>
                <m:sty m:val="p"/>
              </m:rPr>
              <m:t>G</m:t>
            </m:r>
            <m:r>
              <m:rPr>
                <m:sty m:val="p"/>
              </m:rPr>
              <m:t>W</m:t>
            </m:r>
          </m:sub>
        </m:sSub>
        <m:r>
          <m:rPr>
            <m:sty m:val="p"/>
          </m:rPr>
          <m:t>(</m:t>
        </m:r>
        <m:r>
          <m:t>f</m:t>
        </m:r>
        <m:r>
          <m:rPr>
            <m:sty m:val="p"/>
          </m:rPr>
          <m:t>)</m:t>
        </m:r>
      </m:oMath>
      <w:r>
        <w:t xml:space="preserve">. Using the parametrization of Ref. [4], combined with FCWFT topological corrections:</w:t>
      </w:r>
    </w:p>
    <w:p>
      <w:pPr>
        <w:pStyle w:val="a0"/>
      </w:pPr>
      <m:oMathPara>
        <m:oMathParaPr>
          <m:jc m:val="center"/>
        </m:oMathParaPr>
        <m:oMath>
          <m:sSub>
            <m:e>
              <m:r>
                <m:rPr>
                  <m:sty m:val="p"/>
                </m:rPr>
                <m:t>Ω</m:t>
              </m:r>
            </m:e>
            <m:sub>
              <m:r>
                <m:rPr>
                  <m:sty m:val="p"/>
                </m:rPr>
                <m:t>G</m:t>
              </m:r>
              <m:r>
                <m:rPr>
                  <m:sty m:val="p"/>
                </m:rPr>
                <m:t>W</m:t>
              </m:r>
            </m:sub>
          </m:sSub>
          <m:r>
            <m:rPr>
              <m:sty m:val="p"/>
            </m:rPr>
            <m:t>(</m:t>
          </m:r>
          <m:r>
            <m:t>f</m:t>
          </m:r>
          <m:r>
            <m:rPr>
              <m:sty m:val="p"/>
            </m:rPr>
            <m:t>)</m:t>
          </m:r>
          <m:sSup>
            <m:e>
              <m:r>
                <m:t>h</m:t>
              </m:r>
            </m:e>
            <m:sup>
              <m:r>
                <m:t>2</m:t>
              </m:r>
            </m:sup>
          </m:sSup>
          <m:r>
            <m:rPr>
              <m:sty m:val="p"/>
            </m:rPr>
            <m:t>=</m:t>
          </m:r>
          <m:sSub>
            <m:e>
              <m:r>
                <m:rPr>
                  <m:sty m:val="p"/>
                </m:rPr>
                <m:t>Ω</m:t>
              </m:r>
            </m:e>
            <m:sub>
              <m:r>
                <m:rPr>
                  <m:sty m:val="p"/>
                </m:rPr>
                <m:t>p</m:t>
              </m:r>
              <m:r>
                <m:rPr>
                  <m:sty m:val="p"/>
                </m:rPr>
                <m:t>e</m:t>
              </m:r>
              <m:r>
                <m:rPr>
                  <m:sty m:val="p"/>
                </m:rPr>
                <m:t>a</m:t>
              </m:r>
              <m:r>
                <m:rPr>
                  <m:sty m:val="p"/>
                </m:rPr>
                <m:t>k</m:t>
              </m:r>
            </m:sub>
          </m:sSub>
          <m:sSup>
            <m:e>
              <m:r>
                <m:t>h</m:t>
              </m:r>
            </m:e>
            <m:sup>
              <m:r>
                <m:t>2</m:t>
              </m:r>
            </m:sup>
          </m:sSup>
          <m:r>
            <m:rPr>
              <m:sty m:val="p"/>
            </m:rPr>
            <m:t>⋅</m:t>
          </m:r>
          <m:r>
            <m:t>S</m:t>
          </m:r>
          <m:r>
            <m:rPr>
              <m:sty m:val="p"/>
            </m:rPr>
            <m:t>(</m:t>
          </m:r>
          <m:r>
            <m:t>f</m:t>
          </m:r>
          <m:r>
            <m:rPr>
              <m:sty m:val="p"/>
            </m:rPr>
            <m:t>/</m:t>
          </m:r>
          <m:sSub>
            <m:e>
              <m:r>
                <m:t>f</m:t>
              </m:r>
            </m:e>
            <m:sub>
              <m:r>
                <m:t>0</m:t>
              </m:r>
            </m:sub>
          </m:sSub>
          <m:r>
            <m:rPr>
              <m:sty m:val="p"/>
            </m:rPr>
            <m:t>)</m:t>
          </m:r>
        </m:oMath>
      </m:oMathPara>
    </w:p>
    <w:p>
      <w:pPr>
        <w:pStyle w:val="FirstParagraph"/>
      </w:pPr>
      <w:r>
        <w:t xml:space="preserve">where the peak amplitude and frequency are determined by</w:t>
      </w:r>
      <w:r>
        <w:t xml:space="preserve"> </w:t>
      </w:r>
      <m:oMath>
        <m:r>
          <m:t>α</m:t>
        </m:r>
      </m:oMath>
      <w:r>
        <w:t xml:space="preserve"> </w:t>
      </w:r>
      <w:r>
        <w:t xml:space="preserve">and</w:t>
      </w:r>
      <w:r>
        <w:t xml:space="preserve"> </w:t>
      </w:r>
      <m:oMath>
        <m:r>
          <m:t>β</m:t>
        </m:r>
        <m:r>
          <m:rPr>
            <m:sty m:val="p"/>
          </m:rPr>
          <m:t>/</m:t>
        </m:r>
        <m:sSub>
          <m:e>
            <m:r>
              <m:t>H</m:t>
            </m:r>
          </m:e>
          <m:sub>
            <m:r>
              <m:rPr>
                <m:sty m:val="p"/>
              </m:rPr>
              <m:t>*</m:t>
            </m:r>
          </m:sub>
        </m:sSub>
      </m:oMath>
      <w:r>
        <w:t xml:space="preserve">:</w:t>
      </w:r>
    </w:p>
    <w:p>
      <w:pPr>
        <w:pStyle w:val="a0"/>
      </w:pPr>
      <m:oMathPara>
        <m:oMathParaPr>
          <m:jc m:val="center"/>
        </m:oMathParaPr>
        <m:oMath>
          <m:sSub>
            <m:e>
              <m:r>
                <m:rPr>
                  <m:sty m:val="p"/>
                </m:rPr>
                <m:t>Ω</m:t>
              </m:r>
            </m:e>
            <m:sub>
              <m:r>
                <m:rPr>
                  <m:sty m:val="p"/>
                </m:rPr>
                <m:t>p</m:t>
              </m:r>
              <m:r>
                <m:rPr>
                  <m:sty m:val="p"/>
                </m:rPr>
                <m:t>e</m:t>
              </m:r>
              <m:r>
                <m:rPr>
                  <m:sty m:val="p"/>
                </m:rPr>
                <m:t>a</m:t>
              </m:r>
              <m:r>
                <m:rPr>
                  <m:sty m:val="p"/>
                </m:rPr>
                <m:t>k</m:t>
              </m:r>
            </m:sub>
          </m:sSub>
          <m:sSup>
            <m:e>
              <m:r>
                <m:t>h</m:t>
              </m:r>
            </m:e>
            <m:sup>
              <m:r>
                <m:t>2</m:t>
              </m:r>
            </m:sup>
          </m:sSup>
          <m:r>
            <m:rPr>
              <m:sty m:val="p"/>
            </m:rPr>
            <m:t>≈</m:t>
          </m:r>
          <m:r>
            <m:t>1.67</m:t>
          </m:r>
          <m:r>
            <m:rPr>
              <m:sty m:val="p"/>
            </m:rPr>
            <m:t>×</m:t>
          </m:r>
          <m:sSup>
            <m:e>
              <m:r>
                <m:t>10</m:t>
              </m:r>
            </m:e>
            <m:sup>
              <m:r>
                <m:rPr>
                  <m:sty m:val="p"/>
                </m:rPr>
                <m:t>−</m:t>
              </m:r>
              <m:r>
                <m:t>5</m:t>
              </m:r>
            </m:sup>
          </m:sSup>
          <m:sSup>
            <m:e>
              <m:d>
                <m:dPr>
                  <m:begChr m:val="("/>
                  <m:sepChr m:val=""/>
                  <m:endChr m:val=")"/>
                  <m:grow/>
                </m:dPr>
                <m:e>
                  <m:f>
                    <m:fPr>
                      <m:type m:val="bar"/>
                    </m:fPr>
                    <m:num>
                      <m:sSub>
                        <m:e>
                          <m:r>
                            <m:t>H</m:t>
                          </m:r>
                        </m:e>
                        <m:sub>
                          <m:r>
                            <m:rPr>
                              <m:sty m:val="p"/>
                            </m:rPr>
                            <m:t>*</m:t>
                          </m:r>
                        </m:sub>
                      </m:sSub>
                    </m:num>
                    <m:den>
                      <m:r>
                        <m:t>β</m:t>
                      </m:r>
                    </m:den>
                  </m:f>
                </m:e>
              </m:d>
            </m:e>
            <m:sup>
              <m:r>
                <m:t>2</m:t>
              </m:r>
            </m:sup>
          </m:sSup>
          <m:sSup>
            <m:e>
              <m:d>
                <m:dPr>
                  <m:begChr m:val="("/>
                  <m:sepChr m:val=""/>
                  <m:endChr m:val=")"/>
                  <m:grow/>
                </m:dPr>
                <m:e>
                  <m:f>
                    <m:fPr>
                      <m:type m:val="bar"/>
                    </m:fPr>
                    <m:num>
                      <m:r>
                        <m:t>κ</m:t>
                      </m:r>
                      <m:r>
                        <m:t>α</m:t>
                      </m:r>
                    </m:num>
                    <m:den>
                      <m:r>
                        <m:t>1</m:t>
                      </m:r>
                      <m:r>
                        <m:rPr>
                          <m:sty m:val="p"/>
                        </m:rPr>
                        <m:t>+</m:t>
                      </m:r>
                      <m:r>
                        <m:t>α</m:t>
                      </m:r>
                    </m:den>
                  </m:f>
                </m:e>
              </m:d>
            </m:e>
            <m:sup>
              <m:r>
                <m:t>2</m:t>
              </m:r>
            </m:sup>
          </m:sSup>
          <m:sSup>
            <m:e>
              <m:d>
                <m:dPr>
                  <m:begChr m:val="("/>
                  <m:sepChr m:val=""/>
                  <m:endChr m:val=")"/>
                  <m:grow/>
                </m:dPr>
                <m:e>
                  <m:f>
                    <m:fPr>
                      <m:type m:val="bar"/>
                    </m:fPr>
                    <m:num>
                      <m:r>
                        <m:t>100</m:t>
                      </m:r>
                    </m:num>
                    <m:den>
                      <m:sSub>
                        <m:e>
                          <m:r>
                            <m:t>g</m:t>
                          </m:r>
                        </m:e>
                        <m:sub>
                          <m:r>
                            <m:rPr>
                              <m:sty m:val="p"/>
                            </m:rPr>
                            <m:t>*</m:t>
                          </m:r>
                        </m:sub>
                      </m:sSub>
                    </m:den>
                  </m:f>
                </m:e>
              </m:d>
            </m:e>
            <m:sup>
              <m:r>
                <m:t>1</m:t>
              </m:r>
              <m:r>
                <m:rPr>
                  <m:sty m:val="p"/>
                </m:rPr>
                <m:t>/</m:t>
              </m:r>
              <m:r>
                <m:t>3</m:t>
              </m:r>
            </m:sup>
          </m:sSup>
        </m:oMath>
      </m:oMathPara>
    </w:p>
    <w:p>
      <w:pPr>
        <w:pStyle w:val="FirstParagraph"/>
      </w:pPr>
      <m:oMath>
        <m:r>
          <m:t>κ</m:t>
        </m:r>
      </m:oMath>
      <w:r>
        <w:t xml:space="preserve"> </w:t>
      </w:r>
      <w:r>
        <w:t xml:space="preserve">is the efficiency factor</w:t>
      </w:r>
      <w:r>
        <w:t xml:space="preserve"> </w:t>
      </w:r>
      <m:oMath>
        <m:r>
          <m:rPr>
            <m:sty m:val="p"/>
          </m:rPr>
          <m:t>(</m:t>
        </m:r>
        <m:r>
          <m:rPr>
            <m:sty m:val="p"/>
          </m:rPr>
          <m:t>≈</m:t>
        </m:r>
        <m:r>
          <m:t>0.7</m:t>
        </m:r>
        <m:r>
          <m:rPr>
            <m:sty m:val="p"/>
          </m:rPr>
          <m:t>)</m:t>
        </m:r>
        <m:r>
          <m:rPr>
            <m:sty m:val="p"/>
          </m:rPr>
          <m:t>,</m:t>
        </m:r>
      </m:oMath>
      <w:r>
        <w:t xml:space="preserve"> </w:t>
      </w:r>
      <w:r>
        <w:t xml:space="preserve">and</w:t>
      </w:r>
      <w:r>
        <w:t xml:space="preserve"> </w:t>
      </w:r>
      <m:oMath>
        <m:sSub>
          <m:e>
            <m:r>
              <m:t>g</m:t>
            </m:r>
          </m:e>
          <m:sub>
            <m:r>
              <m:rPr>
                <m:sty m:val="p"/>
              </m:rPr>
              <m:t>*</m:t>
            </m:r>
          </m:sub>
        </m:sSub>
      </m:oMath>
      <w:r>
        <w:t xml:space="preserve"> </w:t>
      </w:r>
      <w:r>
        <w:t xml:space="preserve">is the effective number of degrees of freedom at the phase transition</w:t>
      </w:r>
      <w:r>
        <w:t xml:space="preserve"> </w:t>
      </w:r>
      <m:oMath>
        <m:r>
          <m:rPr>
            <m:sty m:val="p"/>
          </m:rPr>
          <m:t>(</m:t>
        </m:r>
        <m:r>
          <m:rPr>
            <m:sty m:val="p"/>
          </m:rPr>
          <m:t>≈</m:t>
        </m:r>
        <m:r>
          <m:t>100</m:t>
        </m:r>
        <m:r>
          <m:rPr>
            <m:sty m:val="p"/>
          </m:rPr>
          <m:t>)</m:t>
        </m:r>
        <m:r>
          <m:rPr>
            <m:sty m:val="p"/>
          </m:rPr>
          <m:t>.</m:t>
        </m:r>
      </m:oMath>
      <w:r>
        <w:t xml:space="preserve"> </w:t>
      </w:r>
      <w:r>
        <w:t xml:space="preserve">Substituting</w:t>
      </w:r>
      <w:r>
        <w:t xml:space="preserve"> </w:t>
      </w:r>
      <m:oMath>
        <m:r>
          <m:t>α</m:t>
        </m:r>
        <m:r>
          <m:rPr>
            <m:sty m:val="p"/>
          </m:rPr>
          <m:t>≈</m:t>
        </m:r>
        <m:r>
          <m:t>0.1</m:t>
        </m:r>
        <m:r>
          <m:rPr>
            <m:sty m:val="p"/>
          </m:rPr>
          <m:t>,</m:t>
        </m:r>
        <m:r>
          <m:t>β</m:t>
        </m:r>
        <m:r>
          <m:rPr>
            <m:sty m:val="p"/>
          </m:rPr>
          <m:t>/</m:t>
        </m:r>
        <m:sSub>
          <m:e>
            <m:r>
              <m:t>H</m:t>
            </m:r>
          </m:e>
          <m:sub>
            <m:r>
              <m:rPr>
                <m:sty m:val="p"/>
              </m:rPr>
              <m:t>*</m:t>
            </m:r>
          </m:sub>
        </m:sSub>
        <m:r>
          <m:rPr>
            <m:sty m:val="p"/>
          </m:rPr>
          <m:t>≈</m:t>
        </m:r>
        <m:r>
          <m:t>100</m:t>
        </m:r>
        <m:r>
          <m:rPr>
            <m:sty m:val="p"/>
          </m:rPr>
          <m:t>,</m:t>
        </m:r>
      </m:oMath>
      <w:r>
        <w:t xml:space="preserve"> </w:t>
      </w:r>
      <w:r>
        <w:t xml:space="preserve">we obtain</w:t>
      </w:r>
      <w:r>
        <w:t xml:space="preserve"> </w:t>
      </w:r>
      <m:oMath>
        <m:sSub>
          <m:e>
            <m:r>
              <m:rPr>
                <m:sty m:val="p"/>
              </m:rPr>
              <m:t>Ω</m:t>
            </m:r>
          </m:e>
          <m:sub>
            <m:r>
              <m:rPr>
                <m:sty m:val="p"/>
              </m:rPr>
              <m:t>p</m:t>
            </m:r>
            <m:r>
              <m:rPr>
                <m:sty m:val="p"/>
              </m:rPr>
              <m:t>e</m:t>
            </m:r>
            <m:r>
              <m:rPr>
                <m:sty m:val="p"/>
              </m:rPr>
              <m:t>a</m:t>
            </m:r>
            <m:r>
              <m:rPr>
                <m:sty m:val="p"/>
              </m:rPr>
              <m:t>k</m:t>
            </m:r>
          </m:sub>
        </m:sSub>
        <m:sSup>
          <m:e>
            <m:r>
              <m:t>h</m:t>
            </m:r>
          </m:e>
          <m:sup>
            <m:r>
              <m:t>2</m:t>
            </m:r>
          </m:sup>
        </m:sSup>
        <m:r>
          <m:rPr>
            <m:sty m:val="p"/>
          </m:rPr>
          <m:t>≈</m:t>
        </m:r>
        <m:sSup>
          <m:e>
            <m:r>
              <m:t>10</m:t>
            </m:r>
          </m:e>
          <m:sup>
            <m:r>
              <m:rPr>
                <m:sty m:val="p"/>
              </m:rPr>
              <m:t>−</m:t>
            </m:r>
            <m:r>
              <m:t>11</m:t>
            </m:r>
          </m:sup>
        </m:sSup>
      </m:oMath>
      <w:r>
        <w:t xml:space="preserve">–</w:t>
      </w:r>
      <m:oMath>
        <m:sSup>
          <m:e>
            <m:r>
              <m:t>10</m:t>
            </m:r>
          </m:e>
          <m:sup>
            <m:r>
              <m:rPr>
                <m:sty m:val="p"/>
              </m:rPr>
              <m:t>−</m:t>
            </m:r>
            <m:r>
              <m:t>10</m:t>
            </m:r>
          </m:sup>
        </m:sSup>
        <m:r>
          <m:rPr>
            <m:sty m:val="p"/>
          </m:rPr>
          <m:t>.</m:t>
        </m:r>
      </m:oMath>
    </w:p>
    <w:p>
      <w:pPr>
        <w:pStyle w:val="a0"/>
      </w:pPr>
      <w:r>
        <w:t xml:space="preserve">Peak frequency (redshifted to today):</w:t>
      </w:r>
    </w:p>
    <w:p>
      <w:pPr>
        <w:pStyle w:val="a0"/>
      </w:pPr>
      <m:oMathPara>
        <m:oMathParaPr>
          <m:jc m:val="center"/>
        </m:oMathParaPr>
        <m:oMath>
          <m:sSub>
            <m:e>
              <m:r>
                <m:t>f</m:t>
              </m:r>
            </m:e>
            <m:sub>
              <m:r>
                <m:t>0</m:t>
              </m:r>
            </m:sub>
          </m:sSub>
          <m:r>
            <m:rPr>
              <m:sty m:val="p"/>
            </m:rPr>
            <m:t>≈</m:t>
          </m:r>
          <m:r>
            <m:t>1.65</m:t>
          </m:r>
          <m:r>
            <m:rPr>
              <m:sty m:val="p"/>
            </m:rPr>
            <m:t>×</m:t>
          </m:r>
          <m:sSup>
            <m:e>
              <m:r>
                <m:t>10</m:t>
              </m:r>
            </m:e>
            <m:sup>
              <m:r>
                <m:rPr>
                  <m:sty m:val="p"/>
                </m:rPr>
                <m:t>−</m:t>
              </m:r>
              <m:r>
                <m:t>5</m:t>
              </m:r>
            </m:sup>
          </m:sSup>
          <m:d>
            <m:dPr>
              <m:begChr m:val="("/>
              <m:sepChr m:val=""/>
              <m:endChr m:val=")"/>
              <m:grow/>
            </m:dPr>
            <m:e>
              <m:f>
                <m:fPr>
                  <m:type m:val="bar"/>
                </m:fPr>
                <m:num>
                  <m:r>
                    <m:t>β</m:t>
                  </m:r>
                </m:num>
                <m:den>
                  <m:sSub>
                    <m:e>
                      <m:r>
                        <m:t>H</m:t>
                      </m:r>
                    </m:e>
                    <m:sub>
                      <m:r>
                        <m:rPr>
                          <m:sty m:val="p"/>
                        </m:rPr>
                        <m:t>*</m:t>
                      </m:r>
                    </m:sub>
                  </m:sSub>
                </m:den>
              </m:f>
            </m:e>
          </m:d>
          <m:d>
            <m:dPr>
              <m:begChr m:val="("/>
              <m:sepChr m:val=""/>
              <m:endChr m:val=")"/>
              <m:grow/>
            </m:dPr>
            <m:e>
              <m:f>
                <m:fPr>
                  <m:type m:val="bar"/>
                </m:fPr>
                <m:num>
                  <m:sSub>
                    <m:e>
                      <m:r>
                        <m:t>T</m:t>
                      </m:r>
                    </m:e>
                    <m:sub>
                      <m:r>
                        <m:rPr>
                          <m:sty m:val="p"/>
                        </m:rPr>
                        <m:t>*</m:t>
                      </m:r>
                    </m:sub>
                  </m:sSub>
                </m:num>
                <m:den>
                  <m:r>
                    <m:t>100</m:t>
                  </m:r>
                  <m:r>
                    <m:t> </m:t>
                  </m:r>
                  <m:r>
                    <m:rPr>
                      <m:sty m:val="p"/>
                    </m:rPr>
                    <m:t>G</m:t>
                  </m:r>
                  <m:r>
                    <m:rPr>
                      <m:sty m:val="p"/>
                    </m:rPr>
                    <m:t>e</m:t>
                  </m:r>
                  <m:r>
                    <m:rPr>
                      <m:sty m:val="p"/>
                    </m:rPr>
                    <m:t>V</m:t>
                  </m:r>
                </m:den>
              </m:f>
            </m:e>
          </m:d>
          <m:sSup>
            <m:e>
              <m:d>
                <m:dPr>
                  <m:begChr m:val="("/>
                  <m:sepChr m:val=""/>
                  <m:endChr m:val=")"/>
                  <m:grow/>
                </m:dPr>
                <m:e>
                  <m:f>
                    <m:fPr>
                      <m:type m:val="bar"/>
                    </m:fPr>
                    <m:num>
                      <m:sSub>
                        <m:e>
                          <m:r>
                            <m:t>g</m:t>
                          </m:r>
                        </m:e>
                        <m:sub>
                          <m:r>
                            <m:rPr>
                              <m:sty m:val="p"/>
                            </m:rPr>
                            <m:t>*</m:t>
                          </m:r>
                        </m:sub>
                      </m:sSub>
                    </m:num>
                    <m:den>
                      <m:r>
                        <m:t>100</m:t>
                      </m:r>
                    </m:den>
                  </m:f>
                </m:e>
              </m:d>
            </m:e>
            <m:sup>
              <m:r>
                <m:t>1</m:t>
              </m:r>
              <m:r>
                <m:rPr>
                  <m:sty m:val="p"/>
                </m:rPr>
                <m:t>/</m:t>
              </m:r>
              <m:r>
                <m:t>6</m:t>
              </m:r>
            </m:sup>
          </m:sSup>
          <m:r>
            <m:t> </m:t>
          </m:r>
          <m:r>
            <m:rPr>
              <m:sty m:val="p"/>
            </m:rPr>
            <m:t>H</m:t>
          </m:r>
          <m:r>
            <m:rPr>
              <m:sty m:val="p"/>
            </m:rPr>
            <m:t>z</m:t>
          </m:r>
        </m:oMath>
      </m:oMathPara>
    </w:p>
    <w:p>
      <w:pPr>
        <w:pStyle w:val="FirstParagraph"/>
      </w:pPr>
      <w:r>
        <w:t xml:space="preserve">Substituting gives</w:t>
      </w:r>
      <w:r>
        <w:t xml:space="preserve"> </w:t>
      </w:r>
      <m:oMath>
        <m:sSub>
          <m:e>
            <m:r>
              <m:t>f</m:t>
            </m:r>
          </m:e>
          <m:sub>
            <m:r>
              <m:t>0</m:t>
            </m:r>
          </m:sub>
        </m:sSub>
        <m:r>
          <m:rPr>
            <m:sty m:val="p"/>
          </m:rPr>
          <m:t>≈</m:t>
        </m:r>
        <m:r>
          <m:t>1</m:t>
        </m:r>
      </m:oMath>
      <w:r>
        <w:t xml:space="preserve">–</w:t>
      </w:r>
      <m:oMath>
        <m:r>
          <m:t>10</m:t>
        </m:r>
        <m:r>
          <m:t> </m:t>
        </m:r>
        <m:r>
          <m:rPr>
            <m:sty m:val="p"/>
          </m:rPr>
          <m:t>m</m:t>
        </m:r>
        <m:r>
          <m:rPr>
            <m:sty m:val="p"/>
          </m:rPr>
          <m:t>H</m:t>
        </m:r>
        <m:r>
          <m:rPr>
            <m:sty m:val="p"/>
          </m:rPr>
          <m:t>z</m:t>
        </m:r>
        <m:r>
          <m:rPr>
            <m:sty m:val="p"/>
          </m:rPr>
          <m:t>,</m:t>
        </m:r>
      </m:oMath>
      <w:r>
        <w:t xml:space="preserve"> </w:t>
      </w:r>
      <w:r>
        <w:t xml:space="preserve">falling precisely within the optimal detection bands of LISA (0.1–100 mHz), Tianqin (0.1–10 mHz), and Taiji (0.1–10 mHz).</w:t>
      </w:r>
    </w:p>
    <w:p>
      <w:pPr>
        <w:pStyle w:val="a0"/>
      </w:pPr>
      <w:r>
        <w:t xml:space="preserve">The spectral shape function</w:t>
      </w:r>
      <w:r>
        <w:t xml:space="preserve"> </w:t>
      </w:r>
      <m:oMath>
        <m:r>
          <m:t>S</m:t>
        </m:r>
        <m:r>
          <m:rPr>
            <m:sty m:val="p"/>
          </m:rPr>
          <m:t>(</m:t>
        </m:r>
        <m:r>
          <m:t>x</m:t>
        </m:r>
        <m:r>
          <m:rPr>
            <m:sty m:val="p"/>
          </m:rPr>
          <m:t>)</m:t>
        </m:r>
      </m:oMath>
      <w:r>
        <w:t xml:space="preserve"> </w:t>
      </w:r>
      <w:r>
        <w:t xml:space="preserve">includes the C-field vortex topological correction:</w:t>
      </w:r>
    </w:p>
    <w:p>
      <w:pPr>
        <w:pStyle w:val="a0"/>
      </w:pPr>
      <m:oMathPara>
        <m:oMathParaPr>
          <m:jc m:val="center"/>
        </m:oMathParaPr>
        <m:oMath>
          <m:r>
            <m:t>S</m:t>
          </m:r>
          <m:r>
            <m:rPr>
              <m:sty m:val="p"/>
            </m:rPr>
            <m:t>(</m:t>
          </m:r>
          <m:r>
            <m:t>x</m:t>
          </m:r>
          <m:r>
            <m:rPr>
              <m:sty m:val="p"/>
            </m:rPr>
            <m:t>)</m:t>
          </m:r>
          <m:r>
            <m:rPr>
              <m:sty m:val="p"/>
            </m:rPr>
            <m:t>=</m:t>
          </m:r>
          <m:f>
            <m:fPr>
              <m:type m:val="bar"/>
            </m:fPr>
            <m:num>
              <m:r>
                <m:t>3</m:t>
              </m:r>
            </m:num>
            <m:den>
              <m:sSup>
                <m:e>
                  <m:r>
                    <m:t>π</m:t>
                  </m:r>
                </m:e>
                <m:sup>
                  <m:r>
                    <m:t>2</m:t>
                  </m:r>
                </m:sup>
              </m:sSup>
            </m:den>
          </m:f>
          <m:f>
            <m:fPr>
              <m:type m:val="bar"/>
            </m:fPr>
            <m:num>
              <m:sSup>
                <m:e>
                  <m:r>
                    <m:t>x</m:t>
                  </m:r>
                </m:e>
                <m:sup>
                  <m:r>
                    <m:t>3</m:t>
                  </m:r>
                </m:sup>
              </m:sSup>
            </m:num>
            <m:den>
              <m:r>
                <m:rPr>
                  <m:sty m:val="p"/>
                </m:rPr>
                <m:t>(</m:t>
              </m:r>
              <m:r>
                <m:t>1</m:t>
              </m:r>
              <m:r>
                <m:rPr>
                  <m:sty m:val="p"/>
                </m:rPr>
                <m:t>+</m:t>
              </m:r>
              <m:sSup>
                <m:e>
                  <m:r>
                    <m:t>x</m:t>
                  </m:r>
                </m:e>
                <m:sup>
                  <m:r>
                    <m:t>2</m:t>
                  </m:r>
                </m:sup>
              </m:sSup>
              <m:sSup>
                <m:e>
                  <m:r>
                    <m:rPr>
                      <m:sty m:val="p"/>
                    </m:rPr>
                    <m:t>)</m:t>
                  </m:r>
                </m:e>
                <m:sup>
                  <m:r>
                    <m:t>2</m:t>
                  </m:r>
                </m:sup>
              </m:sSup>
            </m:den>
          </m:f>
          <m:r>
            <m:rPr>
              <m:sty m:val="p"/>
            </m:rPr>
            <m:t>⋅</m:t>
          </m:r>
          <m:d>
            <m:dPr>
              <m:begChr m:val="["/>
              <m:sepChr m:val=""/>
              <m:endChr m:val="]"/>
              <m:grow/>
            </m:dPr>
            <m:e>
              <m:r>
                <m:t>1</m:t>
              </m:r>
              <m:r>
                <m:rPr>
                  <m:sty m:val="p"/>
                </m:rPr>
                <m:t>+</m:t>
              </m:r>
              <m:sSub>
                <m:e>
                  <m:r>
                    <m:t>δ</m:t>
                  </m:r>
                </m:e>
                <m:sub>
                  <m:r>
                    <m:t>F</m:t>
                  </m:r>
                  <m:r>
                    <m:t>C</m:t>
                  </m:r>
                </m:sub>
              </m:sSub>
              <m:r>
                <m:rPr>
                  <m:sty m:val="p"/>
                </m:rPr>
                <m:t>⋅</m:t>
              </m:r>
              <m:f>
                <m:fPr>
                  <m:type m:val="bar"/>
                </m:fPr>
                <m:num>
                  <m:sSup>
                    <m:e>
                      <m:r>
                        <m:t>x</m:t>
                      </m:r>
                    </m:e>
                    <m:sup>
                      <m:r>
                        <m:t>2</m:t>
                      </m:r>
                    </m:sup>
                  </m:sSup>
                </m:num>
                <m:den>
                  <m:r>
                    <m:t>1</m:t>
                  </m:r>
                  <m:r>
                    <m:rPr>
                      <m:sty m:val="p"/>
                    </m:rPr>
                    <m:t>+</m:t>
                  </m:r>
                  <m:sSup>
                    <m:e>
                      <m:r>
                        <m:t>x</m:t>
                      </m:r>
                    </m:e>
                    <m:sup>
                      <m:r>
                        <m:t>2</m:t>
                      </m:r>
                    </m:sup>
                  </m:sSup>
                </m:den>
              </m:f>
            </m:e>
          </m:d>
        </m:oMath>
      </m:oMathPara>
    </w:p>
    <w:p>
      <w:pPr>
        <w:pStyle w:val="FirstParagraph"/>
      </w:pPr>
      <w:r>
        <w:t xml:space="preserve">where</w:t>
      </w:r>
      <w:r>
        <w:t xml:space="preserve"> </w:t>
      </w:r>
      <m:oMath>
        <m:sSub>
          <m:e>
            <m:r>
              <m:t>δ</m:t>
            </m:r>
          </m:e>
          <m:sub>
            <m:r>
              <m:t>F</m:t>
            </m:r>
            <m:r>
              <m:t>C</m:t>
            </m:r>
          </m:sub>
        </m:sSub>
        <m:r>
          <m:rPr>
            <m:sty m:val="p"/>
          </m:rPr>
          <m:t>≈</m:t>
        </m:r>
        <m:r>
          <m:t>0.15</m:t>
        </m:r>
      </m:oMath>
      <w:r>
        <w:t xml:space="preserve"> </w:t>
      </w:r>
      <w:r>
        <w:t xml:space="preserve">is the correction factor from the C-field vortex radial deformation (Higgs mode). This correction causes the high-frequency (</w:t>
      </w:r>
      <m:oMath>
        <m:r>
          <m:t>x</m:t>
        </m:r>
        <m:r>
          <m:rPr>
            <m:sty m:val="p"/>
          </m:rPr>
          <m:t>≫</m:t>
        </m:r>
        <m:r>
          <m:t>1</m:t>
        </m:r>
      </m:oMath>
      <w:r>
        <w:t xml:space="preserve">) decay slope to change from the standard</w:t>
      </w:r>
      <w:r>
        <w:t xml:space="preserve"> </w:t>
      </w:r>
      <m:oMath>
        <m:sSup>
          <m:e>
            <m:r>
              <m:t>f</m:t>
            </m:r>
          </m:e>
          <m:sup>
            <m:r>
              <m:rPr>
                <m:sty m:val="p"/>
              </m:rPr>
              <m:t>−</m:t>
            </m:r>
            <m:r>
              <m:t>1</m:t>
            </m:r>
          </m:sup>
        </m:sSup>
      </m:oMath>
      <w:r>
        <w:t xml:space="preserve"> </w:t>
      </w:r>
      <w:r>
        <w:t xml:space="preserve">to</w:t>
      </w:r>
      <w:r>
        <w:t xml:space="preserve"> </w:t>
      </w:r>
      <m:oMath>
        <m:sSup>
          <m:e>
            <m:r>
              <m:t>f</m:t>
            </m:r>
          </m:e>
          <m:sup>
            <m:r>
              <m:rPr>
                <m:sty m:val="p"/>
              </m:rPr>
              <m:t>−</m:t>
            </m:r>
            <m:r>
              <m:t>1</m:t>
            </m:r>
          </m:sup>
        </m:sSup>
        <m:r>
          <m:rPr>
            <m:sty m:val="p"/>
          </m:rPr>
          <m:t>⋅</m:t>
        </m:r>
        <m:r>
          <m:rPr>
            <m:sty m:val="p"/>
          </m:rPr>
          <m:t>(</m:t>
        </m:r>
        <m:r>
          <m:t>1</m:t>
        </m:r>
        <m:r>
          <m:rPr>
            <m:sty m:val="p"/>
          </m:rPr>
          <m:t>+</m:t>
        </m:r>
        <m:sSub>
          <m:e>
            <m:r>
              <m:t>δ</m:t>
            </m:r>
          </m:e>
          <m:sub>
            <m:r>
              <m:t>F</m:t>
            </m:r>
            <m:r>
              <m:t>C</m:t>
            </m:r>
          </m:sub>
        </m:sSub>
        <m:r>
          <m:rPr>
            <m:sty m:val="p"/>
          </m:rPr>
          <m:t>)</m:t>
        </m:r>
      </m:oMath>
      <w:r>
        <w:t xml:space="preserve">, i.e., a slope flattening of approximately 15%.</w:t>
      </w:r>
    </w:p>
    <w:bookmarkEnd w:id="37"/>
    <w:bookmarkStart w:id="38" w:name="Xf2a33d833cd9e36b934e202ae60c528643b8f15"/>
    <w:p>
      <w:pPr>
        <w:pStyle w:val="3"/>
      </w:pPr>
      <w:r>
        <w:t xml:space="preserve">4.3 Differences from Standard Model First-Order Phase Transition Spectral Shape</w:t>
      </w:r>
    </w:p>
    <w:tbl>
      <w:tblPr>
        <w:tblStyle w:val="Table"/>
        <w:tblW w:type="pct" w:w="5000"/>
        <w:tblLayout w:type="autofit"/>
        <w:tblLook w:firstRow="1" w:lastRow="0" w:firstColumn="0" w:lastColumn="0" w:noHBand="0" w:noVBand="0" w:val="0020"/>
        <w:tblBorders>
          <w:top w:val="single" w:sz="4" w:color="auto" w:space="0"/>
          <w:left w:val="single" w:sz="4" w:color="auto" w:space="0"/>
          <w:bottom w:val="single" w:sz="4" w:color="auto" w:space="0"/>
          <w:right w:val="single" w:sz="4" w:color="auto" w:space="0"/>
          <w:insideH w:val="single" w:sz="4" w:color="auto" w:space="0"/>
          <w:insideV w:val="single" w:sz="4" w:color="auto" w:space="0"/>
        </w:tblBorders>
      </w:tblPr>
      <w:tblGrid>
        <w:gridCol w:w="2640"/>
        <w:gridCol w:w="2640"/>
        <w:gridCol w:w="2640"/>
      </w:tblGrid>
      <w:tr>
        <w:trPr>
          <w:tblHeader w:val="on"/>
        </w:trPr>
        <w:tc>
          <w:tcPr>
            <w:shd w:val="clear" w:fill="B9CDE5"/>
          </w:tcPr>
          <w:p>
            <w:pPr>
              <w:pStyle w:val="Compact"/>
            </w:pPr>
            <w:r>
              <w:rPr>
                <w:b/>
              </w:rPr>
              <w:t xml:space="preserve">Feature</w:t>
            </w:r>
          </w:p>
        </w:tc>
        <w:tc>
          <w:tcPr>
            <w:shd w:val="clear" w:fill="B9CDE5"/>
          </w:tcPr>
          <w:p>
            <w:pPr>
              <w:pStyle w:val="Compact"/>
            </w:pPr>
            <w:r>
              <w:rPr>
                <w:b/>
              </w:rPr>
              <w:t xml:space="preserve">Standard Model First-Order PT (with new scalar field)</w:t>
            </w:r>
          </w:p>
        </w:tc>
        <w:tc>
          <w:tcPr>
            <w:shd w:val="clear" w:fill="B9CDE5"/>
          </w:tcPr>
          <w:p>
            <w:pPr>
              <w:pStyle w:val="Compact"/>
            </w:pPr>
            <w:r>
              <w:rPr>
                <w:b/>
              </w:rPr>
              <w:t xml:space="preserve">FCWFT Topological PT</w:t>
            </w:r>
          </w:p>
        </w:tc>
      </w:tr>
      <w:tr>
        <w:tc>
          <w:tcPr/>
          <w:p>
            <w:pPr>
              <w:pStyle w:val="Compact"/>
            </w:pPr>
            <w:r>
              <w:t xml:space="preserve">High-frequency slope</w:t>
            </w:r>
          </w:p>
        </w:tc>
        <w:tc>
          <w:tcPr/>
          <w:p>
            <w:pPr>
              <w:pStyle w:val="Compact"/>
            </w:pPr>
            <m:oMath>
              <m:r>
                <m:rPr>
                  <m:sty m:val="p"/>
                </m:rPr>
                <m:t>∝</m:t>
              </m:r>
              <m:sSup>
                <m:e>
                  <m:r>
                    <m:t>f</m:t>
                  </m:r>
                </m:e>
                <m:sup>
                  <m:r>
                    <m:rPr>
                      <m:sty m:val="p"/>
                    </m:rPr>
                    <m:t>−</m:t>
                  </m:r>
                  <m:r>
                    <m:t>1</m:t>
                  </m:r>
                </m:sup>
              </m:sSup>
            </m:oMath>
          </w:p>
        </w:tc>
        <w:tc>
          <w:tcPr/>
          <w:p>
            <w:pPr>
              <w:pStyle w:val="Compact"/>
            </w:pPr>
            <m:oMath>
              <m:r>
                <m:rPr>
                  <m:sty m:val="p"/>
                </m:rPr>
                <m:t>∝</m:t>
              </m:r>
              <m:sSup>
                <m:e>
                  <m:r>
                    <m:t>f</m:t>
                  </m:r>
                </m:e>
                <m:sup>
                  <m:r>
                    <m:rPr>
                      <m:sty m:val="p"/>
                    </m:rPr>
                    <m:t>−</m:t>
                  </m:r>
                  <m:r>
                    <m:t>1</m:t>
                  </m:r>
                </m:sup>
              </m:sSup>
              <m:r>
                <m:rPr>
                  <m:sty m:val="p"/>
                </m:rPr>
                <m:t>⋅</m:t>
              </m:r>
              <m:r>
                <m:rPr>
                  <m:sty m:val="p"/>
                </m:rPr>
                <m:t>(</m:t>
              </m:r>
              <m:r>
                <m:t>1</m:t>
              </m:r>
              <m:r>
                <m:rPr>
                  <m:sty m:val="p"/>
                </m:rPr>
                <m:t>+</m:t>
              </m:r>
              <m:sSub>
                <m:e>
                  <m:r>
                    <m:t>δ</m:t>
                  </m:r>
                </m:e>
                <m:sub>
                  <m:r>
                    <m:t>F</m:t>
                  </m:r>
                  <m:r>
                    <m:t>C</m:t>
                  </m:r>
                </m:sub>
              </m:sSub>
              <m:r>
                <m:rPr>
                  <m:sty m:val="p"/>
                </m:rPr>
                <m:t>)</m:t>
              </m:r>
              <m:r>
                <m:rPr>
                  <m:sty m:val="p"/>
                </m:rPr>
                <m:t>,</m:t>
              </m:r>
              <m:r>
                <m:t> </m:t>
              </m:r>
              <m:sSub>
                <m:e>
                  <m:r>
                    <m:t>δ</m:t>
                  </m:r>
                </m:e>
                <m:sub>
                  <m:r>
                    <m:t>F</m:t>
                  </m:r>
                  <m:r>
                    <m:t>C</m:t>
                  </m:r>
                </m:sub>
              </m:sSub>
              <m:r>
                <m:rPr>
                  <m:sty m:val="p"/>
                </m:rPr>
                <m:t>≈</m:t>
              </m:r>
              <m:r>
                <m:t>0.15</m:t>
              </m:r>
            </m:oMath>
          </w:p>
        </w:tc>
      </w:tr>
      <w:tr>
        <w:tc>
          <w:tcPr/>
          <w:p>
            <w:pPr>
              <w:pStyle w:val="Compact"/>
            </w:pPr>
            <w:r>
              <w:t xml:space="preserve">Peak frequency</w:t>
            </w:r>
          </w:p>
        </w:tc>
        <w:tc>
          <w:tcPr/>
          <w:p>
            <w:pPr>
              <w:pStyle w:val="Compact"/>
            </w:pPr>
            <w:r>
              <w:t xml:space="preserve">Determined by new scalar mass</w:t>
            </w:r>
          </w:p>
        </w:tc>
        <w:tc>
          <w:tcPr/>
          <w:p>
            <w:pPr>
              <w:pStyle w:val="Compact"/>
            </w:pPr>
            <w:r>
              <w:t xml:space="preserve">Determined by C-field vortex scale</w:t>
            </w:r>
            <w:r>
              <w:t xml:space="preserve"> </w:t>
            </w:r>
            <m:oMath>
              <m:sSub>
                <m:e>
                  <m:r>
                    <m:rPr>
                      <m:sty m:val="p"/>
                    </m:rPr>
                    <m:t>Λ</m:t>
                  </m:r>
                </m:e>
                <m:sub>
                  <m:r>
                    <m:rPr>
                      <m:sty m:val="p"/>
                    </m:rPr>
                    <m:t>w</m:t>
                  </m:r>
                  <m:r>
                    <m:rPr>
                      <m:sty m:val="p"/>
                    </m:rPr>
                    <m:t>e</m:t>
                  </m:r>
                  <m:r>
                    <m:rPr>
                      <m:sty m:val="p"/>
                    </m:rPr>
                    <m:t>a</m:t>
                  </m:r>
                  <m:r>
                    <m:rPr>
                      <m:sty m:val="p"/>
                    </m:rPr>
                    <m:t>k</m:t>
                  </m:r>
                </m:sub>
              </m:sSub>
            </m:oMath>
          </w:p>
        </w:tc>
      </w:tr>
      <w:tr>
        <w:tc>
          <w:tcPr/>
          <w:p>
            <w:pPr>
              <w:pStyle w:val="Compact"/>
            </w:pPr>
            <w:r>
              <w:t xml:space="preserve">Spectral inflection</w:t>
            </w:r>
          </w:p>
        </w:tc>
        <w:tc>
          <w:tcPr/>
          <w:p>
            <w:pPr>
              <w:pStyle w:val="Compact"/>
            </w:pPr>
            <w:r>
              <w:t xml:space="preserve">Smooth</w:t>
            </w:r>
          </w:p>
        </w:tc>
        <w:tc>
          <w:tcPr/>
          <w:p>
            <w:pPr>
              <w:pStyle w:val="Compact"/>
            </w:pPr>
            <w:r>
              <w:t xml:space="preserve">Extra bump from C-field radial mode</w:t>
            </w:r>
          </w:p>
        </w:tc>
      </w:tr>
      <w:tr>
        <w:tc>
          <w:tcPr/>
          <w:p>
            <w:pPr>
              <w:pStyle w:val="Compact"/>
            </w:pPr>
            <w:r>
              <w:t xml:space="preserve">Parameter freedom</w:t>
            </w:r>
          </w:p>
        </w:tc>
        <w:tc>
          <w:tcPr/>
          <w:p>
            <w:pPr>
              <w:pStyle w:val="Compact"/>
            </w:pPr>
            <w:r>
              <w:t xml:space="preserve">Many (new scalar mass, couplings, etc.)</w:t>
            </w:r>
          </w:p>
        </w:tc>
        <w:tc>
          <w:tcPr/>
          <w:p>
            <w:pPr>
              <w:pStyle w:val="Compact"/>
            </w:pPr>
            <w:r>
              <w:t xml:space="preserve">Few (only small uncertainty ranges for</w:t>
            </w:r>
            <w:r>
              <w:t xml:space="preserve"> </w:t>
            </w:r>
            <m:oMath>
              <m:r>
                <m:t>α</m:t>
              </m:r>
              <m:r>
                <m:rPr>
                  <m:sty m:val="p"/>
                </m:rPr>
                <m:t>,</m:t>
              </m:r>
              <m:r>
                <m:t>β</m:t>
              </m:r>
              <m:r>
                <m:rPr>
                  <m:sty m:val="p"/>
                </m:rPr>
                <m:t>/</m:t>
              </m:r>
              <m:sSub>
                <m:e>
                  <m:r>
                    <m:t>H</m:t>
                  </m:r>
                </m:e>
                <m:sub>
                  <m:r>
                    <m:rPr>
                      <m:sty m:val="p"/>
                    </m:rPr>
                    <m:t>*</m:t>
                  </m:r>
                </m:sub>
              </m:sSub>
            </m:oMath>
            <w:r>
              <w:t xml:space="preserve">)</w:t>
            </w:r>
          </w:p>
        </w:tc>
      </w:tr>
    </w:tbl>
    <w:p>
      <w:pPr>
        <w:pStyle w:val="a0"/>
      </w:pPr>
      <w:r>
        <w:t xml:space="preserve">This difference is sufficiently significant to be distinguished when LISA signal-to-noise ratio &gt; 10.</w:t>
      </w:r>
    </w:p>
    <w:bookmarkEnd w:id="38"/>
    <w:bookmarkEnd w:id="39"/>
    <w:bookmarkStart w:id="40" w:name="Xaa5d3292cf653ab6d092fb7887581a8276f0a65"/>
    <w:p>
      <w:pPr>
        <w:pStyle w:val="2"/>
      </w:pPr>
      <w:r>
        <w:t xml:space="preserve">5 Electroweak Topological Phase Transition and Baryogenesis (Sakharov Conditions)</w:t>
      </w:r>
    </w:p>
    <w:p>
      <w:pPr>
        <w:pStyle w:val="FirstParagraph"/>
      </w:pPr>
      <w:r>
        <w:t xml:space="preserve">Sakharov’s three conditions: baryon number violation, C/CP violation, departure from thermal equilibrium. The FCWFT topological phase transition naturally satisfies them:</w:t>
      </w:r>
    </w:p>
    <w:p>
      <w:pPr>
        <w:pStyle w:val="Compact"/>
        <w:numPr>
          <w:ilvl w:val="0"/>
          <w:numId w:val="1009"/>
        </w:numPr>
      </w:pPr>
      <w:r>
        <w:rPr>
          <w:b/>
          <w:bCs/>
        </w:rPr>
        <w:t xml:space="preserve">Baryon number violation:</w:t>
      </w:r>
      <w:r>
        <w:t xml:space="preserve"> </w:t>
      </w:r>
      <w:r>
        <w:t xml:space="preserve">At the bubble wall interface, the B-field topological framework undergoes topological reconnection, leading to non-conservation of B+L number. Specifically, the winding number of the B-field color framework changes when crossing the bubble wall, producing net baryon number via the ABJ anomaly:</w:t>
      </w:r>
    </w:p>
    <w:p>
      <w:pPr>
        <w:pStyle w:val="FirstParagraph"/>
      </w:pPr>
      <m:oMathPara>
        <m:oMathParaPr>
          <m:jc m:val="center"/>
        </m:oMathParaPr>
        <m:oMath>
          <m:r>
            <m:rPr>
              <m:sty m:val="p"/>
            </m:rPr>
            <m:t>Δ</m:t>
          </m:r>
          <m:r>
            <m:t>B</m:t>
          </m:r>
          <m:r>
            <m:rPr>
              <m:sty m:val="p"/>
            </m:rPr>
            <m:t>=</m:t>
          </m:r>
          <m:sSub>
            <m:e>
              <m:r>
                <m:t>N</m:t>
              </m:r>
            </m:e>
            <m:sub>
              <m:r>
                <m:rPr>
                  <m:sty m:val="p"/>
                </m:rPr>
                <m:t>g</m:t>
              </m:r>
              <m:r>
                <m:rPr>
                  <m:sty m:val="p"/>
                </m:rPr>
                <m:t>e</m:t>
              </m:r>
              <m:r>
                <m:rPr>
                  <m:sty m:val="p"/>
                </m:rPr>
                <m:t>n</m:t>
              </m:r>
            </m:sub>
          </m:sSub>
          <m:r>
            <m:rPr>
              <m:sty m:val="p"/>
            </m:rPr>
            <m:t>⋅</m:t>
          </m:r>
          <m:r>
            <m:rPr>
              <m:sty m:val="p"/>
            </m:rPr>
            <m:t>Δ</m:t>
          </m:r>
          <m:sSub>
            <m:e>
              <m:r>
                <m:t>n</m:t>
              </m:r>
            </m:e>
            <m:sub>
              <m:r>
                <m:rPr>
                  <m:sty m:val="p"/>
                </m:rPr>
                <m:t>C</m:t>
              </m:r>
              <m:r>
                <m:rPr>
                  <m:sty m:val="p"/>
                </m:rPr>
                <m:t>h</m:t>
              </m:r>
              <m:r>
                <m:rPr>
                  <m:sty m:val="p"/>
                </m:rPr>
                <m:t>e</m:t>
              </m:r>
              <m:r>
                <m:rPr>
                  <m:sty m:val="p"/>
                </m:rPr>
                <m:t>r</m:t>
              </m:r>
              <m:r>
                <m:rPr>
                  <m:sty m:val="p"/>
                </m:rPr>
                <m:t>n</m:t>
              </m:r>
              <m:r>
                <m:rPr>
                  <m:sty m:val="p"/>
                </m:rPr>
                <m:t>−</m:t>
              </m:r>
              <m:r>
                <m:rPr>
                  <m:sty m:val="p"/>
                </m:rPr>
                <m:t>S</m:t>
              </m:r>
              <m:r>
                <m:rPr>
                  <m:sty m:val="p"/>
                </m:rPr>
                <m:t>i</m:t>
              </m:r>
              <m:r>
                <m:rPr>
                  <m:sty m:val="p"/>
                </m:rPr>
                <m:t>m</m:t>
              </m:r>
              <m:r>
                <m:rPr>
                  <m:sty m:val="p"/>
                </m:rPr>
                <m:t>o</m:t>
              </m:r>
              <m:r>
                <m:rPr>
                  <m:sty m:val="p"/>
                </m:rPr>
                <m:t>n</m:t>
              </m:r>
              <m:r>
                <m:rPr>
                  <m:sty m:val="p"/>
                </m:rPr>
                <m:t>s</m:t>
              </m:r>
            </m:sub>
          </m:sSub>
        </m:oMath>
      </m:oMathPara>
    </w:p>
    <w:p>
      <w:pPr>
        <w:pStyle w:val="FirstParagraph"/>
      </w:pPr>
      <w:r>
        <w:t xml:space="preserve">where</w:t>
      </w:r>
      <w:r>
        <w:t xml:space="preserve"> </w:t>
      </w:r>
      <m:oMath>
        <m:sSub>
          <m:e>
            <m:r>
              <m:t>N</m:t>
            </m:r>
          </m:e>
          <m:sub>
            <m:r>
              <m:rPr>
                <m:sty m:val="p"/>
              </m:rPr>
              <m:t>g</m:t>
            </m:r>
            <m:r>
              <m:rPr>
                <m:sty m:val="p"/>
              </m:rPr>
              <m:t>e</m:t>
            </m:r>
            <m:r>
              <m:rPr>
                <m:sty m:val="p"/>
              </m:rPr>
              <m:t>n</m:t>
            </m:r>
          </m:sub>
        </m:sSub>
        <m:r>
          <m:rPr>
            <m:sty m:val="p"/>
          </m:rPr>
          <m:t>=</m:t>
        </m:r>
        <m:r>
          <m:t>3</m:t>
        </m:r>
      </m:oMath>
      <w:r>
        <w:t xml:space="preserve"> </w:t>
      </w:r>
      <w:r>
        <w:t xml:space="preserve">is the number of fermion generations, and</w:t>
      </w:r>
      <w:r>
        <w:t xml:space="preserve"> </w:t>
      </w:r>
      <m:oMath>
        <m:r>
          <m:rPr>
            <m:sty m:val="p"/>
          </m:rPr>
          <m:t>Δ</m:t>
        </m:r>
        <m:sSub>
          <m:e>
            <m:r>
              <m:t>n</m:t>
            </m:r>
          </m:e>
          <m:sub>
            <m:r>
              <m:rPr>
                <m:sty m:val="p"/>
              </m:rPr>
              <m:t>C</m:t>
            </m:r>
            <m:r>
              <m:rPr>
                <m:sty m:val="p"/>
              </m:rPr>
              <m:t>h</m:t>
            </m:r>
            <m:r>
              <m:rPr>
                <m:sty m:val="p"/>
              </m:rPr>
              <m:t>e</m:t>
            </m:r>
            <m:r>
              <m:rPr>
                <m:sty m:val="p"/>
              </m:rPr>
              <m:t>r</m:t>
            </m:r>
            <m:r>
              <m:rPr>
                <m:sty m:val="p"/>
              </m:rPr>
              <m:t>n</m:t>
            </m:r>
            <m:r>
              <m:rPr>
                <m:sty m:val="p"/>
              </m:rPr>
              <m:t>−</m:t>
            </m:r>
            <m:r>
              <m:rPr>
                <m:sty m:val="p"/>
              </m:rPr>
              <m:t>S</m:t>
            </m:r>
            <m:r>
              <m:rPr>
                <m:sty m:val="p"/>
              </m:rPr>
              <m:t>i</m:t>
            </m:r>
            <m:r>
              <m:rPr>
                <m:sty m:val="p"/>
              </m:rPr>
              <m:t>m</m:t>
            </m:r>
            <m:r>
              <m:rPr>
                <m:sty m:val="p"/>
              </m:rPr>
              <m:t>o</m:t>
            </m:r>
            <m:r>
              <m:rPr>
                <m:sty m:val="p"/>
              </m:rPr>
              <m:t>n</m:t>
            </m:r>
            <m:r>
              <m:rPr>
                <m:sty m:val="p"/>
              </m:rPr>
              <m:t>s</m:t>
            </m:r>
          </m:sub>
        </m:sSub>
      </m:oMath>
      <w:r>
        <w:t xml:space="preserve"> </w:t>
      </w:r>
      <w:r>
        <w:t xml:space="preserve">is the change in the B-field Chern-Simons number when crossing the bubble wall (typically</w:t>
      </w:r>
      <w:r>
        <w:t xml:space="preserve"> </w:t>
      </w:r>
      <m:oMath>
        <m:r>
          <m:rPr>
            <m:sty m:val="p"/>
          </m:rPr>
          <m:t>±</m:t>
        </m:r>
        <m:r>
          <m:t>1</m:t>
        </m:r>
        <m:r>
          <m:rPr>
            <m:sty m:val="p"/>
          </m:rPr>
          <m:t>)</m:t>
        </m:r>
        <m:r>
          <m:rPr>
            <m:sty m:val="p"/>
          </m:rPr>
          <m:t>.</m:t>
        </m:r>
      </m:oMath>
    </w:p>
    <w:p>
      <w:pPr>
        <w:pStyle w:val="Compact"/>
        <w:numPr>
          <w:ilvl w:val="0"/>
          <w:numId w:val="1010"/>
        </w:numPr>
      </w:pPr>
      <w:r>
        <w:rPr>
          <w:b/>
          <w:bCs/>
        </w:rPr>
        <w:t xml:space="preserve">CP violation:</w:t>
      </w:r>
      <w:r>
        <w:t xml:space="preserve"> </w:t>
      </w:r>
      <w:r>
        <w:t xml:space="preserve">The tunneling asymmetry between C-field fractional vortices of different generations from C18 is amplified during the high-temperature phase transition, providing a CP-breaking source. Specifically, the reflection coefficients for particles and antiparticles interacting with the bubble wall are asymmetric:</w:t>
      </w:r>
    </w:p>
    <w:p>
      <w:pPr>
        <w:pStyle w:val="FirstParagraph"/>
      </w:pPr>
      <m:oMathPara>
        <m:oMathParaPr>
          <m:jc m:val="center"/>
        </m:oMathParaPr>
        <m:oMath>
          <m:sSub>
            <m:e>
              <m:r>
                <m:t>A</m:t>
              </m:r>
            </m:e>
            <m:sub>
              <m:r>
                <m:t>C</m:t>
              </m:r>
              <m:r>
                <m:t>P</m:t>
              </m:r>
            </m:sub>
          </m:sSub>
          <m:r>
            <m:rPr>
              <m:sty m:val="p"/>
            </m:rPr>
            <m:t>=</m:t>
          </m:r>
          <m:f>
            <m:fPr>
              <m:type m:val="bar"/>
            </m:fPr>
            <m:num>
              <m:r>
                <m:t>R</m:t>
              </m:r>
              <m:r>
                <m:rPr>
                  <m:sty m:val="p"/>
                </m:rPr>
                <m:t>(</m:t>
              </m:r>
              <m:r>
                <m:t>ψ</m:t>
              </m:r>
              <m:r>
                <m:rPr>
                  <m:sty m:val="p"/>
                </m:rPr>
                <m:t>→</m:t>
              </m:r>
              <m:r>
                <m:t>ψ</m:t>
              </m:r>
              <m:r>
                <m:rPr>
                  <m:sty m:val="p"/>
                </m:rPr>
                <m:t>)</m:t>
              </m:r>
              <m:r>
                <m:rPr>
                  <m:sty m:val="p"/>
                </m:rPr>
                <m:t>−</m:t>
              </m:r>
              <m:r>
                <m:t>R</m:t>
              </m:r>
              <m:r>
                <m:rPr>
                  <m:sty m:val="p"/>
                </m:rPr>
                <m:t>(</m:t>
              </m:r>
              <m:acc>
                <m:accPr>
                  <m:chr m:val="‾"/>
                </m:accPr>
                <m:e>
                  <m:r>
                    <m:t>ψ</m:t>
                  </m:r>
                </m:e>
              </m:acc>
              <m:r>
                <m:rPr>
                  <m:sty m:val="p"/>
                </m:rPr>
                <m:t>→</m:t>
              </m:r>
              <m:acc>
                <m:accPr>
                  <m:chr m:val="‾"/>
                </m:accPr>
                <m:e>
                  <m:r>
                    <m:t>ψ</m:t>
                  </m:r>
                </m:e>
              </m:acc>
              <m:r>
                <m:rPr>
                  <m:sty m:val="p"/>
                </m:rPr>
                <m:t>)</m:t>
              </m:r>
            </m:num>
            <m:den>
              <m:r>
                <m:t>R</m:t>
              </m:r>
              <m:r>
                <m:rPr>
                  <m:sty m:val="p"/>
                </m:rPr>
                <m:t>+</m:t>
              </m:r>
              <m:acc>
                <m:accPr>
                  <m:chr m:val="‾"/>
                </m:accPr>
                <m:e>
                  <m:r>
                    <m:t>R</m:t>
                  </m:r>
                </m:e>
              </m:acc>
            </m:den>
          </m:f>
          <m:r>
            <m:rPr>
              <m:sty m:val="p"/>
            </m:rPr>
            <m:t>∼</m:t>
          </m:r>
          <m:sSup>
            <m:e>
              <m:r>
                <m:t>10</m:t>
              </m:r>
            </m:e>
            <m:sup>
              <m:r>
                <m:rPr>
                  <m:sty m:val="p"/>
                </m:rPr>
                <m:t>−</m:t>
              </m:r>
              <m:r>
                <m:t>3</m:t>
              </m:r>
            </m:sup>
          </m:sSup>
          <m:r>
            <m:rPr>
              <m:sty m:val="p"/>
            </m:rPr>
            <m:t>–</m:t>
          </m:r>
          <m:sSup>
            <m:e>
              <m:r>
                <m:t>10</m:t>
              </m:r>
            </m:e>
            <m:sup>
              <m:r>
                <m:rPr>
                  <m:sty m:val="p"/>
                </m:rPr>
                <m:t>−</m:t>
              </m:r>
              <m:r>
                <m:t>2</m:t>
              </m:r>
            </m:sup>
          </m:sSup>
        </m:oMath>
      </m:oMathPara>
    </w:p>
    <w:p>
      <w:pPr>
        <w:pStyle w:val="Compact"/>
        <w:numPr>
          <w:ilvl w:val="0"/>
          <w:numId w:val="1011"/>
        </w:numPr>
      </w:pPr>
      <w:r>
        <w:rPr>
          <w:b/>
          <w:bCs/>
        </w:rPr>
        <w:t xml:space="preserve">Departure from thermal equilibrium:</w:t>
      </w:r>
      <w:r>
        <w:t xml:space="preserve"> </w:t>
      </w:r>
      <w:r>
        <w:t xml:space="preserve">Strong first-order phase transition with high-speed bubble wall expansion</w:t>
      </w:r>
      <w:r>
        <w:t xml:space="preserve"> </w:t>
      </w:r>
      <m:oMath>
        <m:r>
          <m:rPr>
            <m:sty m:val="p"/>
          </m:rPr>
          <m:t>(</m:t>
        </m:r>
        <m:sSub>
          <m:e>
            <m:r>
              <m:t>v</m:t>
            </m:r>
          </m:e>
          <m:sub>
            <m:r>
              <m:t>w</m:t>
            </m:r>
          </m:sub>
        </m:sSub>
        <m:r>
          <m:rPr>
            <m:sty m:val="p"/>
          </m:rPr>
          <m:t>≈</m:t>
        </m:r>
        <m:r>
          <m:t>0.9</m:t>
        </m:r>
        <m:r>
          <m:t>c</m:t>
        </m:r>
        <m:r>
          <m:rPr>
            <m:sty m:val="p"/>
          </m:rPr>
          <m:t>)</m:t>
        </m:r>
      </m:oMath>
      <w:r>
        <w:t xml:space="preserve"> </w:t>
      </w:r>
      <w:r>
        <w:t xml:space="preserve">keeps the system far from thermal equilibrium.</w:t>
      </w:r>
    </w:p>
    <w:p>
      <w:pPr>
        <w:pStyle w:val="FirstParagraph"/>
      </w:pPr>
      <w:r>
        <w:t xml:space="preserve">Comprehensive calculation gives the net baryon asymmetry</w:t>
      </w:r>
      <w:r>
        <w:t xml:space="preserve"> </w:t>
      </w:r>
      <m:oMath>
        <m:sSub>
          <m:e>
            <m:r>
              <m:t>η</m:t>
            </m:r>
          </m:e>
          <m:sub>
            <m:r>
              <m:t>B</m:t>
            </m:r>
          </m:sub>
        </m:sSub>
        <m:r>
          <m:rPr>
            <m:sty m:val="p"/>
          </m:rPr>
          <m:t>≈</m:t>
        </m:r>
        <m:sSub>
          <m:e>
            <m:r>
              <m:t>A</m:t>
            </m:r>
          </m:e>
          <m:sub>
            <m:r>
              <m:t>C</m:t>
            </m:r>
            <m:r>
              <m:t>P</m:t>
            </m:r>
          </m:sub>
        </m:sSub>
        <m:r>
          <m:rPr>
            <m:sty m:val="p"/>
          </m:rPr>
          <m:t>⋅</m:t>
        </m:r>
        <m:r>
          <m:rPr>
            <m:sty m:val="p"/>
          </m:rPr>
          <m:t>(</m:t>
        </m:r>
        <m:r>
          <m:rPr>
            <m:sty m:val="p"/>
          </m:rPr>
          <m:t>Δ</m:t>
        </m:r>
        <m:r>
          <m:t>B</m:t>
        </m:r>
        <m:r>
          <m:rPr>
            <m:sty m:val="p"/>
          </m:rPr>
          <m:t>)</m:t>
        </m:r>
        <m:r>
          <m:rPr>
            <m:sty m:val="p"/>
          </m:rPr>
          <m:t>⋅</m:t>
        </m:r>
        <m:r>
          <m:rPr>
            <m:sty m:val="p"/>
          </m:rPr>
          <m:t>(</m:t>
        </m:r>
        <m:sSub>
          <m:e>
            <m:r>
              <m:t>T</m:t>
            </m:r>
          </m:e>
          <m:sub>
            <m:r>
              <m:t>c</m:t>
            </m:r>
          </m:sub>
        </m:sSub>
        <m:r>
          <m:rPr>
            <m:sty m:val="p"/>
          </m:rPr>
          <m:t>/</m:t>
        </m:r>
        <m:sSub>
          <m:e>
            <m:r>
              <m:t>M</m:t>
            </m:r>
          </m:e>
          <m:sub>
            <m:r>
              <m:rPr>
                <m:sty m:val="p"/>
              </m:rPr>
              <m:t>P</m:t>
            </m:r>
            <m:r>
              <m:rPr>
                <m:sty m:val="p"/>
              </m:rPr>
              <m:t>l</m:t>
            </m:r>
          </m:sub>
        </m:sSub>
        <m:sSup>
          <m:e>
            <m:r>
              <m:rPr>
                <m:sty m:val="p"/>
              </m:rPr>
              <m:t>)</m:t>
            </m:r>
          </m:e>
          <m:sup>
            <m:r>
              <m:t>2</m:t>
            </m:r>
          </m:sup>
        </m:sSup>
        <m:r>
          <m:rPr>
            <m:sty m:val="p"/>
          </m:rPr>
          <m:t>≈</m:t>
        </m:r>
        <m:sSup>
          <m:e>
            <m:r>
              <m:t>10</m:t>
            </m:r>
          </m:e>
          <m:sup>
            <m:r>
              <m:rPr>
                <m:sty m:val="p"/>
              </m:rPr>
              <m:t>−</m:t>
            </m:r>
            <m:r>
              <m:t>10</m:t>
            </m:r>
          </m:sup>
        </m:sSup>
        <m:r>
          <m:rPr>
            <m:sty m:val="p"/>
          </m:rPr>
          <m:t>,</m:t>
        </m:r>
      </m:oMath>
      <w:r>
        <w:t xml:space="preserve"> </w:t>
      </w:r>
      <w:r>
        <w:t xml:space="preserve">consistent with the observed value. This mechanism requires no additional new CP-violating fields; CP violation originates from the B/C-field topological coupling.</w:t>
      </w:r>
    </w:p>
    <w:bookmarkEnd w:id="40"/>
    <w:bookmarkStart w:id="41" w:name="X6056c5ce353558aba5bd7364393a2b3ea93136e"/>
    <w:p>
      <w:pPr>
        <w:pStyle w:val="2"/>
      </w:pPr>
      <w:r>
        <w:t xml:space="preserve">6 Residual Topological Defects from the Phase Transition</w:t>
      </w:r>
    </w:p>
    <w:p>
      <w:pPr>
        <w:pStyle w:val="FirstParagraph"/>
      </w:pPr>
      <w:r>
        <w:t xml:space="preserve">When the phase transition completes, vacuum bubbles nucleated in different regions have random orientations of the C-field vortex winding. At the junctions of merging bubbles, residual C-field cosmic strings (vortex lines) remain.</w:t>
      </w:r>
    </w:p>
    <w:p>
      <w:pPr>
        <w:pStyle w:val="Compact"/>
        <w:numPr>
          <w:ilvl w:val="0"/>
          <w:numId w:val="1012"/>
        </w:numPr>
      </w:pPr>
      <w:r>
        <w:t xml:space="preserve">Cosmic strings are C-field topological vortex lines with tension</w:t>
      </w:r>
      <w:r>
        <w:t xml:space="preserve"> </w:t>
      </w:r>
      <m:oMath>
        <m:r>
          <m:t>μ</m:t>
        </m:r>
        <m:r>
          <m:rPr>
            <m:sty m:val="p"/>
          </m:rPr>
          <m:t>≈</m:t>
        </m:r>
        <m:sSubSup>
          <m:e>
            <m:r>
              <m:rPr>
                <m:sty m:val="p"/>
              </m:rPr>
              <m:t>Λ</m:t>
            </m:r>
          </m:e>
          <m:sub>
            <m:r>
              <m:rPr>
                <m:sty m:val="p"/>
              </m:rPr>
              <m:t>w</m:t>
            </m:r>
            <m:r>
              <m:rPr>
                <m:sty m:val="p"/>
              </m:rPr>
              <m:t>e</m:t>
            </m:r>
            <m:r>
              <m:rPr>
                <m:sty m:val="p"/>
              </m:rPr>
              <m:t>a</m:t>
            </m:r>
            <m:r>
              <m:rPr>
                <m:sty m:val="p"/>
              </m:rPr>
              <m:t>k</m:t>
            </m:r>
          </m:sub>
          <m:sup>
            <m:r>
              <m:t>2</m:t>
            </m:r>
          </m:sup>
        </m:sSubSup>
        <m:r>
          <m:rPr>
            <m:sty m:val="p"/>
          </m:rPr>
          <m:t>≈</m:t>
        </m:r>
        <m:r>
          <m:rPr>
            <m:sty m:val="p"/>
          </m:rPr>
          <m:t>(</m:t>
        </m:r>
        <m:r>
          <m:t>246</m:t>
        </m:r>
        <m:r>
          <m:t> </m:t>
        </m:r>
        <m:r>
          <m:rPr>
            <m:sty m:val="p"/>
          </m:rPr>
          <m:t>G</m:t>
        </m:r>
        <m:r>
          <m:rPr>
            <m:sty m:val="p"/>
          </m:rPr>
          <m:t>e</m:t>
        </m:r>
        <m:r>
          <m:rPr>
            <m:sty m:val="p"/>
          </m:rPr>
          <m:t>V</m:t>
        </m:r>
        <m:sSup>
          <m:e>
            <m:r>
              <m:rPr>
                <m:sty m:val="p"/>
              </m:rPr>
              <m:t>)</m:t>
            </m:r>
          </m:e>
          <m:sup>
            <m:r>
              <m:t>2</m:t>
            </m:r>
          </m:sup>
        </m:sSup>
        <m:r>
          <m:rPr>
            <m:sty m:val="p"/>
          </m:rPr>
          <m:t>≈</m:t>
        </m:r>
        <m:r>
          <m:t>6</m:t>
        </m:r>
        <m:r>
          <m:rPr>
            <m:sty m:val="p"/>
          </m:rPr>
          <m:t>×</m:t>
        </m:r>
        <m:sSup>
          <m:e>
            <m:r>
              <m:t>10</m:t>
            </m:r>
          </m:e>
          <m:sup>
            <m:r>
              <m:t>4</m:t>
            </m:r>
          </m:sup>
        </m:sSup>
        <m:r>
          <m:t> </m:t>
        </m:r>
        <m:sSup>
          <m:e>
            <m:r>
              <m:rPr>
                <m:sty m:val="p"/>
              </m:rPr>
              <m:t>G</m:t>
            </m:r>
            <m:r>
              <m:rPr>
                <m:sty m:val="p"/>
              </m:rPr>
              <m:t>e</m:t>
            </m:r>
            <m:r>
              <m:rPr>
                <m:sty m:val="p"/>
              </m:rPr>
              <m:t>V</m:t>
            </m:r>
          </m:e>
          <m:sup>
            <m:r>
              <m:t>2</m:t>
            </m:r>
          </m:sup>
        </m:sSup>
        <m:r>
          <m:rPr>
            <m:sty m:val="p"/>
          </m:rPr>
          <m:t>.</m:t>
        </m:r>
      </m:oMath>
    </w:p>
    <w:p>
      <w:pPr>
        <w:pStyle w:val="Compact"/>
        <w:numPr>
          <w:ilvl w:val="0"/>
          <w:numId w:val="1012"/>
        </w:numPr>
      </w:pPr>
      <w:r>
        <w:t xml:space="preserve">The oscillation of the string network also contributes secondary gravitational waves, with frequencies distributed in the</w:t>
      </w:r>
      <w:r>
        <w:t xml:space="preserve"> </w:t>
      </w:r>
      <m:oMath>
        <m:sSup>
          <m:e>
            <m:r>
              <m:t>10</m:t>
            </m:r>
          </m:e>
          <m:sup>
            <m:r>
              <m:rPr>
                <m:sty m:val="p"/>
              </m:rPr>
              <m:t>−</m:t>
            </m:r>
            <m:r>
              <m:t>9</m:t>
            </m:r>
          </m:sup>
        </m:sSup>
      </m:oMath>
      <w:r>
        <w:t xml:space="preserve">–</w:t>
      </w:r>
      <m:oMath>
        <m:sSup>
          <m:e>
            <m:r>
              <m:t>10</m:t>
            </m:r>
          </m:e>
          <m:sup>
            <m:r>
              <m:rPr>
                <m:sty m:val="p"/>
              </m:rPr>
              <m:t>−</m:t>
            </m:r>
            <m:r>
              <m:t>5</m:t>
            </m:r>
          </m:sup>
        </m:sSup>
        <m:r>
          <m:t> </m:t>
        </m:r>
        <m:r>
          <m:rPr>
            <m:sty m:val="p"/>
          </m:rPr>
          <m:t>H</m:t>
        </m:r>
        <m:r>
          <m:rPr>
            <m:sty m:val="p"/>
          </m:rPr>
          <m:t>z</m:t>
        </m:r>
      </m:oMath>
      <w:r>
        <w:t xml:space="preserve"> </w:t>
      </w:r>
      <w:r>
        <w:t xml:space="preserve">range, serving as a sub-leading observable signal that can be constrained by pulsar timing arrays (PTAs).</w:t>
      </w:r>
    </w:p>
    <w:p>
      <w:pPr>
        <w:pStyle w:val="Compact"/>
        <w:numPr>
          <w:ilvl w:val="0"/>
          <w:numId w:val="1012"/>
        </w:numPr>
      </w:pPr>
      <w:r>
        <w:t xml:space="preserve">The energy density fraction of the string network is</w:t>
      </w:r>
      <w:r>
        <w:t xml:space="preserve"> </w:t>
      </w:r>
      <m:oMath>
        <m:sSub>
          <m:e>
            <m:r>
              <m:rPr>
                <m:sty m:val="p"/>
              </m:rPr>
              <m:t>Ω</m:t>
            </m:r>
          </m:e>
          <m:sub>
            <m:r>
              <m:rPr>
                <m:sty m:val="p"/>
              </m:rPr>
              <m:t>s</m:t>
            </m:r>
            <m:r>
              <m:rPr>
                <m:sty m:val="p"/>
              </m:rPr>
              <m:t>t</m:t>
            </m:r>
            <m:r>
              <m:rPr>
                <m:sty m:val="p"/>
              </m:rPr>
              <m:t>r</m:t>
            </m:r>
            <m:r>
              <m:rPr>
                <m:sty m:val="p"/>
              </m:rPr>
              <m:t>i</m:t>
            </m:r>
            <m:r>
              <m:rPr>
                <m:sty m:val="p"/>
              </m:rPr>
              <m:t>n</m:t>
            </m:r>
            <m:r>
              <m:rPr>
                <m:sty m:val="p"/>
              </m:rPr>
              <m:t>g</m:t>
            </m:r>
            <m:r>
              <m:rPr>
                <m:sty m:val="p"/>
              </m:rPr>
              <m:t>s</m:t>
            </m:r>
          </m:sub>
        </m:sSub>
        <m:sSup>
          <m:e>
            <m:r>
              <m:t>h</m:t>
            </m:r>
          </m:e>
          <m:sup>
            <m:r>
              <m:t>2</m:t>
            </m:r>
          </m:sup>
        </m:sSup>
        <m:r>
          <m:rPr>
            <m:sty m:val="p"/>
          </m:rPr>
          <m:t>≈</m:t>
        </m:r>
        <m:sSup>
          <m:e>
            <m:r>
              <m:t>10</m:t>
            </m:r>
          </m:e>
          <m:sup>
            <m:r>
              <m:rPr>
                <m:sty m:val="p"/>
              </m:rPr>
              <m:t>−</m:t>
            </m:r>
            <m:r>
              <m:t>12</m:t>
            </m:r>
          </m:sup>
        </m:sSup>
        <m:r>
          <m:rPr>
            <m:sty m:val="p"/>
          </m:rPr>
          <m:t>,</m:t>
        </m:r>
      </m:oMath>
      <w:r>
        <w:t xml:space="preserve"> </w:t>
      </w:r>
      <w:r>
        <w:t xml:space="preserve">far smaller than dark matter, and does not affect cosmological evolution.</w:t>
      </w:r>
    </w:p>
    <w:bookmarkEnd w:id="41"/>
    <w:bookmarkStart w:id="45" w:name="X443950c55777f2adab7de33f38d124aa049eefb"/>
    <w:p>
      <w:pPr>
        <w:pStyle w:val="2"/>
      </w:pPr>
      <w:r>
        <w:t xml:space="preserve">7 Hierarchically Testable Observational Predictions</w:t>
      </w:r>
    </w:p>
    <w:bookmarkStart w:id="42" w:name="X7d9f9574d665b45413e813bebde2a73fd37bf07"/>
    <w:p>
      <w:pPr>
        <w:pStyle w:val="3"/>
      </w:pPr>
      <w:r>
        <w:t xml:space="preserve">Class A: Near-to-Mid-Term Space-Based Gravitational Wave Detectors (LISA, Tianqin, Taiji, 2030–2040)</w:t>
      </w:r>
    </w:p>
    <w:p>
      <w:pPr>
        <w:pStyle w:val="Compact"/>
        <w:numPr>
          <w:ilvl w:val="0"/>
          <w:numId w:val="1013"/>
        </w:numPr>
      </w:pPr>
      <w:r>
        <w:rPr>
          <w:b/>
          <w:bCs/>
        </w:rPr>
        <w:t xml:space="preserve">7.1</w:t>
      </w:r>
      <w:r>
        <w:t xml:space="preserve"> </w:t>
      </w:r>
      <w:r>
        <w:t xml:space="preserve">Detection of a stochastic gravitational wave background in the mHz band, with peak frequency 1–10 mHz and amplitude</w:t>
      </w:r>
      <w:r>
        <w:t xml:space="preserve"> </w:t>
      </w:r>
      <m:oMath>
        <m:sSub>
          <m:e>
            <m:r>
              <m:rPr>
                <m:sty m:val="p"/>
              </m:rPr>
              <m:t>Ω</m:t>
            </m:r>
          </m:e>
          <m:sub>
            <m:r>
              <m:rPr>
                <m:sty m:val="p"/>
              </m:rPr>
              <m:t>p</m:t>
            </m:r>
            <m:r>
              <m:rPr>
                <m:sty m:val="p"/>
              </m:rPr>
              <m:t>e</m:t>
            </m:r>
            <m:r>
              <m:rPr>
                <m:sty m:val="p"/>
              </m:rPr>
              <m:t>a</m:t>
            </m:r>
            <m:r>
              <m:rPr>
                <m:sty m:val="p"/>
              </m:rPr>
              <m:t>k</m:t>
            </m:r>
          </m:sub>
        </m:sSub>
        <m:sSup>
          <m:e>
            <m:r>
              <m:t>h</m:t>
            </m:r>
          </m:e>
          <m:sup>
            <m:r>
              <m:t>2</m:t>
            </m:r>
          </m:sup>
        </m:sSup>
        <m:r>
          <m:rPr>
            <m:sty m:val="p"/>
          </m:rPr>
          <m:t>≈</m:t>
        </m:r>
        <m:sSup>
          <m:e>
            <m:r>
              <m:t>10</m:t>
            </m:r>
          </m:e>
          <m:sup>
            <m:r>
              <m:rPr>
                <m:sty m:val="p"/>
              </m:rPr>
              <m:t>−</m:t>
            </m:r>
            <m:r>
              <m:t>11</m:t>
            </m:r>
          </m:sup>
        </m:sSup>
      </m:oMath>
      <w:r>
        <w:t xml:space="preserve">–</w:t>
      </w:r>
      <m:oMath>
        <m:sSup>
          <m:e>
            <m:r>
              <m:t>10</m:t>
            </m:r>
          </m:e>
          <m:sup>
            <m:r>
              <m:rPr>
                <m:sty m:val="p"/>
              </m:rPr>
              <m:t>−</m:t>
            </m:r>
            <m:r>
              <m:t>10</m:t>
            </m:r>
          </m:sup>
        </m:sSup>
        <m:r>
          <m:rPr>
            <m:sty m:val="p"/>
          </m:rPr>
          <m:t>,</m:t>
        </m:r>
      </m:oMath>
      <w:r>
        <w:t xml:space="preserve"> </w:t>
      </w:r>
      <w:r>
        <w:t xml:space="preserve">lying within the sensitivity range of LISA/Tianqin/Taiji. LISA is expected to achieve a signal-to-noise ratio SNR &gt; 5 after 4 years of operation.</w:t>
      </w:r>
    </w:p>
    <w:p>
      <w:pPr>
        <w:pStyle w:val="Compact"/>
        <w:numPr>
          <w:ilvl w:val="0"/>
          <w:numId w:val="1013"/>
        </w:numPr>
      </w:pPr>
      <w:r>
        <w:rPr>
          <w:b/>
          <w:bCs/>
        </w:rPr>
        <w:t xml:space="preserve">7.2</w:t>
      </w:r>
      <w:r>
        <w:t xml:space="preserve"> </w:t>
      </w:r>
      <w:r>
        <w:t xml:space="preserve">The high-frequency decay slope of the gravitational wave spectrum is approximately 15% shallower than that of a standard first-order phase transition spectrum</w:t>
      </w:r>
      <w:r>
        <w:t xml:space="preserve"> </w:t>
      </w:r>
      <m:oMath>
        <m:r>
          <m:rPr>
            <m:sty m:val="p"/>
          </m:rPr>
          <m:t>(</m:t>
        </m:r>
        <m:sSub>
          <m:e>
            <m:r>
              <m:t>δ</m:t>
            </m:r>
          </m:e>
          <m:sub>
            <m:r>
              <m:t>F</m:t>
            </m:r>
            <m:r>
              <m:t>C</m:t>
            </m:r>
          </m:sub>
        </m:sSub>
        <m:r>
          <m:rPr>
            <m:sty m:val="p"/>
          </m:rPr>
          <m:t>≈</m:t>
        </m:r>
        <m:r>
          <m:t>0.15</m:t>
        </m:r>
        <m:r>
          <m:rPr>
            <m:sty m:val="p"/>
          </m:rPr>
          <m:t>)</m:t>
        </m:r>
        <m:r>
          <m:rPr>
            <m:sty m:val="p"/>
          </m:rPr>
          <m:t>,</m:t>
        </m:r>
      </m:oMath>
      <w:r>
        <w:t xml:space="preserve"> </w:t>
      </w:r>
      <w:r>
        <w:t xml:space="preserve">allowing discrimination via spectral fitting. If LISA observes a spectral anomaly, it would preliminarily support the FCWFT topological phase transition.</w:t>
      </w:r>
    </w:p>
    <w:bookmarkEnd w:id="42"/>
    <w:bookmarkStart w:id="43" w:name="X8b7bea1bfd8cc369dd21029b48159dc1df50530"/>
    <w:p>
      <w:pPr>
        <w:pStyle w:val="3"/>
      </w:pPr>
      <w:r>
        <w:t xml:space="preserve">Class B: Auxiliary Cosmological Constraints</w:t>
      </w:r>
    </w:p>
    <w:p>
      <w:pPr>
        <w:pStyle w:val="Compact"/>
        <w:numPr>
          <w:ilvl w:val="0"/>
          <w:numId w:val="1014"/>
        </w:numPr>
      </w:pPr>
      <w:r>
        <w:rPr>
          <w:b/>
          <w:bCs/>
        </w:rPr>
        <w:t xml:space="preserve">7.3</w:t>
      </w:r>
      <w:r>
        <w:t xml:space="preserve"> </w:t>
      </w:r>
      <w:r>
        <w:t xml:space="preserve">The baryon asymmetry produced by the phase transition,</w:t>
      </w:r>
      <w:r>
        <w:t xml:space="preserve"> </w:t>
      </w:r>
      <m:oMath>
        <m:sSub>
          <m:e>
            <m:r>
              <m:t>η</m:t>
            </m:r>
          </m:e>
          <m:sub>
            <m:r>
              <m:t>B</m:t>
            </m:r>
          </m:sub>
        </m:sSub>
        <m:r>
          <m:rPr>
            <m:sty m:val="p"/>
          </m:rPr>
          <m:t>≈</m:t>
        </m:r>
        <m:sSup>
          <m:e>
            <m:r>
              <m:t>10</m:t>
            </m:r>
          </m:e>
          <m:sup>
            <m:r>
              <m:rPr>
                <m:sty m:val="p"/>
              </m:rPr>
              <m:t>−</m:t>
            </m:r>
            <m:r>
              <m:t>10</m:t>
            </m:r>
          </m:sup>
        </m:sSup>
        <m:r>
          <m:rPr>
            <m:sty m:val="p"/>
          </m:rPr>
          <m:t>,</m:t>
        </m:r>
      </m:oMath>
      <w:r>
        <w:t xml:space="preserve"> </w:t>
      </w:r>
      <w:r>
        <w:t xml:space="preserve">is consistent with observations. Precise measurements of the baryon density from the CMB (Planck gives</w:t>
      </w:r>
      <w:r>
        <w:t xml:space="preserve"> </w:t>
      </w:r>
      <m:oMath>
        <m:sSub>
          <m:e>
            <m:r>
              <m:t>η</m:t>
            </m:r>
          </m:e>
          <m:sub>
            <m:r>
              <m:t>B</m:t>
            </m:r>
          </m:sub>
        </m:sSub>
        <m:r>
          <m:rPr>
            <m:sty m:val="p"/>
          </m:rPr>
          <m:t>=</m:t>
        </m:r>
        <m:r>
          <m:t>6.1</m:t>
        </m:r>
        <m:r>
          <m:rPr>
            <m:sty m:val="p"/>
          </m:rPr>
          <m:t>×</m:t>
        </m:r>
        <m:sSup>
          <m:e>
            <m:r>
              <m:t>10</m:t>
            </m:r>
          </m:e>
          <m:sup>
            <m:r>
              <m:rPr>
                <m:sty m:val="p"/>
              </m:rPr>
              <m:t>−</m:t>
            </m:r>
            <m:r>
              <m:t>10</m:t>
            </m:r>
          </m:sup>
        </m:sSup>
      </m:oMath>
      <w:r>
        <w:t xml:space="preserve">) provide cross-constraints on the parameter space, requiring</w:t>
      </w:r>
      <w:r>
        <w:t xml:space="preserve"> </w:t>
      </w:r>
      <m:oMath>
        <m:sSub>
          <m:e>
            <m:r>
              <m:t>A</m:t>
            </m:r>
          </m:e>
          <m:sub>
            <m:r>
              <m:t>C</m:t>
            </m:r>
            <m:r>
              <m:t>P</m:t>
            </m:r>
          </m:sub>
        </m:sSub>
      </m:oMath>
      <w:r>
        <w:t xml:space="preserve"> </w:t>
      </w:r>
      <w:r>
        <w:t xml:space="preserve">to lie in the range</w:t>
      </w:r>
      <w:r>
        <w:t xml:space="preserve"> </w:t>
      </w:r>
      <m:oMath>
        <m:sSup>
          <m:e>
            <m:r>
              <m:t>10</m:t>
            </m:r>
          </m:e>
          <m:sup>
            <m:r>
              <m:rPr>
                <m:sty m:val="p"/>
              </m:rPr>
              <m:t>−</m:t>
            </m:r>
            <m:r>
              <m:t>3</m:t>
            </m:r>
          </m:sup>
        </m:sSup>
      </m:oMath>
      <w:r>
        <w:t xml:space="preserve">–</w:t>
      </w:r>
      <m:oMath>
        <m:sSup>
          <m:e>
            <m:r>
              <m:t>10</m:t>
            </m:r>
          </m:e>
          <m:sup>
            <m:r>
              <m:rPr>
                <m:sty m:val="p"/>
              </m:rPr>
              <m:t>−</m:t>
            </m:r>
            <m:r>
              <m:t>2</m:t>
            </m:r>
          </m:sup>
        </m:sSup>
        <m:r>
          <m:rPr>
            <m:sty m:val="p"/>
          </m:rPr>
          <m:t>.</m:t>
        </m:r>
      </m:oMath>
    </w:p>
    <w:p>
      <w:pPr>
        <w:pStyle w:val="Compact"/>
        <w:numPr>
          <w:ilvl w:val="0"/>
          <w:numId w:val="1014"/>
        </w:numPr>
      </w:pPr>
      <w:r>
        <w:rPr>
          <w:b/>
          <w:bCs/>
        </w:rPr>
        <w:t xml:space="preserve">7.4</w:t>
      </w:r>
      <w:r>
        <w:t xml:space="preserve"> </w:t>
      </w:r>
      <w:r>
        <w:t xml:space="preserve">Secondary gravitational waves from residual C-field cosmic strings can be constrained by pulsar timing arrays (PTAs) in the nHz band. Current upper limits from NANOGrav’s 15-year dataset already exclude strings with</w:t>
      </w:r>
      <w:r>
        <w:t xml:space="preserve"> </w:t>
      </w:r>
      <m:oMath>
        <m:r>
          <m:t>μ</m:t>
        </m:r>
        <m:r>
          <m:rPr>
            <m:sty m:val="p"/>
          </m:rPr>
          <m:t>&gt;</m:t>
        </m:r>
        <m:sSup>
          <m:e>
            <m:r>
              <m:t>10</m:t>
            </m:r>
          </m:e>
          <m:sup>
            <m:r>
              <m:t>8</m:t>
            </m:r>
          </m:sup>
        </m:sSup>
        <m:r>
          <m:t> </m:t>
        </m:r>
        <m:sSup>
          <m:e>
            <m:r>
              <m:rPr>
                <m:sty m:val="p"/>
              </m:rPr>
              <m:t>G</m:t>
            </m:r>
            <m:r>
              <m:rPr>
                <m:sty m:val="p"/>
              </m:rPr>
              <m:t>e</m:t>
            </m:r>
            <m:r>
              <m:rPr>
                <m:sty m:val="p"/>
              </m:rPr>
              <m:t>V</m:t>
            </m:r>
          </m:e>
          <m:sup>
            <m:r>
              <m:t>2</m:t>
            </m:r>
          </m:sup>
        </m:sSup>
      </m:oMath>
      <w:r>
        <w:t xml:space="preserve">; FCWFT’s</w:t>
      </w:r>
      <w:r>
        <w:t xml:space="preserve"> </w:t>
      </w:r>
      <m:oMath>
        <m:r>
          <m:t>μ</m:t>
        </m:r>
        <m:r>
          <m:rPr>
            <m:sty m:val="p"/>
          </m:rPr>
          <m:t>≈</m:t>
        </m:r>
        <m:r>
          <m:t>6</m:t>
        </m:r>
        <m:r>
          <m:rPr>
            <m:sty m:val="p"/>
          </m:rPr>
          <m:t>×</m:t>
        </m:r>
        <m:sSup>
          <m:e>
            <m:r>
              <m:t>10</m:t>
            </m:r>
          </m:e>
          <m:sup>
            <m:r>
              <m:t>4</m:t>
            </m:r>
          </m:sup>
        </m:sSup>
        <m:r>
          <m:t> </m:t>
        </m:r>
        <m:sSup>
          <m:e>
            <m:r>
              <m:rPr>
                <m:sty m:val="p"/>
              </m:rPr>
              <m:t>G</m:t>
            </m:r>
            <m:r>
              <m:rPr>
                <m:sty m:val="p"/>
              </m:rPr>
              <m:t>e</m:t>
            </m:r>
            <m:r>
              <m:rPr>
                <m:sty m:val="p"/>
              </m:rPr>
              <m:t>V</m:t>
            </m:r>
          </m:e>
          <m:sup>
            <m:r>
              <m:t>2</m:t>
            </m:r>
          </m:sup>
        </m:sSup>
      </m:oMath>
      <w:r>
        <w:t xml:space="preserve"> </w:t>
      </w:r>
      <w:r>
        <w:t xml:space="preserve">lies far below this bound and is unaffected.</w:t>
      </w:r>
    </w:p>
    <w:bookmarkEnd w:id="43"/>
    <w:bookmarkStart w:id="44" w:name="class-c-falsifiability-criteria"/>
    <w:p>
      <w:pPr>
        <w:pStyle w:val="3"/>
      </w:pPr>
      <w:r>
        <w:t xml:space="preserve">Class C: Falsifiability Criteria</w:t>
      </w:r>
    </w:p>
    <w:p>
      <w:pPr>
        <w:pStyle w:val="Compact"/>
        <w:numPr>
          <w:ilvl w:val="0"/>
          <w:numId w:val="1015"/>
        </w:numPr>
      </w:pPr>
      <w:r>
        <w:t xml:space="preserve">If LISA/Tianqin completely excludes a background with</w:t>
      </w:r>
      <w:r>
        <w:t xml:space="preserve"> </w:t>
      </w:r>
      <m:oMath>
        <m:sSub>
          <m:e>
            <m:r>
              <m:rPr>
                <m:sty m:val="p"/>
              </m:rPr>
              <m:t>Ω</m:t>
            </m:r>
          </m:e>
          <m:sub>
            <m:r>
              <m:rPr>
                <m:sty m:val="p"/>
              </m:rPr>
              <m:t>G</m:t>
            </m:r>
            <m:r>
              <m:rPr>
                <m:sty m:val="p"/>
              </m:rPr>
              <m:t>W</m:t>
            </m:r>
          </m:sub>
        </m:sSub>
        <m:sSup>
          <m:e>
            <m:r>
              <m:t>h</m:t>
            </m:r>
          </m:e>
          <m:sup>
            <m:r>
              <m:t>2</m:t>
            </m:r>
          </m:sup>
        </m:sSup>
        <m:r>
          <m:rPr>
            <m:sty m:val="p"/>
          </m:rPr>
          <m:t>&gt;</m:t>
        </m:r>
        <m:sSup>
          <m:e>
            <m:r>
              <m:t>10</m:t>
            </m:r>
          </m:e>
          <m:sup>
            <m:r>
              <m:rPr>
                <m:sty m:val="p"/>
              </m:rPr>
              <m:t>−</m:t>
            </m:r>
            <m:r>
              <m:t>12</m:t>
            </m:r>
          </m:sup>
        </m:sSup>
      </m:oMath>
      <w:r>
        <w:t xml:space="preserve"> </w:t>
      </w:r>
      <w:r>
        <w:t xml:space="preserve">in the mHz band, this topological phase transition model is constrained (requiring</w:t>
      </w:r>
      <w:r>
        <w:t xml:space="preserve"> </w:t>
      </w:r>
      <m:oMath>
        <m:r>
          <m:t>α</m:t>
        </m:r>
        <m:r>
          <m:rPr>
            <m:sty m:val="p"/>
          </m:rPr>
          <m:t>&lt;</m:t>
        </m:r>
        <m:r>
          <m:t>0.01</m:t>
        </m:r>
      </m:oMath>
      <w:r>
        <w:t xml:space="preserve"> </w:t>
      </w:r>
      <w:r>
        <w:t xml:space="preserve">or</w:t>
      </w:r>
      <w:r>
        <w:t xml:space="preserve"> </w:t>
      </w:r>
      <m:oMath>
        <m:r>
          <m:t>β</m:t>
        </m:r>
        <m:r>
          <m:rPr>
            <m:sty m:val="p"/>
          </m:rPr>
          <m:t>/</m:t>
        </m:r>
        <m:sSub>
          <m:e>
            <m:r>
              <m:t>H</m:t>
            </m:r>
          </m:e>
          <m:sub>
            <m:r>
              <m:rPr>
                <m:sty m:val="p"/>
              </m:rPr>
              <m:t>*</m:t>
            </m:r>
          </m:sub>
        </m:sSub>
        <m:r>
          <m:rPr>
            <m:sty m:val="p"/>
          </m:rPr>
          <m:t>&gt;</m:t>
        </m:r>
        <m:r>
          <m:t>1000</m:t>
        </m:r>
        <m:r>
          <m:rPr>
            <m:sty m:val="p"/>
          </m:rPr>
          <m:t>,</m:t>
        </m:r>
      </m:oMath>
      <w:r>
        <w:t xml:space="preserve"> </w:t>
      </w:r>
      <w:r>
        <w:t xml:space="preserve">contradicting theoretical expectations).</w:t>
      </w:r>
    </w:p>
    <w:p>
      <w:pPr>
        <w:pStyle w:val="Compact"/>
        <w:numPr>
          <w:ilvl w:val="0"/>
          <w:numId w:val="1015"/>
        </w:numPr>
      </w:pPr>
      <w:r>
        <w:t xml:space="preserve">If a signal is detected but its spectral shape differs significantly from the FCWFT vortex-corrected spectrum (e.g., high-frequency slope deviation exceeding 20%), the C-field topological phase transition picture would need revision.</w:t>
      </w:r>
    </w:p>
    <w:p>
      <w:pPr>
        <w:pStyle w:val="Compact"/>
        <w:numPr>
          <w:ilvl w:val="0"/>
          <w:numId w:val="1015"/>
        </w:numPr>
      </w:pPr>
      <w:r>
        <w:t xml:space="preserve">If a signal is detected and its spectrum matches the prediction, this would strongly support the FCWFT electroweak topological phase transition.</w:t>
      </w:r>
    </w:p>
    <w:bookmarkEnd w:id="44"/>
    <w:bookmarkEnd w:id="45"/>
    <w:bookmarkStart w:id="47" w:name="Xbb17aee7750f3a5dd7339d5827708e22ddc5f79"/>
    <w:p>
      <w:pPr>
        <w:pStyle w:val="2"/>
      </w:pPr>
      <w:r>
        <w:t xml:space="preserve">8 Conclusion and FCWFT Particle-Cosmology Complete Closed Loop</w:t>
      </w:r>
    </w:p>
    <w:p>
      <w:pPr>
        <w:pStyle w:val="Compact"/>
        <w:numPr>
          <w:ilvl w:val="0"/>
          <w:numId w:val="1016"/>
        </w:numPr>
      </w:pPr>
      <w:r>
        <w:t xml:space="preserve">In FCWFT, electroweak symmetry breaking is a topological first-order phase transition of the C-field second-order vortex condensate, distinct from the Standard Model’s smooth scalar field crossover. The high-temperature disordered C-field plasma, upon cooling, undergoes quantum nucleation of vacuum bubbles, forming a global vortex condensate vacuum.</w:t>
      </w:r>
    </w:p>
    <w:p>
      <w:pPr>
        <w:pStyle w:val="Compact"/>
        <w:numPr>
          <w:ilvl w:val="0"/>
          <w:numId w:val="1016"/>
        </w:numPr>
      </w:pPr>
      <w:r>
        <w:t xml:space="preserve">The nucleation, expansion, and collision of vacuum bubbles produce primordial stochastic gravitational waves in the mHz band, with peak amplitude</w:t>
      </w:r>
      <w:r>
        <w:t xml:space="preserve"> </w:t>
      </w:r>
      <m:oMath>
        <m:sSub>
          <m:e>
            <m:r>
              <m:rPr>
                <m:sty m:val="p"/>
              </m:rPr>
              <m:t>Ω</m:t>
            </m:r>
          </m:e>
          <m:sub>
            <m:r>
              <m:rPr>
                <m:sty m:val="p"/>
              </m:rPr>
              <m:t>p</m:t>
            </m:r>
            <m:r>
              <m:rPr>
                <m:sty m:val="p"/>
              </m:rPr>
              <m:t>e</m:t>
            </m:r>
            <m:r>
              <m:rPr>
                <m:sty m:val="p"/>
              </m:rPr>
              <m:t>a</m:t>
            </m:r>
            <m:r>
              <m:rPr>
                <m:sty m:val="p"/>
              </m:rPr>
              <m:t>k</m:t>
            </m:r>
          </m:sub>
        </m:sSub>
        <m:sSup>
          <m:e>
            <m:r>
              <m:t>h</m:t>
            </m:r>
          </m:e>
          <m:sup>
            <m:r>
              <m:t>2</m:t>
            </m:r>
          </m:sup>
        </m:sSup>
        <m:r>
          <m:rPr>
            <m:sty m:val="p"/>
          </m:rPr>
          <m:t>≈</m:t>
        </m:r>
        <m:sSup>
          <m:e>
            <m:r>
              <m:t>10</m:t>
            </m:r>
          </m:e>
          <m:sup>
            <m:r>
              <m:rPr>
                <m:sty m:val="p"/>
              </m:rPr>
              <m:t>−</m:t>
            </m:r>
            <m:r>
              <m:t>11</m:t>
            </m:r>
          </m:sup>
        </m:sSup>
      </m:oMath>
      <w:r>
        <w:t xml:space="preserve">–</w:t>
      </w:r>
      <m:oMath>
        <m:sSup>
          <m:e>
            <m:r>
              <m:t>10</m:t>
            </m:r>
          </m:e>
          <m:sup>
            <m:r>
              <m:rPr>
                <m:sty m:val="p"/>
              </m:rPr>
              <m:t>−</m:t>
            </m:r>
            <m:r>
              <m:t>10</m:t>
            </m:r>
          </m:sup>
        </m:sSup>
        <m:r>
          <m:rPr>
            <m:sty m:val="p"/>
          </m:rPr>
          <m:t>.</m:t>
        </m:r>
      </m:oMath>
      <w:r>
        <w:t xml:space="preserve"> </w:t>
      </w:r>
      <w:r>
        <w:t xml:space="preserve">The spectrum contains characteristic corrections from the C-field vortex (high-frequency slope shift of approximately 15%), making it a core target for space-based gravitational wave detectors.</w:t>
      </w:r>
    </w:p>
    <w:p>
      <w:pPr>
        <w:pStyle w:val="Compact"/>
        <w:numPr>
          <w:ilvl w:val="0"/>
          <w:numId w:val="1016"/>
        </w:numPr>
      </w:pPr>
      <w:r>
        <w:t xml:space="preserve">During the phase transition, B-field topological reconnection and CP asymmetry satisfy Sakharov’s conditions, realizing electroweak baryogenesis and explaining the cosmic matter-antimatter asymmetry</w:t>
      </w:r>
      <w:r>
        <w:t xml:space="preserve"> </w:t>
      </w:r>
      <m:oMath>
        <m:r>
          <m:rPr>
            <m:sty m:val="p"/>
          </m:rPr>
          <m:t>(</m:t>
        </m:r>
        <m:sSub>
          <m:e>
            <m:r>
              <m:t>η</m:t>
            </m:r>
          </m:e>
          <m:sub>
            <m:r>
              <m:t>B</m:t>
            </m:r>
          </m:sub>
        </m:sSub>
        <m:r>
          <m:rPr>
            <m:sty m:val="p"/>
          </m:rPr>
          <m:t>≈</m:t>
        </m:r>
        <m:sSup>
          <m:e>
            <m:r>
              <m:t>10</m:t>
            </m:r>
          </m:e>
          <m:sup>
            <m:r>
              <m:rPr>
                <m:sty m:val="p"/>
              </m:rPr>
              <m:t>−</m:t>
            </m:r>
            <m:r>
              <m:t>10</m:t>
            </m:r>
          </m:sup>
        </m:sSup>
        <m:r>
          <m:rPr>
            <m:sty m:val="p"/>
          </m:rPr>
          <m:t>)</m:t>
        </m:r>
        <m:r>
          <m:rPr>
            <m:sty m:val="p"/>
          </m:rPr>
          <m:t>.</m:t>
        </m:r>
      </m:oMath>
      <w:r>
        <w:t xml:space="preserve"> </w:t>
      </w:r>
      <w:r>
        <w:t xml:space="preserve">Residual C-field topological vortex cosmic strings provide a secondary observational channel.</w:t>
      </w:r>
    </w:p>
    <w:bookmarkStart w:id="46" w:name="Xb22f86e1315586d62045eb8e79d2ac5f159470d"/>
    <w:p>
      <w:pPr>
        <w:pStyle w:val="3"/>
      </w:pPr>
      <w:r>
        <w:t xml:space="preserve">C16 + C17 + C18 + C19 Complete Closed Loop Summary:</w:t>
      </w:r>
    </w:p>
    <w:p>
      <w:pPr>
        <w:pStyle w:val="Compact"/>
        <w:numPr>
          <w:ilvl w:val="0"/>
          <w:numId w:val="1017"/>
        </w:numPr>
      </w:pPr>
      <w:r>
        <w:rPr>
          <w:b/>
          <w:bCs/>
        </w:rPr>
        <w:t xml:space="preserve">C16:</w:t>
      </w:r>
      <w:r>
        <w:t xml:space="preserve"> </w:t>
      </w:r>
      <w:r>
        <w:t xml:space="preserve">B-field topological color framework: origin of weak charge, weak isospin, chirality, and W/Z quantum numbers; C-field second-order vortex condensate gives W/Z masses; weak interactions are B-field topological gate transformations.</w:t>
      </w:r>
    </w:p>
    <w:p>
      <w:pPr>
        <w:pStyle w:val="Compact"/>
        <w:numPr>
          <w:ilvl w:val="0"/>
          <w:numId w:val="1017"/>
        </w:numPr>
      </w:pPr>
      <w:r>
        <w:rPr>
          <w:b/>
          <w:bCs/>
        </w:rPr>
        <w:t xml:space="preserve">C17:</w:t>
      </w:r>
      <w:r>
        <w:t xml:space="preserve"> </w:t>
      </w:r>
      <w:r>
        <w:t xml:space="preserve">Excitation spectrum of the C-field condensate: tangential deformation = W/Z, radial deformation = 125 GeV Higgs quasiparticle; derivation of Higgs couplings and self-coupling predictions.</w:t>
      </w:r>
    </w:p>
    <w:p>
      <w:pPr>
        <w:pStyle w:val="Compact"/>
        <w:numPr>
          <w:ilvl w:val="0"/>
          <w:numId w:val="1017"/>
        </w:numPr>
      </w:pPr>
      <w:r>
        <w:rPr>
          <w:b/>
          <w:bCs/>
        </w:rPr>
        <w:t xml:space="preserve">C18:</w:t>
      </w:r>
      <w:r>
        <w:t xml:space="preserve"> </w:t>
      </w:r>
      <w:r>
        <w:t xml:space="preserve">C-field fractional vortex order stratification: three-generation fermion masses, Yukawa couplings, CKM/PMNS flavor mixing; topological stability explains why there are only three generations of fermions.</w:t>
      </w:r>
    </w:p>
    <w:p>
      <w:pPr>
        <w:pStyle w:val="Compact"/>
        <w:numPr>
          <w:ilvl w:val="0"/>
          <w:numId w:val="1017"/>
        </w:numPr>
      </w:pPr>
      <w:r>
        <w:rPr>
          <w:b/>
          <w:bCs/>
        </w:rPr>
        <w:t xml:space="preserve">C19:</w:t>
      </w:r>
      <w:r>
        <w:t xml:space="preserve"> </w:t>
      </w:r>
      <w:r>
        <w:t xml:space="preserve">High-temperature cosmic C-field topological first-order electroweak phase transition; vacuum bubble nucleation and collision produce primordial gravitational waves; topological interfaces realize electroweak baryogenesis, bridging particle physics and the early Universe.</w:t>
      </w:r>
    </w:p>
    <w:p>
      <w:pPr>
        <w:pStyle w:val="FirstParagraph"/>
      </w:pPr>
      <w:r>
        <w:t xml:space="preserve">These four papers together complete the FCWFT electroweak sector closed loop: static particle spectrum + early Universe dynamics. The subsequent topic C20 could be: neutrino topological mass, leptogenesis, and dark matter candidates, unifying leptogenesis, neutrino masses, and dark matter within this three-field topological system.</w:t>
      </w:r>
    </w:p>
    <w:bookmarkEnd w:id="46"/>
    <w:bookmarkEnd w:id="47"/>
    <w:bookmarkStart w:id="48" w:name="references"/>
    <w:p>
      <w:pPr>
        <w:pStyle w:val="2"/>
      </w:pPr>
      <w:r>
        <w:t xml:space="preserve">References</w:t>
      </w:r>
    </w:p>
    <w:p>
      <w:pPr>
        <w:pStyle w:val="FirstParagraph"/>
      </w:pPr>
      <w:r>
        <w:t xml:space="preserve">[1] Li Z J, Zhao G Y, Xue Y Y. C16: Origin of Weak Charge from B-field Topological Colour Framework. FCWFT, 2026.</w:t>
      </w:r>
      <w:r>
        <w:br/>
      </w:r>
      <w:r>
        <w:t xml:space="preserve">[2] Li Z J, Zhao G Y, Xue Y Y. C17: Higgs as Radial Excitation of C-Field Vortex Condensate. FCWFT, 2026.</w:t>
      </w:r>
      <w:r>
        <w:br/>
      </w:r>
      <w:r>
        <w:t xml:space="preserve">[3] Li Z J, Zhao G Y, Xue Y Y. C18: C-field vortex hierarchy for fermion generation mass spectra. FCWFT, 2026.</w:t>
      </w:r>
      <w:r>
        <w:br/>
      </w:r>
      <w:r>
        <w:t xml:space="preserve">[4] Caprini C, Figueroa D G. Cosmological backgrounds of gravitational waves. Class. Quant. Grav., 35:163001, 2018.</w:t>
      </w:r>
      <w:r>
        <w:br/>
      </w:r>
      <w:r>
        <w:t xml:space="preserve">[5] Particle Data Group. Review of Particle Physics. PTEP, 2022.</w:t>
      </w:r>
      <w:r>
        <w:br/>
      </w:r>
      <w:r>
        <w:t xml:space="preserve">[6] LISA Science Team. LISA cosmology and phase transition physics. arXiv:2402.xxxx, 2024.</w:t>
      </w:r>
      <w:r>
        <w:br/>
      </w:r>
      <w:r>
        <w:t xml:space="preserve">[7] Tianqin Research Group. Scientific objectives of the Tianqin space gravitational wave detector. Sci. Sin.-Phys. Mech. Astron., 53:239501, 2023.</w:t>
      </w:r>
      <w:r>
        <w:br/>
      </w:r>
      <w:r>
        <w:t xml:space="preserve">[8] Sakharov A D. Violation of CP invariance, C asymmetry, and baryon asymmetry of the universe. JETP Lett., 5:24, 1967.</w:t>
      </w:r>
      <w:r>
        <w:br/>
      </w:r>
      <w:r>
        <w:t xml:space="preserve">[9] Wainwright C L. Electroweak phase transition in beyond standard model theories. Phys. Rev. D, 99:095027, 2019.</w:t>
      </w:r>
      <w:r>
        <w:br/>
      </w:r>
      <w:r>
        <w:t xml:space="preserve">[10] Maggiore M. Gravitational Waves, Vol. 2: Astrophysics and Cosmology. Oxford University Press, 2018.</w:t>
      </w:r>
    </w:p>
    <w:bookmarkEnd w:id="48"/>
    <w:bookmarkEnd w:id="49"/>
    <w:sectPr w:rsidR="0063117C">
      <w:footerReference r:id="rId12" w:type="default"/>
      <w:pgSz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 New Roman (正文 CS 字体)">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3818139"/>
    </w:sdtPr>
    <w:sdtContent>
      <w:p w14:paraId="5D2358C8" w14:textId="77777777" w:rsidR="0063117C" w:rsidRDefault="00000000">
        <w:pPr>
          <w:pStyle w:val="a9"/>
          <w:jc w:val="center"/>
        </w:pPr>
        <w:r>
          <w:fldChar w:fldCharType="begin"/>
        </w:r>
        <w:r>
          <w:instrText>PAGE   \* MERGEFORMAT</w:instrText>
        </w:r>
        <w:r>
          <w:fldChar w:fldCharType="separate"/>
        </w:r>
        <w:r>
          <w:rPr>
            <w:lang w:val="zh-CN" w:eastAsia="zh-CN"/>
          </w:rPr>
          <w:t>2</w:t>
        </w:r>
        <w:r>
          <w:fldChar w:fldCharType="end"/>
        </w:r>
      </w:p>
    </w:sdtContent>
  </w:sdt>
  <w:p w14:paraId="3011D776" w14:textId="77777777" w:rsidR="0063117C" w:rsidRDefault="0063117C">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i="http://schemas.microsoft.com/office/word/2026/wordml/cei"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0000A99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000A991"/>
    <w:lvl w:ilvl="0">
      <w:numFmt w:val="bullet"/>
      <w:suff w:val="space"/>
      <w:lvlText w:val="•"/>
      <w:lvlJc w:val="left"/>
      <w:pPr>
        <w:ind w:firstLine="567" w:left="0"/>
      </w:pPr>
      <w:rPr>
        <w:rFonts w:ascii="微软雅黑" w:eastAsia="微软雅黑" w:hAnsi="微软雅黑" w:hint="eastAsia"/>
        <w:sz w:val="28"/>
      </w:rPr>
    </w:lvl>
    <w:lvl w:ilvl="1">
      <w:numFmt w:val="bullet"/>
      <w:suff w:val="space"/>
      <w:lvlText w:val=""/>
      <w:lvlJc w:val="left"/>
      <w:pPr>
        <w:ind w:firstLine="567" w:left="567"/>
      </w:pPr>
      <w:rPr>
        <w:rFonts w:ascii="Wingdings" w:hAnsi="Wingdings" w:hint="default"/>
        <w:sz w:val="28"/>
      </w:rPr>
    </w:lvl>
    <w:lvl w:ilvl="2">
      <w:numFmt w:val="bullet"/>
      <w:suff w:val="space"/>
      <w:lvlText w:val=""/>
      <w:lvlJc w:val="left"/>
      <w:pPr>
        <w:ind w:firstLine="567" w:left="1134"/>
      </w:pPr>
      <w:rPr>
        <w:rFonts w:ascii="Wingdings" w:hAnsi="Wingdings" w:hint="default"/>
        <w:sz w:val="28"/>
      </w:rPr>
    </w:lvl>
    <w:lvl w:ilvl="3">
      <w:numFmt w:val="bullet"/>
      <w:suff w:val="space"/>
      <w:lvlText w:val="•"/>
      <w:lvlJc w:val="left"/>
      <w:pPr>
        <w:ind w:firstLine="567" w:left="1701"/>
      </w:pPr>
      <w:rPr>
        <w:rFonts w:ascii="微软雅黑" w:eastAsia="微软雅黑" w:hAnsi="微软雅黑" w:hint="eastAsia"/>
        <w:sz w:val="28"/>
      </w:rPr>
    </w:lvl>
    <w:lvl w:ilvl="4">
      <w:numFmt w:val="bullet"/>
      <w:suff w:val="space"/>
      <w:lvlText w:val="•"/>
      <w:lvlJc w:val="left"/>
      <w:pPr>
        <w:ind w:firstLine="567" w:left="2268"/>
      </w:pPr>
      <w:rPr>
        <w:rFonts w:ascii="微软雅黑" w:eastAsia="微软雅黑" w:hAnsi="微软雅黑" w:hint="eastAsia"/>
        <w:sz w:val="28"/>
      </w:rPr>
    </w:lvl>
    <w:lvl w:ilvl="5">
      <w:numFmt w:val="bullet"/>
      <w:suff w:val="space"/>
      <w:lvlText w:val="•"/>
      <w:lvlJc w:val="left"/>
      <w:pPr>
        <w:ind w:firstLine="567" w:left="2835"/>
      </w:pPr>
      <w:rPr>
        <w:rFonts w:hint="eastAsia"/>
        <w:sz w:val="28"/>
      </w:rPr>
    </w:lvl>
    <w:lvl w:ilvl="6">
      <w:numFmt w:val="bullet"/>
      <w:suff w:val="space"/>
      <w:lvlText w:val="•"/>
      <w:lvlJc w:val="left"/>
      <w:pPr>
        <w:ind w:firstLine="567" w:left="3402"/>
      </w:pPr>
      <w:rPr>
        <w:rFonts w:hint="eastAsia"/>
        <w:sz w:val="28"/>
      </w:rPr>
    </w:lvl>
    <w:lvl w:ilvl="7">
      <w:numFmt w:val="bullet"/>
      <w:suff w:val="space"/>
      <w:lvlText w:val="•"/>
      <w:lvlJc w:val="left"/>
      <w:pPr>
        <w:ind w:firstLine="567" w:left="3969"/>
      </w:pPr>
      <w:rPr>
        <w:rFonts w:hint="eastAsia"/>
        <w:sz w:val="28"/>
      </w:rPr>
    </w:lvl>
    <w:lvl w:ilvl="8">
      <w:numFmt w:val="bullet"/>
      <w:suff w:val="space"/>
      <w:lvlText w:val="•"/>
      <w:lvlJc w:val="left"/>
      <w:pPr>
        <w:ind w:firstLine="567" w:left="4536"/>
      </w:pPr>
      <w:rPr>
        <w:rFonts w:hint="eastAsia"/>
        <w:sz w:val="28"/>
      </w:rPr>
    </w:lvl>
  </w:abstractNum>
  <w:abstractNum w15:restartNumberingAfterBreak="0" w:abstractNumId="2">
    <w:nsid w:val="00A99201"/>
    <w:multiLevelType w:val="multilevel"/>
    <w:tmpl w:val="00A99201"/>
    <w:lvl w:ilvl="0">
      <w:start w:val="1"/>
      <w:numFmt w:val="decimal"/>
      <w:suff w:val="space"/>
      <w:lvlText w:val="%1."/>
      <w:lvlJc w:val="right"/>
      <w:pPr>
        <w:ind w:firstLine="851" w:left="0"/>
      </w:pPr>
      <w:rPr>
        <w:rFonts w:hint="eastAsia"/>
      </w:rPr>
    </w:lvl>
    <w:lvl w:ilvl="1">
      <w:start w:val="1"/>
      <w:numFmt w:val="decimal"/>
      <w:suff w:val="space"/>
      <w:lvlText w:val="%2)"/>
      <w:lvlJc w:val="right"/>
      <w:pPr>
        <w:ind w:firstLine="851" w:left="567"/>
      </w:pPr>
      <w:rPr>
        <w:rFonts w:hint="eastAsia"/>
      </w:rPr>
    </w:lvl>
    <w:lvl w:ilvl="2">
      <w:start w:val="1"/>
      <w:numFmt w:val="upperLetter"/>
      <w:suff w:val="space"/>
      <w:lvlText w:val="%3."/>
      <w:lvlJc w:val="right"/>
      <w:pPr>
        <w:ind w:firstLine="851" w:left="1134"/>
      </w:pPr>
      <w:rPr>
        <w:rFonts w:hint="eastAsia"/>
      </w:rPr>
    </w:lvl>
    <w:lvl w:ilvl="3">
      <w:start w:val="1"/>
      <w:numFmt w:val="lowerLetter"/>
      <w:suff w:val="space"/>
      <w:lvlText w:val="%4."/>
      <w:lvlJc w:val="right"/>
      <w:pPr>
        <w:ind w:firstLine="851" w:left="1701"/>
      </w:pPr>
      <w:rPr>
        <w:rFonts w:hint="eastAsia"/>
      </w:rPr>
    </w:lvl>
    <w:lvl w:ilvl="4">
      <w:start w:val="1"/>
      <w:numFmt w:val="decimal"/>
      <w:suff w:val="space"/>
      <w:lvlText w:val="%5."/>
      <w:lvlJc w:val="right"/>
      <w:pPr>
        <w:ind w:firstLine="851" w:left="2268"/>
      </w:pPr>
      <w:rPr>
        <w:rFonts w:hint="eastAsia"/>
      </w:rPr>
    </w:lvl>
    <w:lvl w:ilvl="5">
      <w:start w:val="1"/>
      <w:numFmt w:val="decimal"/>
      <w:suff w:val="space"/>
      <w:lvlText w:val="%6)"/>
      <w:lvlJc w:val="right"/>
      <w:pPr>
        <w:ind w:firstLine="851" w:left="2835"/>
      </w:pPr>
      <w:rPr>
        <w:rFonts w:hint="eastAsia"/>
      </w:rPr>
    </w:lvl>
    <w:lvl w:ilvl="6">
      <w:start w:val="1"/>
      <w:numFmt w:val="upperLetter"/>
      <w:suff w:val="space"/>
      <w:lvlText w:val="%7."/>
      <w:lvlJc w:val="right"/>
      <w:pPr>
        <w:ind w:firstLine="851" w:left="3402"/>
      </w:pPr>
      <w:rPr>
        <w:rFonts w:hint="eastAsia"/>
      </w:rPr>
    </w:lvl>
    <w:lvl w:ilvl="7">
      <w:start w:val="1"/>
      <w:numFmt w:val="lowerLetter"/>
      <w:suff w:val="space"/>
      <w:lvlText w:val="%8."/>
      <w:lvlJc w:val="right"/>
      <w:pPr>
        <w:ind w:firstLine="851" w:left="3969"/>
      </w:pPr>
      <w:rPr>
        <w:rFonts w:hint="eastAsia"/>
      </w:rPr>
    </w:lvl>
    <w:lvl w:ilvl="8">
      <w:start w:val="1"/>
      <w:numFmt w:val="lowerRoman"/>
      <w:suff w:val="space"/>
      <w:lvlText w:val="%9."/>
      <w:lvlJc w:val="right"/>
      <w:pPr>
        <w:ind w:firstLine="851" w:left="4536"/>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16cid:durableId="1983272056" w:numId="1">
    <w:abstractNumId w:val="2"/>
  </w:num>
  <w:num w16cid:durableId="1080565477"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53255620"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85454854"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3080112"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79483871"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32646349"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8646929"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9867697" w:numId="9">
    <w:abstractNumId w:val="1"/>
  </w:num>
  <w:num w16cid:durableId="451099090" w:numId="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470502" w:numId="1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uiPriority="9" w:unhideWhenUsed="1"/>
    <w:lsdException w:name="heading 3" w:qFormat="1" w:uiPriority="9" w:unhideWhenUsed="1"/>
    <w:lsdException w:name="heading 4" w:qFormat="1" w:uiPriority="9" w:unhideWhenUsed="1"/>
    <w:lsdException w:name="heading 5" w:qFormat="1" w:uiPriority="9" w:unhideWhenUsed="1"/>
    <w:lsdException w:name="heading 6" w:qFormat="1" w:uiPriority="9" w:unhideWhenUsed="1"/>
    <w:lsdException w:name="heading 7" w:qFormat="1" w:uiPriority="9" w:unhideWhenUsed="1"/>
    <w:lsdException w:name="heading 8" w:qFormat="1" w:uiPriority="9" w:unhideWhenUsed="1"/>
    <w:lsdException w:name="heading 9" w:qFormat="1" w:uiPriority="9" w:unhideWhenUsed="1"/>
    <w:lsdException w:name="footnote text" w:qFormat="1" w:uiPriority="9" w:unhideWhenUsed="1"/>
    <w:lsdException w:name="header" w:qFormat="1"/>
    <w:lsdException w:name="footer" w:qFormat="1" w:uiPriority="99"/>
    <w:lsdException w:name="caption" w:qFormat="1"/>
    <w:lsdException w:name="footnote reference" w:qFormat="1"/>
    <w:lsdException w:name="Title" w:qFormat="1"/>
    <w:lsdException w:name="Default Paragraph Font" w:semiHidden="1" w:uiPriority="1" w:unhideWhenUsed="1"/>
    <w:lsdException w:name="Body Text" w:qFormat="1"/>
    <w:lsdException w:name="Subtitle" w:qFormat="1"/>
    <w:lsdException w:name="Date" w:qFormat="1"/>
    <w:lsdException w:name="Block Text" w:qFormat="1" w:uiPriority="9" w:unhideWhenUsed="1"/>
    <w:lsdException w:name="Hyperlink"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pPr>
      <w:spacing w:line="360" w:lineRule="auto"/>
    </w:pPr>
    <w:rPr>
      <w:rFonts w:ascii="Times New Roman" w:eastAsia="宋体" w:hAnsi="Times New Roman"/>
      <w:sz w:val="24"/>
      <w:szCs w:val="24"/>
      <w:lang w:eastAsia="en-US"/>
    </w:rPr>
  </w:style>
  <w:style w:styleId="1" w:type="paragraph">
    <w:name w:val="heading 1"/>
    <w:basedOn w:val="a"/>
    <w:next w:val="a0"/>
    <w:autoRedefine/>
    <w:uiPriority w:val="9"/>
    <w:qFormat/>
    <w:pPr>
      <w:keepNext/>
      <w:keepLines/>
      <w:pageBreakBefore/>
      <w:spacing w:before="480"/>
      <w:jc w:val="center"/>
      <w:outlineLvl w:val="0"/>
    </w:pPr>
    <w:rPr>
      <w:rFonts w:cstheme="majorBidi" w:eastAsia="黑体"/>
      <w:b/>
      <w:bCs/>
      <w:sz w:val="36"/>
      <w:szCs w:val="32"/>
    </w:rPr>
  </w:style>
  <w:style w:styleId="2" w:type="paragraph">
    <w:name w:val="heading 2"/>
    <w:basedOn w:val="a"/>
    <w:next w:val="a0"/>
    <w:uiPriority w:val="9"/>
    <w:unhideWhenUsed/>
    <w:qFormat/>
    <w:pPr>
      <w:keepNext/>
      <w:keepLines/>
      <w:spacing w:before="300"/>
      <w:outlineLvl w:val="1"/>
    </w:pPr>
    <w:rPr>
      <w:rFonts w:cstheme="majorBidi" w:eastAsia="黑体"/>
      <w:b/>
      <w:bCs/>
      <w:sz w:val="32"/>
      <w:szCs w:val="32"/>
    </w:rPr>
  </w:style>
  <w:style w:styleId="3" w:type="paragraph">
    <w:name w:val="heading 3"/>
    <w:basedOn w:val="a"/>
    <w:next w:val="a0"/>
    <w:uiPriority w:val="9"/>
    <w:unhideWhenUsed/>
    <w:qFormat/>
    <w:pPr>
      <w:keepNext/>
      <w:keepLines/>
      <w:spacing w:before="200"/>
      <w:outlineLvl w:val="2"/>
    </w:pPr>
    <w:rPr>
      <w:rFonts w:asciiTheme="majorHAnsi" w:cstheme="majorBidi" w:eastAsia="黑体" w:hAnsiTheme="majorHAnsi"/>
      <w:b/>
      <w:bCs/>
      <w:sz w:val="26"/>
      <w:szCs w:val="28"/>
    </w:rPr>
  </w:style>
  <w:style w:styleId="4" w:type="paragraph">
    <w:name w:val="heading 4"/>
    <w:basedOn w:val="a"/>
    <w:next w:val="a0"/>
    <w:uiPriority w:val="9"/>
    <w:unhideWhenUsed/>
    <w:qFormat/>
    <w:pPr>
      <w:keepNext/>
      <w:keepLines/>
      <w:spacing w:before="200"/>
      <w:outlineLvl w:val="3"/>
    </w:pPr>
    <w:rPr>
      <w:rFonts w:asciiTheme="majorHAnsi" w:cstheme="majorBidi" w:eastAsia="黑体" w:hAnsiTheme="majorHAnsi"/>
      <w:bCs/>
    </w:rPr>
  </w:style>
  <w:style w:styleId="5" w:type="paragraph">
    <w:name w:val="heading 5"/>
    <w:basedOn w:val="a"/>
    <w:next w:val="a0"/>
    <w:uiPriority w:val="9"/>
    <w:unhideWhenUsed/>
    <w:qFormat/>
    <w:pPr>
      <w:keepNext/>
      <w:keepLines/>
      <w:spacing w:before="200"/>
      <w:outlineLvl w:val="4"/>
    </w:pPr>
    <w:rPr>
      <w:rFonts w:asciiTheme="majorHAnsi" w:cstheme="majorBidi" w:eastAsia="黑体" w:hAnsiTheme="majorHAnsi"/>
      <w:iCs/>
    </w:rPr>
  </w:style>
  <w:style w:styleId="6" w:type="paragraph">
    <w:name w:val="heading 6"/>
    <w:basedOn w:val="a"/>
    <w:next w:val="a0"/>
    <w:uiPriority w:val="9"/>
    <w:unhideWhenUsed/>
    <w:qFormat/>
    <w:pPr>
      <w:keepNext/>
      <w:keepLines/>
      <w:spacing w:before="200"/>
      <w:outlineLvl w:val="5"/>
    </w:pPr>
    <w:rPr>
      <w:rFonts w:asciiTheme="majorHAnsi" w:cstheme="majorBidi" w:eastAsia="黑体" w:hAnsiTheme="majorHAns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style>
  <w:style w:customStyle="1" w:styleId="FirstParagraph" w:type="paragraph">
    <w:name w:val="First Paragraph"/>
    <w:basedOn w:val="a"/>
    <w:next w:val="a0"/>
    <w:qFormat/>
    <w:pPr>
      <w:spacing w:before="180"/>
      <w:ind w:firstLine="480" w:firstLineChars="200"/>
    </w:pPr>
    <w:rPr>
      <w:rFonts w:eastAsia="Cambria Math"/>
      <w:lang w:eastAsia="zh-CN"/>
    </w:rPr>
  </w:style>
  <w:style w:styleId="a5" w:type="paragraph">
    <w:name w:val="caption"/>
    <w:basedOn w:val="a"/>
    <w:link w:val="a6"/>
    <w:qFormat/>
    <w:pPr>
      <w:spacing w:after="120"/>
      <w:jc w:val="center"/>
    </w:pPr>
  </w:style>
  <w:style w:styleId="a7" w:type="paragraph">
    <w:name w:val="Block Text"/>
    <w:basedOn w:val="a"/>
    <w:uiPriority w:val="9"/>
    <w:unhideWhenUsed/>
    <w:qFormat/>
    <w:pPr>
      <w:pBdr>
        <w:left w:color="BFBFBF" w:space="4" w:sz="48" w:themeColor="background1" w:themeShade="BF" w:val="single"/>
      </w:pBdr>
      <w:spacing w:before="100"/>
      <w:ind w:left="200" w:leftChars="200" w:right="100" w:rightChars="100"/>
    </w:pPr>
    <w:rPr>
      <w:rFonts w:eastAsiaTheme="minorEastAsia"/>
      <w:lang w:eastAsia="zh-CN"/>
    </w:rPr>
  </w:style>
  <w:style w:styleId="a8" w:type="paragraph">
    <w:name w:val="Date"/>
    <w:next w:val="a0"/>
    <w:qFormat/>
    <w:pPr>
      <w:keepNext/>
      <w:keepLines/>
      <w:spacing w:after="200"/>
      <w:jc w:val="center"/>
    </w:pPr>
    <w:rPr>
      <w:sz w:val="24"/>
      <w:szCs w:val="24"/>
      <w:lang w:eastAsia="en-US"/>
    </w:rPr>
  </w:style>
  <w:style w:styleId="a9" w:type="paragraph">
    <w:name w:val="footer"/>
    <w:basedOn w:val="a"/>
    <w:link w:val="aa"/>
    <w:uiPriority w:val="99"/>
    <w:qFormat/>
    <w:pPr>
      <w:tabs>
        <w:tab w:pos="4153" w:val="center"/>
        <w:tab w:pos="8306" w:val="right"/>
      </w:tabs>
      <w:snapToGrid w:val="0"/>
    </w:pPr>
    <w:rPr>
      <w:sz w:val="18"/>
      <w:szCs w:val="18"/>
    </w:rPr>
  </w:style>
  <w:style w:styleId="ab" w:type="paragraph">
    <w:name w:val="header"/>
    <w:basedOn w:val="a"/>
    <w:link w:val="ac"/>
    <w:qFormat/>
    <w:pPr>
      <w:tabs>
        <w:tab w:pos="4153" w:val="center"/>
        <w:tab w:pos="8306" w:val="right"/>
      </w:tabs>
      <w:snapToGrid w:val="0"/>
      <w:jc w:val="center"/>
    </w:pPr>
    <w:rPr>
      <w:sz w:val="18"/>
      <w:szCs w:val="18"/>
    </w:rPr>
  </w:style>
  <w:style w:styleId="ad" w:type="paragraph">
    <w:name w:val="Subtitle"/>
    <w:basedOn w:val="ae"/>
    <w:next w:val="a0"/>
    <w:qFormat/>
    <w:pPr>
      <w:spacing w:before="240"/>
    </w:pPr>
    <w:rPr>
      <w:sz w:val="30"/>
      <w:szCs w:val="30"/>
    </w:rPr>
  </w:style>
  <w:style w:styleId="ae" w:type="paragraph">
    <w:name w:val="Title"/>
    <w:basedOn w:val="a"/>
    <w:next w:val="a0"/>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af" w:type="paragraph">
    <w:name w:val="footnote text"/>
    <w:basedOn w:val="a"/>
    <w:uiPriority w:val="9"/>
    <w:unhideWhenUsed/>
    <w:qFormat/>
  </w:style>
  <w:style w:styleId="af0" w:type="character">
    <w:name w:val="Hyperlink"/>
    <w:basedOn w:val="a6"/>
    <w:qFormat/>
    <w:rPr>
      <w:rFonts w:ascii="Times New Roman" w:eastAsia="宋体" w:hAnsi="Times New Roman"/>
      <w:color w:val="0070C0"/>
    </w:rPr>
  </w:style>
  <w:style w:customStyle="1" w:styleId="a6" w:type="character">
    <w:name w:val="题注 字符"/>
    <w:basedOn w:val="a1"/>
    <w:link w:val="a5"/>
    <w:qFormat/>
    <w:rPr>
      <w:rFonts w:ascii="Times New Roman" w:eastAsia="宋体" w:hAnsi="Times New Roman"/>
    </w:rPr>
  </w:style>
  <w:style w:styleId="af1" w:type="character">
    <w:name w:val="footnote reference"/>
    <w:basedOn w:val="a6"/>
    <w:qFormat/>
    <w:rPr>
      <w:rFonts w:ascii="Times New Roman" w:eastAsia="宋体" w:hAnsi="Times New Roman"/>
      <w:vertAlign w:val="superscript"/>
    </w:rPr>
  </w:style>
  <w:style w:customStyle="1" w:styleId="Compact" w:type="paragraph">
    <w:name w:val="Compact"/>
    <w:basedOn w:val="a0"/>
    <w:qFormat/>
    <w:pPr>
      <w:spacing w:after="60" w:before="60"/>
      <w:ind w:firstLine="0" w:firstLineChars="0"/>
    </w:pPr>
  </w:style>
  <w:style w:customStyle="1" w:styleId="Author" w:type="paragraph">
    <w:name w:val="Author"/>
    <w:next w:val="a0"/>
    <w:qFormat/>
    <w:pPr>
      <w:keepNext/>
      <w:keepLines/>
      <w:spacing w:after="200"/>
      <w:jc w:val="center"/>
    </w:pPr>
    <w:rPr>
      <w:sz w:val="24"/>
      <w:szCs w:val="24"/>
      <w:lang w:eastAsia="en-US"/>
    </w:rPr>
  </w:style>
  <w:style w:customStyle="1" w:styleId="Abstract" w:type="paragraph">
    <w:name w:val="Abstract"/>
    <w:basedOn w:val="a"/>
    <w:next w:val="a0"/>
    <w:qFormat/>
    <w:pPr>
      <w:keepNext/>
      <w:keepLines/>
      <w:spacing w:after="300" w:before="300"/>
    </w:pPr>
    <w:rPr>
      <w:sz w:val="20"/>
      <w:szCs w:val="20"/>
    </w:rPr>
  </w:style>
  <w:style w:customStyle="1" w:styleId="10" w:type="paragraph">
    <w:name w:val="书目1"/>
    <w:basedOn w:val="a"/>
    <w:qFormat/>
    <w:pPr>
      <w:tabs>
        <w:tab w:pos="384" w:val="left"/>
      </w:tabs>
      <w:spacing w:line="240" w:lineRule="auto"/>
      <w:ind w:hanging="200" w:hangingChars="200" w:left="200"/>
    </w:pPr>
    <w:rPr>
      <w:rFonts w:ascii="Cambria Math" w:hAnsi="Cambria Math"/>
    </w:rPr>
  </w:style>
  <w:style w:customStyle="1" w:styleId="Table" w:type="table">
    <w:name w:val="Table"/>
    <w:semiHidden/>
    <w:unhideWhenUsed/>
    <w:qFormat/>
    <w:pPr>
      <w:jc w:val="center"/>
    </w:pPr>
    <w:rPr>
      <w:rFonts w:ascii="Times New Roman" w:eastAsia="宋体" w:hAnsi="Times New Roman"/>
    </w:rPr>
    <w:tblPr>
      <w:jc w:val="center"/>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rPr>
        <w:rFonts w:eastAsia="宋体"/>
        <w:b/>
        <w:i w:val="0"/>
      </w:rPr>
      <w:tblPr/>
      <w:tcPr>
        <w:tcBorders>
          <w:bottom w:color="auto" w:space="0" w:sz="4" w:val="single"/>
        </w:tcBorders>
      </w:tcPr>
    </w:tblStylePr>
  </w:style>
  <w:style w:customStyle="1" w:styleId="DefinitionTerm" w:type="paragraph">
    <w:name w:val="Definition Term"/>
    <w:basedOn w:val="a"/>
    <w:next w:val="Definition"/>
    <w:qFormat/>
    <w:pPr>
      <w:keepNext/>
      <w:keepLines/>
    </w:pPr>
    <w:rPr>
      <w:b/>
    </w:rPr>
  </w:style>
  <w:style w:customStyle="1" w:styleId="Definition" w:type="paragraph">
    <w:name w:val="Definition"/>
    <w:basedOn w:val="a"/>
    <w:qFormat/>
  </w:style>
  <w:style w:customStyle="1" w:styleId="TableCaption" w:type="paragraph">
    <w:name w:val="Table Caption"/>
    <w:basedOn w:val="a5"/>
    <w:qFormat/>
    <w:pPr>
      <w:keepNext/>
    </w:pPr>
  </w:style>
  <w:style w:customStyle="1" w:styleId="ImageCaption" w:type="paragraph">
    <w:name w:val="Image Caption"/>
    <w:basedOn w:val="a5"/>
    <w:qFormat/>
  </w:style>
  <w:style w:customStyle="1" w:styleId="Figure" w:type="paragraph">
    <w:name w:val="Figure"/>
    <w:basedOn w:val="a"/>
    <w:qFormat/>
  </w:style>
  <w:style w:customStyle="1" w:styleId="CaptionedFigure" w:type="paragraph">
    <w:name w:val="Captioned Figure"/>
    <w:basedOn w:val="Figure"/>
    <w:qFormat/>
    <w:pPr>
      <w:keepNext/>
    </w:pPr>
  </w:style>
  <w:style w:customStyle="1" w:styleId="VerbatimChar" w:type="character">
    <w:name w:val="Verbatim Char"/>
    <w:basedOn w:val="a6"/>
    <w:link w:val="SourceCode"/>
    <w:qFormat/>
    <w:rPr>
      <w:rFonts w:ascii="宋体" w:cs="Times New Roman (正文 CS 字体)" w:eastAsia="宋体" w:hAnsi="宋体"/>
      <w:color w:themeColor="text1" w:themeTint="BF" w:val="404040"/>
      <w:sz w:val="21"/>
      <w:shd w:color="F3F4F4" w:fill="F2F2F2" w:themeFill="background1" w:themeFillShade="F2" w:val="solid"/>
      <w:lang w:eastAsia="zh-CN"/>
    </w:rPr>
  </w:style>
  <w:style w:customStyle="1" w:styleId="SourceCode" w:type="paragraph">
    <w:name w:val="Source Code"/>
    <w:basedOn w:val="a"/>
    <w:link w:val="VerbatimChar"/>
    <w:qFormat/>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2F2F2" w:themeFill="background1" w:themeFillShade="F2" w:val="solid"/>
      <w:wordWrap w:val="0"/>
      <w:ind w:left="300" w:leftChars="300"/>
    </w:pPr>
    <w:rPr>
      <w:rFonts w:ascii="宋体" w:cs="Times New Roman (正文 CS 字体)" w:hAnsi="宋体"/>
      <w:color w:themeColor="text1" w:themeTint="BF" w:val="404040"/>
      <w:sz w:val="21"/>
      <w:shd w:color="auto" w:fill="auto" w:val="pct5"/>
      <w:lang w:eastAsia="zh-CN"/>
    </w:rPr>
  </w:style>
  <w:style w:customStyle="1" w:styleId="TOC1" w:type="paragraph">
    <w:name w:val="TOC 标题1"/>
    <w:basedOn w:val="1"/>
    <w:next w:val="a0"/>
    <w:uiPriority w:val="39"/>
    <w:unhideWhenUsed/>
    <w:qFormat/>
    <w:pPr>
      <w:spacing w:before="240" w:line="259" w:lineRule="auto"/>
      <w:outlineLvl w:val="9"/>
    </w:pPr>
    <w:rPr>
      <w:b w:val="0"/>
      <w:bCs w:val="0"/>
      <w:color w:themeColor="accent1" w:themeShade="BF" w:val="365F91"/>
    </w:rPr>
  </w:style>
  <w:style w:customStyle="1" w:styleId="a4" w:type="character">
    <w:name w:val="正文文本 字符"/>
    <w:basedOn w:val="a1"/>
    <w:link w:val="a0"/>
    <w:qFormat/>
    <w:rPr>
      <w:rFonts w:ascii="Cambria Math" w:eastAsia="Cambria Math" w:hAnsi="Cambria Math"/>
      <w:lang w:eastAsia="zh-CN"/>
    </w:rPr>
  </w:style>
  <w:style w:customStyle="1" w:styleId="ac" w:type="character">
    <w:name w:val="页眉 字符"/>
    <w:basedOn w:val="a1"/>
    <w:link w:val="ab"/>
    <w:qFormat/>
    <w:rPr>
      <w:sz w:val="18"/>
      <w:szCs w:val="18"/>
    </w:rPr>
  </w:style>
  <w:style w:customStyle="1" w:styleId="aa" w:type="character">
    <w:name w:val="页脚 字符"/>
    <w:basedOn w:val="a1"/>
    <w:link w:val="a9"/>
    <w:uiPriority w:val="99"/>
    <w:qFormat/>
    <w:rPr>
      <w:sz w:val="18"/>
      <w:szCs w:val="18"/>
    </w:rPr>
  </w:style>
  <w:style w:customStyle="1" w:styleId="af2" w:type="paragraph">
    <w:name w:val="图片"/>
    <w:basedOn w:val="FirstParagraph"/>
    <w:qFormat/>
    <w:pPr>
      <w:keepNext/>
      <w:jc w:val="center"/>
    </w:pPr>
  </w:style>
  <w:style w:customStyle="1" w:styleId="Compact10071" w:type="paragraph">
    <w:name w:val="样式 Compact + 10 磅 首行缩进:  0.71 厘米"/>
    <w:basedOn w:val="Compact"/>
    <w:qFormat/>
    <w:rPr>
      <w:rFonts w:cs="宋体"/>
      <w:sz w:val="20"/>
      <w:szCs w:val="20"/>
    </w:rPr>
  </w:style>
  <w:style w:customStyle="1" w:styleId="Compact100710" w:type="paragraph">
    <w:name w:val="样式 Compact + 10 磅 加粗 首行缩进:  0.71 厘米"/>
    <w:basedOn w:val="Compact"/>
    <w:qFormat/>
    <w:rPr>
      <w:rFonts w:cs="宋体"/>
      <w:bCs/>
      <w:sz w:val="20"/>
      <w:szCs w:val="20"/>
    </w:rPr>
  </w:style>
  <w:style w:customStyle="1" w:styleId="img" w:type="paragraph">
    <w:name w:val="img"/>
    <w:basedOn w:val="a"/>
    <w:qFormat/>
    <w:pPr>
      <w:jc w:val="center"/>
    </w:pPr>
    <w:rPr>
      <w:lang w:eastAsia="zh-CN"/>
    </w:rPr>
  </w:style>
  <w:style w:customStyle="1" w:styleId="11" w:type="paragraph">
    <w:name w:val="样式1"/>
    <w:basedOn w:val="a0"/>
    <w:link w:val="12"/>
    <w:qFormat/>
    <w:rPr>
      <w:rFonts w:cs="Times New Roman"/>
    </w:rPr>
  </w:style>
  <w:style w:customStyle="1" w:styleId="12" w:type="character">
    <w:name w:val="样式1 字符"/>
    <w:basedOn w:val="a4"/>
    <w:link w:val="11"/>
    <w:rPr>
      <w:rFonts w:ascii="Times New Roman" w:cs="Times New Roman" w:eastAsia="Cambria Math" w:hAnsi="Times New Roman"/>
      <w:sz w:val="24"/>
      <w:szCs w:val="24"/>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1.png"/><Relationship Id="rId12"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3.png"/><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1794</Words>
  <Characters>2549</Characters>
  <Application>Microsoft Office Word</Application>
  <DocSecurity>0</DocSecurity>
  <Lines>283</Lines>
  <Paragraphs>310</Paragraphs>
  <ScaleCrop>false</ScaleCrop>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2026-10-07T00:36:08Z</dcterms:created>
  <dcterms:modified xsi:type="dcterms:W3CDTF">2026-10-07T00:36:08Z</dcterms:modified>
</cp:coreProperties>
</file>

<file path=docProps/custom.xml><?xml version="1.0" encoding="utf-8"?>
<Properties xmlns="http://schemas.openxmlformats.org/officeDocument/2006/custom-properties" xmlns:vt="http://schemas.openxmlformats.org/officeDocument/2006/docPropsVTypes"/>
</file>