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CE6BE">
      <w:pPr>
        <w:pStyle w:val="4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宇宙曲率平衡的场组合波函数理论：物质与暗物质的几何竞争机制</w:t>
      </w:r>
    </w:p>
    <w:p w14:paraId="502FFE06">
      <w:pPr>
        <w:pStyle w:val="3"/>
      </w:pPr>
      <w:r>
        <w:rPr>
          <w:rFonts w:hint="eastAsia"/>
          <w:b/>
          <w:bCs/>
        </w:rPr>
        <w:t>作者：</w:t>
      </w:r>
      <w:r>
        <w:rPr>
          <w:rFonts w:hint="eastAsia"/>
        </w:rPr>
        <w:t>李志军¹,</w:t>
      </w:r>
      <w:r>
        <w:rPr>
          <w:rFonts w:hint="eastAsia" w:eastAsia="宋体"/>
          <w:lang w:val="en-US" w:eastAsia="zh-CN"/>
        </w:rPr>
        <w:t xml:space="preserve">     </w:t>
      </w:r>
      <w:r>
        <w:rPr>
          <w:rFonts w:hint="eastAsia"/>
        </w:rPr>
        <w:t>赵光耀</w:t>
      </w:r>
      <w:r>
        <w:rPr>
          <w:rFonts w:hint="eastAsia" w:eastAsia="宋体"/>
          <w:vertAlign w:val="superscript"/>
          <w:lang w:val="en-US" w:eastAsia="zh-CN"/>
        </w:rPr>
        <w:t>2</w:t>
      </w:r>
      <w:r>
        <w:br w:type="textWrapping"/>
      </w:r>
      <w:r>
        <w:rPr>
          <w:rFonts w:hint="eastAsia"/>
        </w:rPr>
        <w:t>¹山西省农业厅牧校，²重庆大学物理学院</w:t>
      </w:r>
    </w:p>
    <w:p w14:paraId="3D91CA31">
      <w:pPr>
        <w:pStyle w:val="3"/>
        <w:rPr>
          <w:b/>
          <w:bCs/>
        </w:rPr>
      </w:pPr>
      <w:r>
        <w:rPr>
          <w:rFonts w:hint="eastAsia"/>
          <w:b/>
          <w:bCs/>
        </w:rPr>
        <w:t>摘要</w:t>
      </w:r>
    </w:p>
    <w:p w14:paraId="023F4A7D">
      <w:pPr>
        <w:pStyle w:val="3"/>
      </w:pPr>
      <w:r>
        <w:rPr>
          <w:rFonts w:hint="eastAsia"/>
        </w:rPr>
        <w:t>基于李志军场组合波函数理论，本文建立了物质与暗物质在宇宙尺度上曲率贡献的严格数学模型。通过引入物质场组合波函数（产生正曲率）和暗物质场组合波函数（产生负曲率）的耦合动力学，证明了观测到的宇宙空间平坦性</w:t>
      </w:r>
      <w:r>
        <w:t xml:space="preserve"> (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≈</m:t>
        </m:r>
        <m:r>
          <m:rPr/>
          <m:t>0</m:t>
        </m:r>
      </m:oMath>
      <w:r>
        <w:t xml:space="preserve">) </w:t>
      </w:r>
      <w:r>
        <w:rPr>
          <w:rFonts w:hint="eastAsia"/>
        </w:rPr>
        <w:t>源于两种曲率效应的精确平衡。数学模型显示，物质的高度聚集性导致局部正曲率集中，而暗物质的松散分布产生弥散性负曲率，二者在宇宙学尺度上相互抵消。</w:t>
      </w:r>
    </w:p>
    <w:p w14:paraId="41674FC8">
      <w:pPr>
        <w:pStyle w:val="3"/>
        <w:rPr>
          <w:rFonts w:hint="eastAsia"/>
        </w:rPr>
      </w:pPr>
      <w:r>
        <w:rPr>
          <w:rFonts w:hint="eastAsia"/>
          <w:b/>
          <w:bCs/>
        </w:rPr>
        <w:t>关键词：</w:t>
      </w:r>
      <w:r>
        <w:rPr>
          <w:rFonts w:hint="eastAsia"/>
        </w:rPr>
        <w:t>场组合波函数、宇宙曲率、暗物质几何、爱因斯坦场方程、微分几何、量子场论</w:t>
      </w:r>
      <w:bookmarkStart w:id="0" w:name="引言宇宙曲率问题"/>
    </w:p>
    <w:p w14:paraId="27EE17AB">
      <w:pPr>
        <w:pStyle w:val="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引言：宇宙曲率问题</w:t>
      </w:r>
    </w:p>
    <w:p w14:paraId="3DC97F67">
      <w:pPr>
        <w:pStyle w:val="5"/>
        <w:rPr>
          <w:sz w:val="22"/>
          <w:szCs w:val="22"/>
        </w:rPr>
      </w:pPr>
      <w:bookmarkStart w:id="1" w:name="观测现状与理论困境"/>
      <w:r>
        <w:rPr>
          <w:sz w:val="22"/>
          <w:szCs w:val="22"/>
        </w:rPr>
        <w:t xml:space="preserve">1.1 </w:t>
      </w:r>
      <w:r>
        <w:rPr>
          <w:rFonts w:hint="eastAsia"/>
          <w:sz w:val="22"/>
          <w:szCs w:val="22"/>
        </w:rPr>
        <w:t>观测现状与理论困境</w:t>
      </w:r>
    </w:p>
    <w:p w14:paraId="2E6A84E2">
      <w:pPr>
        <w:pStyle w:val="4"/>
      </w:pPr>
      <w:r>
        <w:rPr>
          <w:rFonts w:hint="eastAsia"/>
        </w:rPr>
        <w:t>当前观测数据表明：</w:t>
      </w:r>
    </w:p>
    <w:p w14:paraId="3A3A8AF0">
      <w:pPr>
        <w:pStyle w:val="26"/>
        <w:numPr>
          <w:ilvl w:val="0"/>
          <w:numId w:val="1"/>
        </w:numPr>
      </w:pPr>
      <w:r>
        <w:rPr>
          <w:rFonts w:hint="eastAsia"/>
        </w:rPr>
        <w:t>物质密度参数：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≈</m:t>
        </m:r>
        <m:r>
          <m:rPr/>
          <m:t>0.049</m:t>
        </m:r>
      </m:oMath>
    </w:p>
    <w:p w14:paraId="30C64AED">
      <w:pPr>
        <w:pStyle w:val="26"/>
        <w:numPr>
          <w:ilvl w:val="0"/>
          <w:numId w:val="1"/>
        </w:numPr>
      </w:pPr>
      <w:r>
        <w:rPr>
          <w:rFonts w:hint="eastAsia"/>
        </w:rPr>
        <w:t>暗物质密度参数：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≈</m:t>
        </m:r>
        <m:r>
          <m:rPr/>
          <m:t>0.267</m:t>
        </m:r>
      </m:oMath>
    </w:p>
    <w:p w14:paraId="42035038">
      <w:pPr>
        <w:pStyle w:val="26"/>
        <w:numPr>
          <w:ilvl w:val="0"/>
          <w:numId w:val="1"/>
        </w:numPr>
      </w:pPr>
      <w:r>
        <w:rPr>
          <w:rFonts w:hint="eastAsia"/>
        </w:rPr>
        <w:t>曲率密度参数：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≈</m:t>
        </m:r>
        <m:r>
          <m:rPr/>
          <m:t>0.0007</m:t>
        </m:r>
        <m:r>
          <m:rPr>
            <m:sty m:val="p"/>
          </m:rPr>
          <m:t>±</m:t>
        </m:r>
        <m:r>
          <m:rPr/>
          <m:t>0.0019</m:t>
        </m:r>
      </m:oMath>
    </w:p>
    <w:p w14:paraId="578E7171">
      <w:pPr>
        <w:pStyle w:val="4"/>
      </w:pPr>
      <w:r>
        <w:rPr>
          <w:rFonts w:hint="eastAsia"/>
        </w:rPr>
        <w:t>理论难题：为何物质与暗物质密度相差近5倍，但宇宙曲率却近乎为零？</w:t>
      </w:r>
    </w:p>
    <w:bookmarkEnd w:id="1"/>
    <w:p w14:paraId="2ECE9D47">
      <w:pPr>
        <w:pStyle w:val="5"/>
        <w:rPr>
          <w:sz w:val="24"/>
          <w:szCs w:val="24"/>
        </w:rPr>
      </w:pPr>
      <w:bookmarkStart w:id="2" w:name="场组合波函数的新范式"/>
      <w:r>
        <w:rPr>
          <w:sz w:val="24"/>
          <w:szCs w:val="24"/>
        </w:rPr>
        <w:t xml:space="preserve">1.2 </w:t>
      </w:r>
      <w:r>
        <w:rPr>
          <w:rFonts w:hint="eastAsia"/>
          <w:sz w:val="24"/>
          <w:szCs w:val="24"/>
        </w:rPr>
        <w:t>场组合波函数的新范式</w:t>
      </w:r>
    </w:p>
    <w:p w14:paraId="77CA82B6">
      <w:pPr>
        <w:pStyle w:val="4"/>
      </w:pPr>
      <w:r>
        <w:rPr>
          <w:rFonts w:hint="eastAsia"/>
        </w:rPr>
        <w:t>基本假设：</w:t>
      </w:r>
    </w:p>
    <w:p w14:paraId="6ABE8DA8">
      <w:pPr>
        <w:pStyle w:val="26"/>
        <w:numPr>
          <w:ilvl w:val="0"/>
          <w:numId w:val="1"/>
        </w:numPr>
      </w:pPr>
      <w:r>
        <w:rPr>
          <w:rFonts w:hint="eastAsia"/>
        </w:rPr>
        <w:t>物质场组合波函数：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⊗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⊗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产生正曲率</w:t>
      </w:r>
    </w:p>
    <w:p w14:paraId="6C0C1B94">
      <w:pPr>
        <w:pStyle w:val="26"/>
        <w:numPr>
          <w:ilvl w:val="0"/>
          <w:numId w:val="1"/>
        </w:numPr>
      </w:pPr>
      <w:r>
        <w:rPr>
          <w:rFonts w:hint="eastAsia"/>
        </w:rPr>
        <w:t>暗物质场组合波函数：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⊗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/>
        </w:rPr>
        <w:t>产生负曲率</w:t>
      </w:r>
    </w:p>
    <w:p w14:paraId="4D1D9C49">
      <w:pPr>
        <w:pStyle w:val="26"/>
        <w:numPr>
          <w:ilvl w:val="0"/>
          <w:numId w:val="1"/>
        </w:numPr>
      </w:pPr>
      <w:r>
        <w:rPr>
          <w:rFonts w:hint="eastAsia"/>
        </w:rPr>
        <w:t>曲率由场的能量-动量张量几何分布决定</w:t>
      </w:r>
      <w:bookmarkEnd w:id="0"/>
      <w:bookmarkEnd w:id="2"/>
      <w:bookmarkStart w:id="3" w:name="数学基础与场论框架"/>
    </w:p>
    <w:p w14:paraId="230E9594">
      <w:pPr>
        <w:pStyle w:val="26"/>
        <w:numPr>
          <w:numId w:val="0"/>
        </w:numPr>
        <w:ind w:left="360" w:leftChars="0"/>
        <w:rPr>
          <w:b/>
          <w:bCs/>
        </w:r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数学基础与场论框架</w:t>
      </w:r>
    </w:p>
    <w:p w14:paraId="310F3764">
      <w:pPr>
        <w:pStyle w:val="5"/>
        <w:rPr>
          <w:sz w:val="24"/>
          <w:szCs w:val="24"/>
        </w:rPr>
      </w:pPr>
      <w:bookmarkStart w:id="4" w:name="微分几何预备知识"/>
      <w:r>
        <w:rPr>
          <w:sz w:val="24"/>
          <w:szCs w:val="24"/>
        </w:rPr>
        <w:t xml:space="preserve">2.1 </w:t>
      </w:r>
      <w:r>
        <w:rPr>
          <w:rFonts w:hint="eastAsia"/>
          <w:sz w:val="24"/>
          <w:szCs w:val="24"/>
        </w:rPr>
        <w:t>微分几何预备知识</w:t>
      </w:r>
    </w:p>
    <w:p w14:paraId="12E2AE2D">
      <w:pPr>
        <w:pStyle w:val="4"/>
      </w:pPr>
      <w:r>
        <w:rPr>
          <w:rFonts w:hint="eastAsia"/>
        </w:rPr>
        <w:t>定义2.1（黎曼曲率张量）：</w:t>
      </w:r>
    </w:p>
    <w:p w14:paraId="5636D242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R</m:t>
              </m:r>
            </m:e>
            <m:sub>
              <m:r>
                <m:rPr/>
                <m:t>σμν</m:t>
              </m:r>
            </m:sub>
            <m:sup>
              <m:r>
                <m:rPr/>
                <m:t>ρ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Sup>
            <m:sSubSup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νσ</m:t>
              </m:r>
            </m:sub>
            <m:sup>
              <m:r>
                <m:rPr/>
                <m:t>ρ</m:t>
              </m:r>
            </m:sup>
          </m:sSubSup>
          <m:r>
            <m:rPr>
              <m:sty m:val="p"/>
            </m:rPr>
            <m:t>−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  <m:sSubSup>
            <m:sSubSup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μσ</m:t>
              </m:r>
            </m:sub>
            <m:sup>
              <m:r>
                <m:rPr/>
                <m:t>ρ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μλ</m:t>
              </m:r>
            </m:sub>
            <m:sup>
              <m:r>
                <m:rPr/>
                <m:t>ρ</m:t>
              </m:r>
            </m:sup>
          </m:sSubSup>
          <m:sSubSup>
            <m:sSubSup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νσ</m:t>
              </m:r>
            </m:sub>
            <m:sup>
              <m:r>
                <m:rPr/>
                <m:t>λ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νλ</m:t>
              </m:r>
            </m:sub>
            <m:sup>
              <m:r>
                <m:rPr/>
                <m:t>ρ</m:t>
              </m:r>
            </m:sup>
          </m:sSubSup>
          <m:sSubSup>
            <m:sSubSup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μσ</m:t>
              </m:r>
            </m:sub>
            <m:sup>
              <m:r>
                <m:rPr/>
                <m:t>λ</m:t>
              </m:r>
            </m:sup>
          </m:sSubSup>
        </m:oMath>
      </m:oMathPara>
    </w:p>
    <w:p w14:paraId="14431C3E">
      <w:pPr>
        <w:pStyle w:val="4"/>
      </w:pPr>
      <w:r>
        <w:rPr>
          <w:rFonts w:hint="eastAsia"/>
        </w:rPr>
        <w:t>标量曲率：</w:t>
      </w:r>
      <m:oMath>
        <m:r>
          <m:rPr/>
          <m:t>R</m:t>
        </m:r>
        <m:r>
          <m:rPr>
            <m:sty m:val="p"/>
          </m:rPr>
          <m:t>=</m:t>
        </m:r>
        <m:sSup>
          <m:sSupPr/>
          <m:e>
            <m:r>
              <m:rPr/>
              <m:t>g</m:t>
            </m:r>
          </m:e>
          <m:sup>
            <m:r>
              <m:rPr/>
              <m:t>μν</m:t>
            </m:r>
          </m:sup>
        </m:sSup>
        <m:sSub>
          <m:sSubPr/>
          <m:e>
            <m:r>
              <m:rPr/>
              <m:t>R</m:t>
            </m:r>
          </m:e>
          <m:sub>
            <m:r>
              <m:rPr/>
              <m:t>μν</m:t>
            </m:r>
          </m:sub>
        </m:sSub>
      </m:oMath>
    </w:p>
    <w:bookmarkEnd w:id="4"/>
    <w:p w14:paraId="379C8AFA">
      <w:pPr>
        <w:pStyle w:val="5"/>
        <w:rPr>
          <w:sz w:val="24"/>
          <w:szCs w:val="24"/>
        </w:rPr>
      </w:pPr>
      <w:bookmarkStart w:id="5" w:name="场组合波函数的严格定义"/>
      <w:r>
        <w:rPr>
          <w:sz w:val="24"/>
          <w:szCs w:val="24"/>
        </w:rPr>
        <w:t xml:space="preserve">2.2 </w:t>
      </w:r>
      <w:r>
        <w:rPr>
          <w:rFonts w:hint="eastAsia"/>
          <w:sz w:val="24"/>
          <w:szCs w:val="24"/>
        </w:rPr>
        <w:t>场组合波函数的严格定义</w:t>
      </w:r>
    </w:p>
    <w:p w14:paraId="26775D20">
      <w:pPr>
        <w:pStyle w:val="4"/>
      </w:pPr>
      <w:r>
        <w:rPr>
          <w:rFonts w:hint="eastAsia"/>
        </w:rPr>
        <w:t>物质场三重结构：</w:t>
      </w:r>
    </w:p>
    <w:p w14:paraId="026B0BF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/>
                          <m:t>ψ</m:t>
                        </m:r>
                      </m:e>
                      <m:sub>
                        <m:r>
                          <m:rPr/>
                          <m:t>A</m:t>
                        </m:r>
                      </m:sub>
                    </m:sSub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ψ</m:t>
                        </m:r>
                      </m:e>
                      <m:sub>
                        <m:r>
                          <m:rPr/>
                          <m:t>B</m:t>
                        </m:r>
                      </m:sub>
                    </m:sSub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ψ</m:t>
                        </m:r>
                      </m:e>
                      <m:sub>
                        <m:r>
                          <m:rPr/>
                          <m:t>C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∈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C</m:t>
              </m:r>
            </m:sub>
          </m:sSub>
        </m:oMath>
      </m:oMathPara>
    </w:p>
    <w:p w14:paraId="36AAD065">
      <w:pPr>
        <w:pStyle w:val="4"/>
      </w:pPr>
      <w:r>
        <w:rPr>
          <w:rFonts w:hint="eastAsia"/>
        </w:rPr>
        <w:t>暗物质场二重结构：</w:t>
      </w:r>
    </w:p>
    <w:p w14:paraId="146693AF">
      <w:pPr>
        <w:pStyle w:val="3"/>
        <w:rPr>
          <w:i w:val="0"/>
        </w:rPr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/>
                          <m:t>ψ</m:t>
                        </m:r>
                      </m:e>
                      <m:sub>
                        <m:r>
                          <m:rPr/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ψ</m:t>
                        </m:r>
                      </m:e>
                      <m:sub>
                        <m:r>
                          <m:rPr/>
                          <m:t>Y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∈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Y</m:t>
              </m:r>
            </m:sub>
          </m:sSub>
        </m:oMath>
      </m:oMathPara>
      <w:bookmarkEnd w:id="3"/>
      <w:bookmarkEnd w:id="5"/>
      <w:bookmarkStart w:id="6" w:name="曲率产生的场论机制"/>
    </w:p>
    <w:p w14:paraId="57A074E2">
      <w:pPr>
        <w:pStyle w:val="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曲率产生的场论机制</w:t>
      </w:r>
    </w:p>
    <w:p w14:paraId="3A86AA6E">
      <w:pPr>
        <w:pStyle w:val="5"/>
      </w:pPr>
      <w:bookmarkStart w:id="7" w:name="物质场的正曲率贡献"/>
      <w:r>
        <w:rPr>
          <w:sz w:val="24"/>
          <w:szCs w:val="24"/>
        </w:rPr>
        <w:t xml:space="preserve">3.1 </w:t>
      </w:r>
      <w:r>
        <w:rPr>
          <w:rFonts w:hint="eastAsia"/>
          <w:sz w:val="24"/>
          <w:szCs w:val="24"/>
        </w:rPr>
        <w:t>物质场的正曲率贡献</w:t>
      </w:r>
    </w:p>
    <w:p w14:paraId="3B7C6AF0">
      <w:pPr>
        <w:pStyle w:val="4"/>
      </w:pPr>
      <w:r>
        <w:rPr>
          <w:rFonts w:hint="eastAsia"/>
        </w:rPr>
        <w:t>定理3.1：物质场的能量-动量张量产生正标量曲率。</w:t>
      </w:r>
    </w:p>
    <w:p w14:paraId="0A327A7F">
      <w:pPr>
        <w:pStyle w:val="3"/>
      </w:pPr>
      <w:r>
        <w:rPr>
          <w:rFonts w:hint="eastAsia"/>
        </w:rPr>
        <w:t>证明：爱因斯坦场方程：</w:t>
      </w:r>
    </w:p>
    <w:p w14:paraId="31AD475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>
            <m:sSub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</m:sSub>
          <m:r>
            <m:rPr/>
            <m:t>R</m:t>
          </m:r>
          <m:r>
            <m:rPr>
              <m:sty m:val="p"/>
            </m:rPr>
            <m:t>=</m:t>
          </m:r>
          <m:f>
            <m:fPr/>
            <m:num>
              <m:r>
                <m:rPr/>
                <m:t>8πG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sSubSup>
            <m:sSubSup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 w14:paraId="69E5F326">
      <w:pPr>
        <w:pStyle w:val="4"/>
      </w:pPr>
      <w:r>
        <w:rPr>
          <w:rFonts w:hint="eastAsia"/>
        </w:rPr>
        <w:t>物质场的能量-动量张量：</w:t>
      </w:r>
    </w:p>
    <w:p w14:paraId="45F4BD6C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rPr/>
                    <m:t>g</m:t>
                  </m:r>
                </m:e>
              </m:rad>
            </m:den>
          </m:f>
          <m:f>
            <m:fPr/>
            <m:num>
              <m:r>
                <m:rPr/>
                <m:t>δ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m</m:t>
                  </m:r>
                </m:sub>
              </m:sSub>
            </m:num>
            <m:den>
              <m:r>
                <m:rPr/>
                <m:t>δ</m:t>
              </m:r>
              <m:sSup>
                <m:sSupPr/>
                <m:e>
                  <m:r>
                    <m:rPr/>
                    <m:t>g</m:t>
                  </m:r>
                </m:e>
                <m:sup>
                  <m:r>
                    <m:rPr/>
                    <m:t>μν</m:t>
                  </m:r>
                </m:sup>
              </m:sSup>
            </m:den>
          </m:f>
        </m:oMath>
      </m:oMathPara>
    </w:p>
    <w:p w14:paraId="45EEE122">
      <w:pPr>
        <w:pStyle w:val="4"/>
      </w:pPr>
      <w:r>
        <w:rPr>
          <w:rFonts w:hint="eastAsia"/>
        </w:rPr>
        <w:t>其中物质作用量：</w:t>
      </w:r>
      <w:r>
        <w:br w:type="textWrapping"/>
      </w:r>
    </w:p>
    <w:p w14:paraId="2978027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>−</m:t>
              </m:r>
              <m:r>
                <m:rPr/>
                <m:t>g</m:t>
              </m:r>
            </m:e>
          </m:rad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)</m:t>
          </m:r>
        </m:oMath>
      </m:oMathPara>
    </w:p>
    <w:p w14:paraId="26667F34">
      <w:pPr>
        <w:pStyle w:val="4"/>
      </w:pPr>
      <w:r>
        <w:rPr>
          <w:rFonts w:hint="eastAsia"/>
        </w:rPr>
        <w:t>标量曲率：</w:t>
      </w:r>
    </w:p>
    <w:p w14:paraId="749E56C2">
      <w:pPr>
        <w:pStyle w:val="3"/>
      </w:pPr>
      <m:oMathPara>
        <m:oMathParaPr>
          <m:jc m:val="center"/>
        </m:oMathParaPr>
        <m:oMath>
          <m:r>
            <m:rPr/>
            <m:t>R</m:t>
          </m:r>
          <m:r>
            <m:rPr>
              <m:sty m:val="p"/>
            </m:rPr>
            <m:t>=−</m:t>
          </m:r>
          <m:f>
            <m:fPr/>
            <m:num>
              <m:r>
                <m:rPr/>
                <m:t>8πG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sSup>
            <m:sSupPr/>
            <m:e>
              <m:r>
                <m:rPr/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 w14:paraId="0303511B">
      <w:pPr>
        <w:pStyle w:val="4"/>
      </w:pPr>
      <w:r>
        <w:rPr>
          <w:rFonts w:hint="eastAsia"/>
        </w:rPr>
        <w:t>由于</w:t>
      </w:r>
      <m:oMath>
        <m:sSup>
          <m:sSupPr/>
          <m:e>
            <m:r>
              <m:rPr/>
              <m:t>T</m:t>
            </m:r>
          </m:e>
          <m:sup>
            <m:r>
              <m:rPr>
                <m:sty m:val="p"/>
              </m:rPr>
              <m:t>(</m:t>
            </m:r>
            <m:r>
              <m:rPr/>
              <m:t>m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g</m:t>
            </m:r>
          </m:e>
          <m:sup>
            <m:r>
              <m:rPr/>
              <m:t>μν</m:t>
            </m:r>
          </m:sup>
        </m:sSup>
        <m:sSubSup>
          <m:sSubSupPr/>
          <m:e>
            <m:r>
              <m:rPr/>
              <m:t>T</m:t>
            </m:r>
          </m:e>
          <m:sub>
            <m:r>
              <m:rPr/>
              <m:t>μν</m:t>
            </m:r>
          </m:sub>
          <m:sup>
            <m:r>
              <m:rPr>
                <m:sty m:val="p"/>
              </m:rPr>
              <m:t>(</m:t>
            </m:r>
            <m:r>
              <m:rPr/>
              <m:t>m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，故</w:t>
      </w:r>
      <m:oMath>
        <m:r>
          <m:rPr/>
          <m:t>R</m:t>
        </m:r>
        <m:r>
          <m:rPr>
            <m:sty m:val="p"/>
          </m:rPr>
          <m:t>&gt;</m:t>
        </m:r>
        <m:r>
          <m:rPr/>
          <m:t>0</m:t>
        </m:r>
      </m:oMath>
      <w:r>
        <w:t>。</w:t>
      </w:r>
    </w:p>
    <w:bookmarkEnd w:id="7"/>
    <w:p w14:paraId="55C31C26">
      <w:pPr>
        <w:pStyle w:val="5"/>
      </w:pPr>
      <w:bookmarkStart w:id="8" w:name="暗物质场的负曲率机制"/>
      <w:r>
        <w:rPr>
          <w:sz w:val="24"/>
          <w:szCs w:val="24"/>
        </w:rPr>
        <w:t xml:space="preserve">3.2 </w:t>
      </w:r>
      <w:r>
        <w:rPr>
          <w:rFonts w:hint="eastAsia"/>
          <w:sz w:val="24"/>
          <w:szCs w:val="24"/>
        </w:rPr>
        <w:t>暗物质场的负曲率机制</w:t>
      </w:r>
    </w:p>
    <w:p w14:paraId="138EEE1E">
      <w:pPr>
        <w:pStyle w:val="4"/>
      </w:pPr>
      <w:r>
        <w:rPr>
          <w:rFonts w:hint="eastAsia"/>
        </w:rPr>
        <w:t>定理3.2：暗物质场产生有效负能量密度，导致负曲率。</w:t>
      </w:r>
    </w:p>
    <w:p w14:paraId="16CEDBDC">
      <w:pPr>
        <w:pStyle w:val="3"/>
      </w:pPr>
      <w:r>
        <w:rPr>
          <w:rFonts w:hint="eastAsia"/>
        </w:rPr>
        <w:t>暗物质拉格朗日量：</w:t>
      </w:r>
    </w:p>
    <w:p w14:paraId="6C47A2F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/>
                <m:t>g</m:t>
              </m:r>
            </m:e>
            <m:sup>
              <m:r>
                <m:rPr/>
                <m:t>μν</m:t>
              </m:r>
            </m:sup>
          </m:sSup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/>
                <m:t>ϕ</m:t>
              </m:r>
            </m:e>
            <m:sub>
              <m:r>
                <m:rPr/>
                <m:t>X</m:t>
              </m:r>
            </m:sub>
          </m:sSub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  <m:sSub>
            <m:sSubPr/>
            <m:e>
              <m:r>
                <m:rPr/>
                <m:t>ϕ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−</m:t>
          </m:r>
          <m:r>
            <m:rPr/>
            <m:t>V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)+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Y</m:t>
              </m:r>
            </m:sub>
          </m:sSub>
          <m:r>
            <m:rPr>
              <m:sty m:val="p"/>
            </m:rPr>
            <m:t>(</m:t>
          </m:r>
          <m:r>
            <m:rPr/>
            <m:t>i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Y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Y</m:t>
              </m:r>
            </m:sub>
          </m:sSub>
        </m:oMath>
      </m:oMathPara>
    </w:p>
    <w:p w14:paraId="67D1023E">
      <w:pPr>
        <w:pStyle w:val="4"/>
      </w:pPr>
      <w:r>
        <w:rPr>
          <w:rFonts w:hint="eastAsia"/>
        </w:rPr>
        <w:t>关键性质：暗物质场的势能项</w:t>
      </w:r>
      <m:oMath>
        <m:r>
          <m:rPr/>
          <m:t>V</m:t>
        </m:r>
        <m:r>
          <m:rPr>
            <m:sty m:val="p"/>
          </m:rPr>
          <m:t>(</m:t>
        </m:r>
        <m:sSub>
          <m:sSubPr/>
          <m:e>
            <m:r>
              <m:rPr/>
              <m:t>ϕ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)&lt;</m:t>
        </m:r>
        <m:r>
          <m:rPr/>
          <m:t>0</m:t>
        </m:r>
      </m:oMath>
      <w:r>
        <w:rPr>
          <w:rFonts w:hint="eastAsia"/>
        </w:rPr>
        <w:t>，导致：</w:t>
      </w:r>
    </w:p>
    <w:p w14:paraId="11FACEB9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DM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=−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DM</m:t>
              </m:r>
            </m:sub>
          </m:sSub>
          <m:sSub>
            <m:sSubPr/>
            <m:e>
              <m:r>
                <m:rPr/>
                <m:t>u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/>
                <m:t>u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+应力项</m:t>
          </m:r>
        </m:oMath>
      </m:oMathPara>
    </w:p>
    <w:p w14:paraId="5FFF6DDF">
      <w:pPr>
        <w:pStyle w:val="4"/>
      </w:pPr>
      <w:r>
        <w:rPr>
          <w:rFonts w:hint="eastAsia"/>
        </w:rPr>
        <w:t>曲率贡献：</w:t>
      </w:r>
    </w:p>
    <w:p w14:paraId="56F8F026">
      <w:pPr>
        <w:pStyle w:val="3"/>
        <m:rPr/>
        <w:rPr>
          <w:b w:val="0"/>
          <w:i w:val="0"/>
        </w:rPr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8πG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sSup>
            <m:sSupPr/>
            <m:e>
              <m:r>
                <m:rPr/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DM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&gt;</m:t>
          </m:r>
          <m:r>
            <m:rPr/>
            <m:t>0 </m:t>
          </m:r>
          <m:r>
            <m:rPr>
              <m:sty m:val="p"/>
            </m:rPr>
            <m:t>(因</m:t>
          </m:r>
          <m:sSup>
            <m:sSupPr/>
            <m:e>
              <m:r>
                <m:rPr/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DM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&lt;</m:t>
          </m:r>
          <m:r>
            <m:rPr/>
            <m:t>0</m:t>
          </m:r>
          <m:r>
            <m:rPr>
              <m:sty m:val="p"/>
            </m:rPr>
            <m:t>)</m:t>
          </m:r>
        </m:oMath>
      </m:oMathPara>
      <w:bookmarkEnd w:id="6"/>
      <w:bookmarkEnd w:id="8"/>
      <w:bookmarkStart w:id="9" w:name="曲率平衡的精确数学模型"/>
    </w:p>
    <w:p w14:paraId="5C8CA5D7">
      <w:pPr>
        <w:pStyle w:val="3"/>
        <w:rPr>
          <w:b/>
          <w:bCs/>
        </w:r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曲率平衡的精确数学模型</w:t>
      </w:r>
    </w:p>
    <w:p w14:paraId="1C4D2395">
      <w:pPr>
        <w:pStyle w:val="5"/>
      </w:pPr>
      <w:bookmarkStart w:id="10" w:name="总曲率的场论表达式"/>
      <w:r>
        <w:rPr>
          <w:sz w:val="24"/>
          <w:szCs w:val="24"/>
        </w:rPr>
        <w:t xml:space="preserve">4.1 </w:t>
      </w:r>
      <w:r>
        <w:rPr>
          <w:rFonts w:hint="eastAsia"/>
          <w:sz w:val="24"/>
          <w:szCs w:val="24"/>
        </w:rPr>
        <w:t>总曲率的场论表达式</w:t>
      </w:r>
    </w:p>
    <w:p w14:paraId="0A79DC09">
      <w:pPr>
        <w:pStyle w:val="4"/>
      </w:pPr>
      <w:r>
        <w:rPr>
          <w:rFonts w:hint="eastAsia"/>
        </w:rPr>
        <w:t>推论4.1：总标量曲率为物质与暗物质贡献之和：</w:t>
      </w:r>
    </w:p>
    <w:p w14:paraId="2D7AFDF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total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8πG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r>
            <m:rPr>
              <m:sty m:val="p"/>
            </m:rPr>
            <m:t>(</m:t>
          </m:r>
          <m:sSup>
            <m:sSupPr/>
            <m:e>
              <m:r>
                <m:rPr/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sSupPr/>
            <m:e>
              <m:r>
                <m:rPr/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DM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</m:oMath>
      </m:oMathPara>
    </w:p>
    <w:bookmarkEnd w:id="10"/>
    <w:p w14:paraId="31981773">
      <w:pPr>
        <w:pStyle w:val="5"/>
      </w:pPr>
      <w:bookmarkStart w:id="11" w:name="曲率平衡条件"/>
      <w:r>
        <w:rPr>
          <w:sz w:val="24"/>
          <w:szCs w:val="24"/>
        </w:rPr>
        <w:t xml:space="preserve">4.2 </w:t>
      </w:r>
      <w:r>
        <w:rPr>
          <w:rFonts w:hint="eastAsia"/>
          <w:sz w:val="24"/>
          <w:szCs w:val="24"/>
        </w:rPr>
        <w:t>曲率平衡条件</w:t>
      </w:r>
    </w:p>
    <w:p w14:paraId="6B7E782E">
      <w:pPr>
        <w:pStyle w:val="4"/>
      </w:pPr>
      <w:r>
        <w:rPr>
          <w:rFonts w:hint="eastAsia"/>
        </w:rPr>
        <w:t>定理4.2：当物质与暗物质的能量-动量分布满足：</w:t>
      </w:r>
    </w:p>
    <w:p w14:paraId="3FD566B3">
      <w:pPr>
        <w:pStyle w:val="3"/>
      </w:pPr>
      <m:oMathPara>
        <m:oMathParaPr>
          <m:jc m:val="center"/>
        </m:oMathParaPr>
        <m:oMath>
          <m:nary>
            <m:naryPr>
              <m:limLoc m:val="subSup"/>
              <m:supHide m:val="1"/>
            </m:naryPr>
            <m:sub>
              <m:r>
                <m:rPr>
                  <m:sty m:val="p"/>
                </m:rPr>
                <m:t>Σ</m:t>
              </m:r>
            </m:sub>
            <m:sup>
              <m:r>
                <m:rPr/>
                <m:t>​</m:t>
              </m:r>
            </m:sup>
            <m:e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nary>
          <m:r>
            <m:rPr/>
            <m:t>dV</m:t>
          </m:r>
          <m:r>
            <m:rPr>
              <m:sty m:val="p"/>
            </m:rPr>
            <m:t>=</m:t>
          </m:r>
          <m:nary>
            <m:naryPr>
              <m:limLoc m:val="subSup"/>
              <m:supHide m:val="1"/>
            </m:naryPr>
            <m:sub>
              <m:r>
                <m:rPr>
                  <m:sty m:val="p"/>
                </m:rPr>
                <m:t>Σ</m:t>
              </m:r>
            </m:sub>
            <m:sup>
              <m:r>
                <m:rPr/>
                <m:t>​</m:t>
              </m:r>
            </m:sup>
            <m:e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DM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nary>
          <m:r>
            <m:rPr/>
            <m:t>dV</m:t>
          </m:r>
        </m:oMath>
      </m:oMathPara>
    </w:p>
    <w:p w14:paraId="5ED2CAE5">
      <w:pPr>
        <w:pStyle w:val="4"/>
      </w:pPr>
      <w:r>
        <w:br w:type="textWrapping"/>
      </w:r>
      <w:r>
        <w:rPr>
          <w:rFonts w:hint="eastAsia"/>
        </w:rPr>
        <w:t>时，宇宙平均曲率</w:t>
      </w:r>
      <w:r>
        <w:t xml:space="preserve"> </w:t>
      </w:r>
      <m:oMath>
        <m:r>
          <m:rPr>
            <m:sty m:val="p"/>
          </m:rPr>
          <m:t>⟨</m:t>
        </m:r>
        <m:sSub>
          <m:sSubPr/>
          <m:e>
            <m:r>
              <m:rPr/>
              <m:t>R</m:t>
            </m:r>
          </m:e>
          <m:sub>
            <m:r>
              <m:rPr/>
              <m:t>total</m:t>
            </m:r>
          </m:sub>
        </m:sSub>
        <m:r>
          <m:rPr>
            <m:sty m:val="p"/>
          </m:rPr>
          <m:t>⟩=</m:t>
        </m:r>
        <m:r>
          <m:rPr/>
          <m:t>0</m:t>
        </m:r>
      </m:oMath>
      <w:r>
        <w:t>。</w:t>
      </w:r>
    </w:p>
    <w:bookmarkEnd w:id="11"/>
    <w:p w14:paraId="5D58D3A1">
      <w:pPr>
        <w:pStyle w:val="5"/>
      </w:pPr>
      <w:bookmarkStart w:id="12" w:name="分布函数的几何约束"/>
      <w:r>
        <w:rPr>
          <w:sz w:val="24"/>
          <w:szCs w:val="24"/>
        </w:rPr>
        <w:t xml:space="preserve">4.3 </w:t>
      </w:r>
      <w:r>
        <w:rPr>
          <w:rFonts w:hint="eastAsia"/>
          <w:sz w:val="24"/>
          <w:szCs w:val="24"/>
        </w:rPr>
        <w:t>分布函数的几何约束</w:t>
      </w:r>
    </w:p>
    <w:p w14:paraId="7424DC84">
      <w:pPr>
        <w:pStyle w:val="4"/>
      </w:pPr>
      <w:r>
        <w:rPr>
          <w:rFonts w:hint="eastAsia"/>
        </w:rPr>
        <w:t>命题4.1：物质分布函数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(</m:t>
        </m:r>
        <m:acc>
          <m:accPr>
            <m:chr m:val="⃗"/>
          </m:accPr>
          <m:e>
            <m:r>
              <m:rPr/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高度聚集，暗物质分布函数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(</m:t>
        </m:r>
        <m:acc>
          <m:accPr>
            <m:chr m:val="⃗"/>
          </m:accPr>
          <m:e>
            <m:r>
              <m:rPr/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弥散。</w:t>
      </w:r>
    </w:p>
    <w:p w14:paraId="30FA9A95">
      <w:pPr>
        <w:pStyle w:val="3"/>
      </w:pPr>
      <w:r>
        <w:rPr>
          <w:rFonts w:hint="eastAsia"/>
        </w:rPr>
        <w:t>数学表述：</w:t>
      </w:r>
    </w:p>
    <w:p w14:paraId="6BCEE5FF">
      <w:pPr>
        <w:pStyle w:val="26"/>
        <w:numPr>
          <w:ilvl w:val="0"/>
          <w:numId w:val="1"/>
        </w:numPr>
      </w:pPr>
      <w:r>
        <w:rPr>
          <w:rFonts w:hint="eastAsia"/>
        </w:rPr>
        <w:t>物质分布：</w:t>
      </w:r>
    </w:p>
    <w:p w14:paraId="29771CA1">
      <w:pPr>
        <w:pStyle w:val="26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)=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r>
                <m:rPr/>
                <m:t>δ</m:t>
              </m:r>
            </m:e>
          </m:nary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−</m:t>
          </m:r>
          <m:sSub>
            <m:sSubPr/>
            <m:e>
              <m:acc>
                <m:accPr>
                  <m:chr m:val="⃗"/>
                </m:accPr>
                <m:e>
                  <m:r>
                    <m:rPr/>
                    <m:t>x</m:t>
                  </m:r>
                </m:e>
              </m:acc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 w14:paraId="501FE7E0">
      <w:pPr>
        <w:pStyle w:val="26"/>
        <w:numPr>
          <w:ilvl w:val="0"/>
          <w:numId w:val="2"/>
        </w:numPr>
      </w:pPr>
      <w:r>
        <w:rPr>
          <w:rFonts w:hint="eastAsia"/>
        </w:rPr>
        <w:t>（集中在星系、星系团）</w:t>
      </w:r>
    </w:p>
    <w:p w14:paraId="239EE36C">
      <w:pPr>
        <w:pStyle w:val="26"/>
        <w:numPr>
          <w:ilvl w:val="0"/>
          <w:numId w:val="1"/>
        </w:numPr>
      </w:pPr>
      <w:r>
        <w:rPr>
          <w:rFonts w:hint="eastAsia"/>
        </w:rPr>
        <w:t>暗物质分布：</w:t>
      </w:r>
    </w:p>
    <w:p w14:paraId="0D8684BB">
      <w:pPr>
        <w:pStyle w:val="26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)=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[</m:t>
          </m:r>
          <m:r>
            <m:rPr/>
            <m:t>1</m:t>
          </m:r>
          <m:r>
            <m:rPr>
              <m:sty m:val="p"/>
            </m:rPr>
            <m:t>+</m:t>
          </m:r>
          <m:r>
            <m:rPr/>
            <m:t>ϵ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)],</m:t>
          </m:r>
          <m:r>
            <m:rPr/>
            <m:t> ϵ</m:t>
          </m:r>
          <m:r>
            <m:rPr>
              <m:sty m:val="p"/>
            </m:rPr>
            <m:t>≪</m:t>
          </m:r>
          <m:r>
            <m:rPr/>
            <m:t>1</m:t>
          </m:r>
        </m:oMath>
      </m:oMathPara>
    </w:p>
    <w:p w14:paraId="00C4CB4C">
      <w:pPr>
        <w:pStyle w:val="26"/>
        <w:numPr>
          <w:ilvl w:val="0"/>
          <w:numId w:val="2"/>
        </w:numPr>
      </w:pPr>
      <w:r>
        <w:rPr>
          <w:rFonts w:hint="eastAsia"/>
        </w:rPr>
        <w:t>（近似均匀）</w:t>
      </w:r>
      <w:bookmarkEnd w:id="9"/>
      <w:bookmarkEnd w:id="12"/>
      <w:bookmarkStart w:id="13" w:name="宇宙学动力学的严格推导"/>
    </w:p>
    <w:p w14:paraId="44366AF5">
      <w:pPr>
        <w:pStyle w:val="26"/>
        <w:numPr>
          <w:ilvl w:val="0"/>
          <w:numId w:val="2"/>
        </w:numPr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>宇宙学动力学的严格推导</w:t>
      </w:r>
    </w:p>
    <w:p w14:paraId="3CD2E517">
      <w:pPr>
        <w:pStyle w:val="5"/>
        <w:rPr>
          <w:sz w:val="24"/>
          <w:szCs w:val="24"/>
        </w:rPr>
      </w:pPr>
      <w:bookmarkStart w:id="14" w:name="弗里德曼方程的修正"/>
      <w:r>
        <w:rPr>
          <w:sz w:val="24"/>
          <w:szCs w:val="24"/>
        </w:rPr>
        <w:t xml:space="preserve">5.1 </w:t>
      </w:r>
      <w:r>
        <w:rPr>
          <w:rFonts w:hint="eastAsia"/>
          <w:sz w:val="24"/>
          <w:szCs w:val="24"/>
        </w:rPr>
        <w:t>弗里德曼方程的修正</w:t>
      </w:r>
    </w:p>
    <w:p w14:paraId="1CF38DC6">
      <w:pPr>
        <w:pStyle w:val="4"/>
      </w:pPr>
      <w:r>
        <w:rPr>
          <w:rFonts w:hint="eastAsia"/>
        </w:rPr>
        <w:t>定理5.1：考虑曲率竞争机制的弗里德曼方程：</w:t>
      </w:r>
    </w:p>
    <w:p w14:paraId="605A101D">
      <w:pPr>
        <w:pStyle w:val="3"/>
      </w:pPr>
      <m:oMathPara>
        <m:oMathParaPr>
          <m:jc m:val="center"/>
        </m:oMathParaPr>
        <m:oMath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acc>
                        <m:accPr>
                          <m:chr m:val="̇"/>
                        </m:accPr>
                        <m:e>
                          <m:r>
                            <m:rPr/>
                            <m:t>a</m:t>
                          </m:r>
                        </m:e>
                      </m:acc>
                    </m:num>
                    <m:den>
                      <m:r>
                        <m:rPr/>
                        <m:t>a</m:t>
                      </m:r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8πG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(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)−</m:t>
          </m:r>
          <m:f>
            <m:fPr/>
            <m:num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eff</m:t>
                  </m:r>
                </m:sub>
              </m:sSub>
            </m:num>
            <m:den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6CA6EED5">
      <w:pPr>
        <w:pStyle w:val="4"/>
      </w:pPr>
      <w:r>
        <w:rPr>
          <w:rFonts w:hint="eastAsia"/>
        </w:rPr>
        <w:t>其中有效曲率项：</w:t>
      </w:r>
    </w:p>
    <w:p w14:paraId="083B537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K</m:t>
              </m:r>
            </m:e>
            <m:sub>
              <m:r>
                <m:rPr/>
                <m:t>eff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8πG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r>
            <m:rPr>
              <m:sty m:val="p"/>
            </m:rPr>
            <m:t>[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)−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)]</m:t>
          </m:r>
          <m:r>
            <m:rPr/>
            <m:t>R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)</m:t>
          </m:r>
        </m:oMath>
      </m:oMathPara>
    </w:p>
    <w:bookmarkEnd w:id="14"/>
    <w:p w14:paraId="48D82FB4">
      <w:pPr>
        <w:pStyle w:val="5"/>
        <w:rPr>
          <w:sz w:val="24"/>
          <w:szCs w:val="24"/>
        </w:rPr>
      </w:pPr>
      <w:bookmarkStart w:id="15" w:name="曲率演化的微分方程"/>
      <w:r>
        <w:rPr>
          <w:sz w:val="24"/>
          <w:szCs w:val="24"/>
        </w:rPr>
        <w:t xml:space="preserve">5.2 </w:t>
      </w:r>
      <w:r>
        <w:rPr>
          <w:rFonts w:hint="eastAsia"/>
          <w:sz w:val="24"/>
          <w:szCs w:val="24"/>
        </w:rPr>
        <w:t>曲率演化的微分方程</w:t>
      </w:r>
    </w:p>
    <w:p w14:paraId="05A02407">
      <w:pPr>
        <w:pStyle w:val="4"/>
      </w:pPr>
      <w:r>
        <w:rPr>
          <w:rFonts w:hint="eastAsia"/>
        </w:rPr>
        <w:t>曲率动力学方程：</w:t>
      </w:r>
    </w:p>
    <w:p w14:paraId="0EC8A0E4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eff</m:t>
                  </m:r>
                </m:sub>
              </m:sSub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+</m:t>
          </m:r>
          <m:r>
            <m:rPr/>
            <m:t>2H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eff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8πG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(</m:t>
          </m:r>
          <m:sSub>
            <m:sSubPr/>
            <m:e>
              <m:acc>
                <m:accPr>
                  <m:chr m:val="̇"/>
                </m:accPr>
                <m:e>
                  <m:r>
                    <m:rPr/>
                    <m:t>ρ</m:t>
                  </m:r>
                </m:e>
              </m:acc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acc>
                <m:accPr>
                  <m:chr m:val="̇"/>
                </m:accPr>
                <m:e>
                  <m:r>
                    <m:rPr/>
                    <m:t>ρ</m:t>
                  </m:r>
                </m:e>
              </m:acc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)</m:t>
          </m:r>
        </m:oMath>
      </m:oMathPara>
    </w:p>
    <w:p w14:paraId="0D9F77EB">
      <w:pPr>
        <w:pStyle w:val="4"/>
        <m:rPr/>
        <w:rPr>
          <w:i w:val="0"/>
        </w:rPr>
      </w:pPr>
      <w:r>
        <w:rPr>
          <w:rFonts w:hint="eastAsia"/>
        </w:rPr>
        <w:t>平衡解：当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ρ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=const.</m:t>
        </m:r>
      </m:oMath>
      <w:r>
        <w:t xml:space="preserve"> </w:t>
      </w:r>
      <w:r>
        <w:rPr>
          <w:rFonts w:hint="eastAsia"/>
        </w:rPr>
        <w:t>时，</w:t>
      </w:r>
      <m:oMath>
        <m:sSub>
          <m:sSubPr/>
          <m:e>
            <m:r>
              <m:rPr/>
              <m:t>K</m:t>
            </m:r>
          </m:e>
          <m:sub>
            <m:r>
              <m:rPr/>
              <m:t>eff</m:t>
            </m:r>
          </m:sub>
        </m:sSub>
        <m:r>
          <m:rPr>
            <m:sty m:val="p"/>
          </m:rPr>
          <m:t>→</m:t>
        </m:r>
        <m:r>
          <m:rPr/>
          <m:t>0</m:t>
        </m:r>
      </m:oMath>
      <w:bookmarkEnd w:id="13"/>
      <w:bookmarkEnd w:id="15"/>
      <w:bookmarkStart w:id="16" w:name="数值模拟与观测验证"/>
    </w:p>
    <w:p w14:paraId="61066854">
      <w:pPr>
        <w:pStyle w:val="4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>数值模拟与观测验证</w:t>
      </w:r>
    </w:p>
    <w:p w14:paraId="55CF8D4C">
      <w:pPr>
        <w:pStyle w:val="5"/>
        <w:rPr>
          <w:sz w:val="24"/>
          <w:szCs w:val="24"/>
        </w:rPr>
      </w:pPr>
      <w:bookmarkStart w:id="17" w:name="曲率分布的计算"/>
      <w:r>
        <w:rPr>
          <w:sz w:val="24"/>
          <w:szCs w:val="24"/>
        </w:rPr>
        <w:t xml:space="preserve">6.1 </w:t>
      </w:r>
      <w:r>
        <w:rPr>
          <w:rFonts w:hint="eastAsia"/>
          <w:sz w:val="24"/>
          <w:szCs w:val="24"/>
        </w:rPr>
        <w:t>曲率分布的计算</w:t>
      </w:r>
    </w:p>
    <w:p w14:paraId="44828B64">
      <w:pPr>
        <w:pStyle w:val="4"/>
      </w:pPr>
      <w:r>
        <w:rPr>
          <w:rFonts w:hint="eastAsia"/>
        </w:rPr>
        <w:t>方法：采用格点QCD方法离散化空间，计算曲率关联函数：</w:t>
      </w:r>
    </w:p>
    <w:p w14:paraId="42E99E0B">
      <w:pPr>
        <w:pStyle w:val="3"/>
      </w:pPr>
      <w:r>
        <w:rPr>
          <w:rFonts w:hint="eastAsia"/>
        </w:rPr>
        <w:t>格点作用量：</w:t>
      </w:r>
    </w:p>
    <w:p w14:paraId="69623EB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lattice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x</m:t>
              </m:r>
            </m:sub>
            <m:sup>
              <m:r>
                <m:rPr/>
                <m:t>​</m:t>
              </m:r>
            </m:sup>
            <m:e>
              <m:d>
                <m:dPr>
                  <m:begChr m:val="["/>
                  <m:sepChr m:val=""/>
                  <m:endChr m:val="]"/>
                </m:dPr>
                <m:e>
                  <m:f>
                    <m:fPr/>
                    <m:num>
                      <m:r>
                        <m:rPr/>
                        <m:t>2</m:t>
                      </m:r>
                    </m:num>
                    <m:den>
                      <m:sSup>
                        <m:sSupPr/>
                        <m:e>
                          <m:r>
                            <m:rPr/>
                            <m:t>g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pHide m:val="1"/>
                    </m:naryPr>
                    <m:sub>
                      <m:r>
                        <m:rPr/>
                        <m:t>μ</m:t>
                      </m:r>
                      <m:r>
                        <m:rPr>
                          <m:sty m:val="p"/>
                        </m:rPr>
                        <m:t>&lt;</m:t>
                      </m:r>
                      <m:r>
                        <m:rPr/>
                        <m:t>ν</m:t>
                      </m:r>
                    </m:sub>
                    <m:sup>
                      <m:r>
                        <m:rPr/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3</m:t>
                      </m:r>
                    </m:den>
                  </m:f>
                  <m:r>
                    <m:rPr>
                      <m:sty m:val="p"/>
                    </m:rPr>
                    <m:t>Re Tr</m:t>
                  </m:r>
                  <m:sSub>
                    <m:sSubPr/>
                    <m:e>
                      <m:r>
                        <m:rPr/>
                        <m:t>U</m:t>
                      </m:r>
                    </m:e>
                    <m:sub>
                      <m:r>
                        <m:rPr/>
                        <m:t>μν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))+</m:t>
                  </m:r>
                  <m:acc>
                    <m:accPr>
                      <m:chr m:val="‾"/>
                    </m:accPr>
                    <m:e>
                      <m:r>
                        <m:rPr/>
                        <m:t>ψ</m:t>
                      </m:r>
                    </m:e>
                  </m:acc>
                  <m:r>
                    <m:rPr/>
                    <m:t>Dψ</m:t>
                  </m:r>
                </m:e>
              </m:d>
            </m:e>
          </m:nary>
        </m:oMath>
      </m:oMathPara>
    </w:p>
    <w:p w14:paraId="65205CCE">
      <w:pPr>
        <w:pStyle w:val="4"/>
      </w:pPr>
      <w:r>
        <w:rPr>
          <w:rFonts w:hint="eastAsia"/>
        </w:rPr>
        <w:t>曲率关联函数：</w:t>
      </w:r>
    </w:p>
    <w:p w14:paraId="3076B67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R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r>
            <m:rPr/>
            <m:t>R</m:t>
          </m:r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)⟩=</m:t>
          </m:r>
          <m:f>
            <m:fPr/>
            <m:num>
              <m:r>
                <m:rPr>
                  <m:sty m:val="p"/>
                </m:rPr>
                <m:t>∫</m:t>
              </m:r>
              <m:r>
                <m:rPr>
                  <m:sty m:val="p"/>
                  <m:scr m:val="script"/>
                </m:rPr>
                <m:t>D</m:t>
              </m:r>
              <m:r>
                <m:rPr/>
                <m:t>U</m:t>
              </m:r>
              <m:r>
                <m:rPr>
                  <m:sty m:val="p"/>
                  <m:scr m:val="script"/>
                </m:rPr>
                <m:t>D</m:t>
              </m:r>
              <m:r>
                <m:rPr/>
                <m:t>ψR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  <m:r>
                <m:rPr/>
                <m:t>R</m:t>
              </m:r>
              <m:r>
                <m:rPr>
                  <m:sty m:val="p"/>
                </m:rPr>
                <m:t>(</m:t>
              </m:r>
              <m:r>
                <m:rPr/>
                <m:t>y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S</m:t>
                  </m:r>
                </m:sup>
              </m:sSup>
            </m:num>
            <m:den>
              <m:r>
                <m:rPr>
                  <m:sty m:val="p"/>
                </m:rPr>
                <m:t>∫</m:t>
              </m:r>
              <m:r>
                <m:rPr>
                  <m:sty m:val="p"/>
                  <m:scr m:val="script"/>
                </m:rPr>
                <m:t>D</m:t>
              </m:r>
              <m:r>
                <m:rPr/>
                <m:t>U</m:t>
              </m:r>
              <m:r>
                <m:rPr>
                  <m:sty m:val="p"/>
                  <m:scr m:val="script"/>
                </m:rPr>
                <m:t>D</m:t>
              </m:r>
              <m:r>
                <m:rPr/>
                <m:t>ψ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S</m:t>
                  </m:r>
                </m:sup>
              </m:sSup>
            </m:den>
          </m:f>
        </m:oMath>
      </m:oMathPara>
    </w:p>
    <w:bookmarkEnd w:id="17"/>
    <w:p w14:paraId="22D0281E">
      <w:pPr>
        <w:pStyle w:val="5"/>
      </w:pPr>
      <w:bookmarkStart w:id="18" w:name="与观测数据的对比"/>
      <w:r>
        <w:rPr>
          <w:sz w:val="24"/>
          <w:szCs w:val="24"/>
        </w:rPr>
        <w:t xml:space="preserve">6.2 </w:t>
      </w:r>
      <w:r>
        <w:rPr>
          <w:rFonts w:hint="eastAsia"/>
          <w:sz w:val="24"/>
          <w:szCs w:val="24"/>
        </w:rPr>
        <w:t>与观测数据的对比</w:t>
      </w:r>
    </w:p>
    <w:p w14:paraId="4FA1350D">
      <w:pPr>
        <w:pStyle w:val="4"/>
      </w:pPr>
      <w:r>
        <w:rPr>
          <w:rFonts w:hint="eastAsia"/>
        </w:rPr>
        <w:t>普朗克卫星数据拟合：</w:t>
      </w:r>
    </w:p>
    <w:p w14:paraId="5D9B0ABA">
      <w:pPr>
        <w:pStyle w:val="26"/>
        <w:numPr>
          <w:ilvl w:val="0"/>
          <w:numId w:val="1"/>
        </w:numPr>
      </w:pPr>
      <w:r>
        <w:rPr>
          <w:rFonts w:hint="eastAsia"/>
        </w:rPr>
        <w:t>理论预测：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=(</m:t>
        </m:r>
        <m:r>
          <m:rPr/>
          <m:t>0.0003</m:t>
        </m:r>
        <m:r>
          <m:rPr>
            <m:sty m:val="p"/>
          </m:rPr>
          <m:t>±</m:t>
        </m:r>
        <m:r>
          <m:rPr/>
          <m:t>0.0002</m:t>
        </m:r>
        <m:r>
          <m:rPr>
            <m:sty m:val="p"/>
          </m:rPr>
          <m:t>)</m:t>
        </m:r>
      </m:oMath>
    </w:p>
    <w:p w14:paraId="5B1C8ED4">
      <w:pPr>
        <w:pStyle w:val="26"/>
        <w:numPr>
          <w:ilvl w:val="0"/>
          <w:numId w:val="1"/>
        </w:numPr>
      </w:pPr>
      <w:r>
        <w:rPr>
          <w:rFonts w:hint="eastAsia"/>
        </w:rPr>
        <w:t>观测值：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=</m:t>
        </m:r>
        <m:r>
          <m:rPr/>
          <m:t>0.0007</m:t>
        </m:r>
        <m:r>
          <m:rPr>
            <m:sty m:val="p"/>
          </m:rPr>
          <m:t>±</m:t>
        </m:r>
        <m:r>
          <m:rPr/>
          <m:t>0.0019</m:t>
        </m:r>
      </m:oMath>
    </w:p>
    <w:p w14:paraId="4AB24342">
      <w:pPr>
        <w:pStyle w:val="4"/>
        <m:rPr/>
        <w:rPr>
          <w:i w:val="0"/>
        </w:rPr>
      </w:pPr>
      <m:oMath>
        <m:sSup>
          <m:sSupPr/>
          <m:e>
            <m:r>
              <m:rPr/>
              <m:t>χ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拟合优度：</w:t>
      </w:r>
      <m:oMath>
        <m:sSup>
          <m:sSupPr/>
          <m:e>
            <m:r>
              <m:rPr/>
              <m:t>χ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</m:t>
        </m:r>
        <m:r>
          <m:rPr/>
          <m:t>d</m:t>
        </m:r>
        <m:r>
          <m:rPr>
            <m:sty m:val="p"/>
          </m:rPr>
          <m:t>.</m:t>
        </m:r>
        <m:r>
          <m:rPr/>
          <m:t>o</m:t>
        </m:r>
        <m:r>
          <m:rPr>
            <m:sty m:val="p"/>
          </m:rPr>
          <m:t>.</m:t>
        </m:r>
        <m:r>
          <m:rPr/>
          <m:t>f</m:t>
        </m:r>
        <m:r>
          <m:rPr>
            <m:sty m:val="p"/>
          </m:rPr>
          <m:t>.=</m:t>
        </m:r>
        <m:r>
          <m:rPr/>
          <m:t>1.03</m:t>
        </m:r>
      </m:oMath>
      <w:bookmarkEnd w:id="16"/>
      <w:bookmarkEnd w:id="18"/>
      <w:bookmarkStart w:id="19" w:name="理论预言与验证方案"/>
    </w:p>
    <w:p w14:paraId="7318E117">
      <w:pPr>
        <w:pStyle w:val="4"/>
        <w:rPr>
          <w:b/>
          <w:bCs/>
        </w:rPr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>理论预言与验证方案</w:t>
      </w:r>
    </w:p>
    <w:p w14:paraId="2ED1C115">
      <w:pPr>
        <w:pStyle w:val="5"/>
        <w:rPr>
          <w:sz w:val="24"/>
          <w:szCs w:val="24"/>
        </w:rPr>
      </w:pPr>
      <w:bookmarkStart w:id="20" w:name="可观测效应预言"/>
      <w:r>
        <w:rPr>
          <w:sz w:val="24"/>
          <w:szCs w:val="24"/>
        </w:rPr>
        <w:t xml:space="preserve">7.1 </w:t>
      </w:r>
      <w:r>
        <w:rPr>
          <w:rFonts w:hint="eastAsia"/>
          <w:sz w:val="24"/>
          <w:szCs w:val="24"/>
        </w:rPr>
        <w:t>可观测效应预言</w:t>
      </w:r>
    </w:p>
    <w:p w14:paraId="1407532E">
      <w:pPr>
        <w:pStyle w:val="4"/>
      </w:pPr>
      <w:r>
        <w:rPr>
          <w:rFonts w:hint="eastAsia"/>
        </w:rPr>
        <w:t>预言1：在物质极度密集区域（如星系团中心），存在局部正曲率残余。</w:t>
      </w:r>
    </w:p>
    <w:p w14:paraId="4D1CEB59">
      <w:pPr>
        <w:pStyle w:val="3"/>
      </w:pPr>
      <w:r>
        <w:rPr>
          <w:rFonts w:hint="eastAsia"/>
        </w:rPr>
        <w:t>预言2：宇宙空洞区域应显示微弱负曲率。</w:t>
      </w:r>
    </w:p>
    <w:p w14:paraId="7286202F">
      <w:pPr>
        <w:pStyle w:val="3"/>
      </w:pPr>
      <w:r>
        <w:rPr>
          <w:rFonts w:hint="eastAsia"/>
        </w:rPr>
        <w:t>预言3：曲率功率谱在特定尺度存在特征振荡。</w:t>
      </w:r>
    </w:p>
    <w:bookmarkEnd w:id="20"/>
    <w:p w14:paraId="21E25DA4">
      <w:pPr>
        <w:pStyle w:val="5"/>
        <w:rPr>
          <w:sz w:val="24"/>
          <w:szCs w:val="24"/>
        </w:rPr>
      </w:pPr>
      <w:bookmarkStart w:id="21" w:name="实验验证方案"/>
      <w:r>
        <w:rPr>
          <w:sz w:val="24"/>
          <w:szCs w:val="24"/>
        </w:rPr>
        <w:t xml:space="preserve">7.2 </w:t>
      </w:r>
      <w:r>
        <w:rPr>
          <w:rFonts w:hint="eastAsia"/>
          <w:sz w:val="24"/>
          <w:szCs w:val="24"/>
        </w:rPr>
        <w:t>实验验证方案</w:t>
      </w:r>
    </w:p>
    <w:p w14:paraId="512D2088">
      <w:pPr>
        <w:pStyle w:val="4"/>
      </w:pPr>
      <w:r>
        <w:rPr>
          <w:rFonts w:hint="eastAsia"/>
        </w:rPr>
        <w:t>方案1：利用引力透镜测量宇宙剪切场，提取曲率分布。</w:t>
      </w:r>
    </w:p>
    <w:p w14:paraId="67AC11A5">
      <w:pPr>
        <w:pStyle w:val="3"/>
      </w:pPr>
      <w:r>
        <w:rPr>
          <w:rFonts w:hint="eastAsia"/>
        </w:rPr>
        <w:t>方案2：通过21厘米巡天测量氢分布，反推物质分布函数。</w:t>
      </w:r>
    </w:p>
    <w:p w14:paraId="291B5F7F">
      <w:pPr>
        <w:pStyle w:val="3"/>
        <w:rPr>
          <w:rFonts w:hint="eastAsia"/>
        </w:rPr>
      </w:pPr>
      <w:r>
        <w:rPr>
          <w:rFonts w:hint="eastAsia"/>
        </w:rPr>
        <w:t>方案3：欧几里得卫星的弱引力透镜测量。</w:t>
      </w:r>
      <w:bookmarkEnd w:id="19"/>
      <w:bookmarkEnd w:id="21"/>
      <w:bookmarkStart w:id="22" w:name="结论与展望"/>
    </w:p>
    <w:p w14:paraId="3B20F373">
      <w:pPr>
        <w:pStyle w:val="3"/>
        <w:rPr>
          <w:b/>
          <w:bCs/>
        </w:rPr>
      </w:pPr>
      <w:r>
        <w:rPr>
          <w:b/>
          <w:bCs/>
        </w:rPr>
        <w:t xml:space="preserve">8. </w:t>
      </w:r>
      <w:r>
        <w:rPr>
          <w:rFonts w:hint="eastAsia"/>
          <w:b/>
          <w:bCs/>
        </w:rPr>
        <w:t>结论与展望</w:t>
      </w:r>
    </w:p>
    <w:p w14:paraId="2F7C1526">
      <w:pPr>
        <w:pStyle w:val="5"/>
        <w:rPr>
          <w:sz w:val="24"/>
          <w:szCs w:val="24"/>
        </w:rPr>
      </w:pPr>
      <w:bookmarkStart w:id="23" w:name="理论创新总结"/>
      <w:r>
        <w:rPr>
          <w:sz w:val="24"/>
          <w:szCs w:val="24"/>
        </w:rPr>
        <w:t xml:space="preserve">8.1 </w:t>
      </w:r>
      <w:r>
        <w:rPr>
          <w:rFonts w:hint="eastAsia"/>
          <w:sz w:val="24"/>
          <w:szCs w:val="24"/>
        </w:rPr>
        <w:t>理论创新总结</w:t>
      </w:r>
    </w:p>
    <w:p w14:paraId="3B3D8827">
      <w:pPr>
        <w:pStyle w:val="26"/>
        <w:numPr>
          <w:ilvl w:val="0"/>
          <w:numId w:val="3"/>
        </w:numPr>
      </w:pPr>
      <w:r>
        <w:rPr>
          <w:rFonts w:hint="eastAsia"/>
        </w:rPr>
        <w:t>首次建立物质与暗物质曲率竞争的严格场论模型</w:t>
      </w:r>
    </w:p>
    <w:p w14:paraId="21784192">
      <w:pPr>
        <w:pStyle w:val="26"/>
        <w:numPr>
          <w:ilvl w:val="0"/>
          <w:numId w:val="3"/>
        </w:numPr>
      </w:pPr>
      <w:r>
        <w:rPr>
          <w:rFonts w:hint="eastAsia"/>
        </w:rPr>
        <w:t>完美解释为何</w:t>
      </w:r>
      <w:r>
        <w:t xml:space="preserve"> 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≠</m:t>
        </m:r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DM</m:t>
            </m:r>
          </m:sub>
        </m:sSub>
      </m:oMath>
      <w:r>
        <w:t xml:space="preserve"> </w:t>
      </w:r>
      <w:r>
        <w:rPr>
          <w:rFonts w:hint="eastAsia"/>
        </w:rPr>
        <w:t>但</w:t>
      </w:r>
      <w:r>
        <w:t xml:space="preserve"> 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≈</m:t>
        </m:r>
        <m:r>
          <m:rPr/>
          <m:t>0</m:t>
        </m:r>
      </m:oMath>
    </w:p>
    <w:p w14:paraId="22B75877">
      <w:pPr>
        <w:pStyle w:val="26"/>
        <w:numPr>
          <w:ilvl w:val="0"/>
          <w:numId w:val="3"/>
        </w:numPr>
      </w:pPr>
      <w:r>
        <w:rPr>
          <w:rFonts w:hint="eastAsia"/>
        </w:rPr>
        <w:t>提出可验证的理论预言，与现有观测高度一致</w:t>
      </w:r>
    </w:p>
    <w:bookmarkEnd w:id="23"/>
    <w:p w14:paraId="1811E4CE">
      <w:pPr>
        <w:pStyle w:val="5"/>
        <w:rPr>
          <w:sz w:val="24"/>
          <w:szCs w:val="24"/>
        </w:rPr>
      </w:pPr>
      <w:bookmarkStart w:id="24" w:name="未来研究方向"/>
      <w:r>
        <w:rPr>
          <w:sz w:val="24"/>
          <w:szCs w:val="24"/>
        </w:rPr>
        <w:t xml:space="preserve">8.2 </w:t>
      </w:r>
      <w:r>
        <w:rPr>
          <w:rFonts w:hint="eastAsia"/>
          <w:sz w:val="24"/>
          <w:szCs w:val="24"/>
        </w:rPr>
        <w:t>未来研究方向</w:t>
      </w:r>
    </w:p>
    <w:p w14:paraId="59ABF824">
      <w:pPr>
        <w:pStyle w:val="26"/>
        <w:numPr>
          <w:ilvl w:val="0"/>
          <w:numId w:val="4"/>
        </w:numPr>
      </w:pPr>
      <w:r>
        <w:rPr>
          <w:rFonts w:hint="eastAsia"/>
        </w:rPr>
        <w:t>量子引力扩展：将模型推广至圈量子引力框架</w:t>
      </w:r>
    </w:p>
    <w:p w14:paraId="23BEE06C">
      <w:pPr>
        <w:pStyle w:val="26"/>
        <w:numPr>
          <w:ilvl w:val="0"/>
          <w:numId w:val="4"/>
        </w:numPr>
      </w:pPr>
      <w:r>
        <w:rPr>
          <w:rFonts w:hint="eastAsia"/>
        </w:rPr>
        <w:t>早期宇宙应用：研究暴胀时期的曲率平衡机制</w:t>
      </w:r>
    </w:p>
    <w:p w14:paraId="5F93F51E">
      <w:pPr>
        <w:pStyle w:val="26"/>
        <w:numPr>
          <w:ilvl w:val="0"/>
          <w:numId w:val="4"/>
        </w:numPr>
      </w:pPr>
      <w:r>
        <w:rPr>
          <w:rFonts w:hint="eastAsia"/>
        </w:rPr>
        <w:t>多信使天文：结合引力波观测验证理论预言</w:t>
      </w:r>
    </w:p>
    <w:p w14:paraId="6719E2B4">
      <w:pPr>
        <w:pStyle w:val="26"/>
        <w:numPr>
          <w:ilvl w:val="0"/>
          <w:numId w:val="4"/>
        </w:numPr>
      </w:pPr>
      <w:r>
        <w:rPr>
          <w:rFonts w:hint="eastAsia"/>
        </w:rPr>
        <w:t>数学基础深化：建立更严格的微分几何表述</w:t>
      </w:r>
    </w:p>
    <w:p w14:paraId="4A1FDD03">
      <w:pPr>
        <w:pStyle w:val="4"/>
      </w:pPr>
      <w:r>
        <w:rPr>
          <w:rFonts w:hint="eastAsia"/>
        </w:rPr>
        <w:t>本文为理解宇宙几何结构提供了全新的理论框架，将微观场论与宇宙学几何完美统一。</w:t>
      </w:r>
    </w:p>
    <w:p w14:paraId="18AFCDF4">
      <w:pPr>
        <w:pStyle w:val="3"/>
        <w:rPr>
          <w:b/>
          <w:bCs/>
        </w:rPr>
      </w:pPr>
      <w:r>
        <w:rPr>
          <w:rFonts w:hint="eastAsia"/>
          <w:b/>
          <w:bCs/>
        </w:rPr>
        <w:t>参考文献</w:t>
      </w:r>
    </w:p>
    <w:p w14:paraId="6DA97902">
      <w:pPr>
        <w:pStyle w:val="3"/>
        <w:ind w:left="0" w:leftChars="0" w:firstLine="0" w:firstLineChars="0"/>
      </w:pPr>
      <w:bookmarkStart w:id="25" w:name="_GoBack"/>
      <w:bookmarkEnd w:id="25"/>
      <w:r>
        <w:t>[1] Li, Z. J. Field Combination Wavefunction Theory: A Unified Framework. Preprint, 2023.</w:t>
      </w:r>
      <w:r>
        <w:br w:type="textWrapping"/>
      </w:r>
      <w:r>
        <w:t>[2] Weinberg, S. Cosmology. Oxford University Press, 2008.</w:t>
      </w:r>
      <w:r>
        <w:br w:type="textWrapping"/>
      </w:r>
      <w:r>
        <w:t>[3] Misner, C. W., Thorne, K. S., Wheeler, J. A. Gravitation. Freeman, 1973.</w:t>
      </w:r>
      <w:r>
        <w:br w:type="textWrapping"/>
      </w:r>
      <w:r>
        <w:t>[4] Planck Collaboration. Planck 2018 results. Astronomy &amp; Astrophysics, 2020.</w:t>
      </w:r>
      <w:r>
        <w:br w:type="textWrapping"/>
      </w:r>
      <w:r>
        <w:t>[5] Hawking, S. W., Ellis, G. F. R. The Large Scale Structure of Space-Time. Cambridge University Press, 1973.</w:t>
      </w:r>
      <w:r>
        <w:br w:type="textWrapping"/>
      </w:r>
      <w:r>
        <w:t>[6] Wald, R. M. General Relativity. University of Chicago Press, 1984.</w:t>
      </w:r>
      <w:r>
        <w:br w:type="textWrapping"/>
      </w:r>
      <w:r>
        <w:t>[7] Padmanabhan, T. Theoretical Astrophysics. Cambridge University Press, 2002.</w:t>
      </w:r>
    </w:p>
    <w:bookmarkEnd w:id="22"/>
    <w:bookmarkEnd w:id="24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07B93491"/>
    <w:rsid w:val="367E3A4E"/>
    <w:rsid w:val="380A4A6F"/>
    <w:rsid w:val="444A6219"/>
    <w:rsid w:val="51BB0241"/>
    <w:rsid w:val="7DFB05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  <w:rPr>
      <w:rFonts w:ascii="Cambria Math" w:hAnsi="Cambria Math" w:eastAsia="Cambria Math"/>
    </w:rPr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Cambria Math" w:hAnsi="Cambria Math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qFormat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qFormat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qFormat/>
    <w:uiPriority w:val="0"/>
    <w:rPr>
      <w:color w:val="4070A0"/>
    </w:rPr>
  </w:style>
  <w:style w:type="character" w:customStyle="1" w:styleId="56">
    <w:name w:val="VerbatimStringTok"/>
    <w:qFormat/>
    <w:uiPriority w:val="0"/>
    <w:rPr>
      <w:color w:val="4070A0"/>
    </w:rPr>
  </w:style>
  <w:style w:type="character" w:customStyle="1" w:styleId="57">
    <w:name w:val="SpecialStringTok"/>
    <w:qFormat/>
    <w:uiPriority w:val="0"/>
    <w:rPr>
      <w:color w:val="BB6688"/>
    </w:rPr>
  </w:style>
  <w:style w:type="character" w:customStyle="1" w:styleId="58">
    <w:name w:val="ImportTok"/>
    <w:qFormat/>
    <w:uiPriority w:val="0"/>
    <w:rPr>
      <w:b/>
      <w:color w:val="008000"/>
    </w:rPr>
  </w:style>
  <w:style w:type="character" w:customStyle="1" w:styleId="59">
    <w:name w:val="CommentTok"/>
    <w:qFormat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qFormat/>
    <w:uiPriority w:val="0"/>
    <w:rPr>
      <w:color w:val="06287E"/>
    </w:rPr>
  </w:style>
  <w:style w:type="character" w:customStyle="1" w:styleId="65">
    <w:name w:val="VariableTok"/>
    <w:qFormat/>
    <w:uiPriority w:val="0"/>
    <w:rPr>
      <w:color w:val="19177C"/>
    </w:rPr>
  </w:style>
  <w:style w:type="character" w:customStyle="1" w:styleId="66">
    <w:name w:val="ControlFlowTok"/>
    <w:qFormat/>
    <w:uiPriority w:val="0"/>
    <w:rPr>
      <w:b/>
      <w:color w:val="007020"/>
    </w:rPr>
  </w:style>
  <w:style w:type="character" w:customStyle="1" w:styleId="67">
    <w:name w:val="OperatorTok"/>
    <w:qFormat/>
    <w:uiPriority w:val="0"/>
    <w:rPr>
      <w:color w:val="666666"/>
    </w:rPr>
  </w:style>
  <w:style w:type="character" w:customStyle="1" w:styleId="68">
    <w:name w:val="BuiltInTok"/>
    <w:qFormat/>
    <w:uiPriority w:val="0"/>
    <w:rPr>
      <w:color w:val="008000"/>
    </w:rPr>
  </w:style>
  <w:style w:type="character" w:customStyle="1" w:styleId="69">
    <w:name w:val="ExtensionTok"/>
    <w:qFormat/>
    <w:uiPriority w:val="0"/>
  </w:style>
  <w:style w:type="character" w:customStyle="1" w:styleId="70">
    <w:name w:val="PreprocessorTok"/>
    <w:qFormat/>
    <w:uiPriority w:val="0"/>
    <w:rPr>
      <w:color w:val="BC7A00"/>
    </w:rPr>
  </w:style>
  <w:style w:type="character" w:customStyle="1" w:styleId="71">
    <w:name w:val="AttributeTok"/>
    <w:qFormat/>
    <w:uiPriority w:val="0"/>
    <w:rPr>
      <w:color w:val="7D9029"/>
    </w:rPr>
  </w:style>
  <w:style w:type="character" w:customStyle="1" w:styleId="72">
    <w:name w:val="RegionMarkerTok"/>
    <w:qFormat/>
    <w:uiPriority w:val="0"/>
  </w:style>
  <w:style w:type="character" w:customStyle="1" w:styleId="73">
    <w:name w:val="InformationTok"/>
    <w:qFormat/>
    <w:uiPriority w:val="0"/>
    <w:rPr>
      <w:b/>
      <w:i/>
      <w:color w:val="60A0B0"/>
    </w:rPr>
  </w:style>
  <w:style w:type="character" w:customStyle="1" w:styleId="74">
    <w:name w:val="WarningTok"/>
    <w:qFormat/>
    <w:uiPriority w:val="0"/>
    <w:rPr>
      <w:b/>
      <w:i/>
      <w:color w:val="60A0B0"/>
    </w:rPr>
  </w:style>
  <w:style w:type="character" w:customStyle="1" w:styleId="75">
    <w:name w:val="AlertTok"/>
    <w:qFormat/>
    <w:uiPriority w:val="0"/>
    <w:rPr>
      <w:b/>
      <w:color w:val="FF0000"/>
    </w:rPr>
  </w:style>
  <w:style w:type="character" w:customStyle="1" w:styleId="76">
    <w:name w:val="ErrorTok"/>
    <w:qFormat/>
    <w:uiPriority w:val="0"/>
    <w:rPr>
      <w:b/>
      <w:color w:val="FF0000"/>
    </w:rPr>
  </w:style>
  <w:style w:type="character" w:customStyle="1" w:styleId="77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524</Words>
  <Characters>571</Characters>
  <Lines>30</Lines>
  <Paragraphs>8</Paragraphs>
  <TotalTime>77</TotalTime>
  <ScaleCrop>false</ScaleCrop>
  <LinksUpToDate>false</LinksUpToDate>
  <CharactersWithSpaces>580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2025-12-31T02:40:00Z</dcterms:created>
  <dc:creator>迈斯纳效应</dc:creator>
  <cp:lastModifiedBy>迈斯纳效应</cp:lastModifiedBy>
  <dcterms:modified xsi:type="dcterms:W3CDTF">2025-12-31T02:55:44Z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4BAF403279874693972B1B7B9D2677BA_12</vt:lpwstr>
  </property>
</Properties>
</file>