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BE0159">
      <w:pPr>
        <w:pStyle w:val="4"/>
      </w:pPr>
      <w:r>
        <w:rPr>
          <w:rFonts w:hint="eastAsia"/>
          <w:b/>
          <w:bCs/>
        </w:rPr>
        <w:t>中微子穿透性的场组合理论诠释：低能量密度弥漫态的弱散射机制</w:t>
      </w:r>
    </w:p>
    <w:p w14:paraId="66E7259D">
      <w:pPr>
        <w:pStyle w:val="3"/>
      </w:pPr>
      <w:r>
        <w:rPr>
          <w:rFonts w:hint="eastAsia"/>
          <w:b/>
          <w:bCs/>
        </w:rPr>
        <w:t>作者：</w:t>
      </w:r>
      <w:r>
        <w:t xml:space="preserve"> </w:t>
      </w:r>
      <w:r>
        <w:rPr>
          <w:rFonts w:hint="eastAsia"/>
        </w:rPr>
        <w:t>李志军，赵光耀</w:t>
      </w:r>
    </w:p>
    <w:p w14:paraId="50459F84">
      <w:pPr>
        <w:pStyle w:val="3"/>
      </w:pPr>
      <w:r>
        <w:rPr>
          <w:rFonts w:hint="eastAsia"/>
          <w:b/>
          <w:bCs/>
        </w:rPr>
        <w:t>摘要：</w:t>
      </w:r>
      <w:r>
        <w:br w:type="textWrapping"/>
      </w:r>
      <w:r>
        <w:rPr>
          <w:rFonts w:hint="eastAsia"/>
        </w:rPr>
        <w:t>本文基于李志军ABC场组合理论，对中微子的超强穿透性提出全新理论诠释。核心论点为：中微子的穿透性并非源于其”体积微小”，而是由于其作为低能量密度弥漫态，与物质相互作用时散射矩阵元极其微小所致。</w:t>
      </w:r>
      <w:r>
        <w:t xml:space="preserve"> </w:t>
      </w:r>
      <w:r>
        <w:rPr>
          <w:rFonts w:hint="eastAsia"/>
        </w:rPr>
        <w:t>中微子场组合态的能量密度分布函数</w:t>
      </w:r>
      <m:oMath>
        <m:sSub>
          <m:sSubPr/>
          <m:e>
            <m:r>
              <m:rPr/>
              <m:t>ρ</m:t>
            </m:r>
          </m:e>
          <m:sub>
            <m:r>
              <m:rPr/>
              <m:t>E</m:t>
            </m:r>
          </m:sub>
        </m:sSub>
        <m:r>
          <m:rPr>
            <m:sty m:val="p"/>
          </m:rPr>
          <m:t>(</m:t>
        </m:r>
        <m:r>
          <m:rPr>
            <m:sty m:val="b"/>
          </m:rPr>
          <m:t>x</m:t>
        </m:r>
        <m:r>
          <m:rPr>
            <m:sty m:val="p"/>
          </m:rPr>
          <m:t>)</m:t>
        </m:r>
      </m:oMath>
      <w:r>
        <w:rPr>
          <w:rFonts w:hint="eastAsia"/>
        </w:rPr>
        <w:t>在空间高度分散，导致其与原子核局域态发生相互作用时，耦合矩阵元</w:t>
      </w:r>
      <m:oMath>
        <m:r>
          <m:rPr>
            <m:sty m:val="p"/>
          </m:rPr>
          <m:t>⟨</m:t>
        </m:r>
        <m:sSub>
          <m:sSubPr/>
          <m:e>
            <m:r>
              <m:rPr/>
              <m:t>ν</m:t>
            </m:r>
          </m:e>
          <m:sub>
            <m:r>
              <m:rPr/>
              <m:t>f</m:t>
            </m:r>
          </m:sub>
        </m:sSub>
        <m:r>
          <m:rPr>
            <m:sty m:val="p"/>
          </m:rPr>
          <m:t>⊗</m:t>
        </m:r>
        <m:sSub>
          <m:sSubPr/>
          <m:e>
            <m:r>
              <m:rPr/>
              <m:t>N</m:t>
            </m:r>
          </m:e>
          <m:sub>
            <m:r>
              <m:rPr/>
              <m:t>f</m:t>
            </m:r>
          </m:sub>
        </m:sSub>
        <m:sSub>
          <m:sSubPr/>
          <m:e>
            <m:r>
              <m:rPr>
                <m:sty m:val="p"/>
                <m:scr m:val="script"/>
              </m:rPr>
              <m:t>ℋ</m:t>
            </m:r>
          </m:e>
          <m:sub>
            <m:r>
              <m:rPr/>
              <m:t>W</m:t>
            </m:r>
          </m:sub>
        </m:sSub>
        <m:sSub>
          <m:sSubPr/>
          <m:e>
            <m:r>
              <m:rPr/>
              <m:t>ν</m:t>
            </m:r>
          </m:e>
          <m:sub>
            <m:r>
              <m:rPr/>
              <m:t>i</m:t>
            </m:r>
          </m:sub>
        </m:sSub>
        <m:r>
          <m:rPr>
            <m:sty m:val="p"/>
          </m:rPr>
          <m:t>⊗</m:t>
        </m:r>
        <m:sSub>
          <m:sSubPr/>
          <m:e>
            <m:r>
              <m:rPr/>
              <m:t>N</m:t>
            </m:r>
          </m:e>
          <m:sub>
            <m:r>
              <m:rPr/>
              <m:t>i</m:t>
            </m:r>
          </m:sub>
        </m:sSub>
        <m:r>
          <m:rPr>
            <m:sty m:val="p"/>
          </m:rPr>
          <m:t>⟩</m:t>
        </m:r>
      </m:oMath>
      <w:r>
        <w:rPr>
          <w:rFonts w:hint="eastAsia"/>
        </w:rPr>
        <w:t>的值趋近于零。本文通过构建中微子场组合态的量子波函数，计算其与原子核的散射截面，从第一性原理推导出中微子穿透概率的数学表达式，完美解释为何中微子能够几乎无阻碍地穿透整个行星。该理论为理解中微子与物质的微弱相互作用提供了深刻的物理图像和严谨的数学框架。</w:t>
      </w:r>
    </w:p>
    <w:p w14:paraId="79DBFBCE">
      <w:pPr>
        <w:pStyle w:val="3"/>
      </w:pPr>
      <w:r>
        <w:rPr>
          <w:rFonts w:hint="eastAsia"/>
          <w:b/>
          <w:bCs/>
        </w:rPr>
        <w:t>关键词：</w:t>
      </w:r>
      <w:r>
        <w:t xml:space="preserve"> </w:t>
      </w:r>
      <w:r>
        <w:rPr>
          <w:rFonts w:hint="eastAsia"/>
        </w:rPr>
        <w:t>ABC场论；中微子穿透；低能量密度弥漫态；散射矩阵元；弱相互作用；量子波函数</w:t>
      </w:r>
    </w:p>
    <w:p w14:paraId="71E6BE93">
      <w:pPr>
        <w:pStyle w:val="26"/>
        <w:numPr>
          <w:ilvl w:val="0"/>
          <w:numId w:val="1"/>
        </w:numPr>
        <w:rPr>
          <w:b/>
          <w:bCs/>
        </w:rPr>
      </w:pPr>
      <w:r>
        <w:rPr>
          <w:rFonts w:hint="eastAsia"/>
          <w:b/>
          <w:bCs/>
        </w:rPr>
        <w:t>引言</w:t>
      </w:r>
    </w:p>
    <w:p w14:paraId="412C9768">
      <w:pPr>
        <w:pStyle w:val="4"/>
      </w:pPr>
      <w:r>
        <w:rPr>
          <w:rFonts w:hint="eastAsia"/>
        </w:rPr>
        <w:t>中微子能够轻松穿透地球等宏观物体的特性，一直是量子物理学中令人费解的现象。传统解释往往将其归因于中微子的”体积微小”，但这种经典比喻无法满足现代量子场论的要求。本文基于李志军ABC场组合理论，提出中微子的穿透性源于其特殊的量子态性质：低能量密度弥漫态。这种态的空间延展范围极大，但能量密度极低，导致与物质的相互作用概率微乎其微。</w:t>
      </w:r>
    </w:p>
    <w:p w14:paraId="7A593574">
      <w:pPr>
        <w:pStyle w:val="26"/>
        <w:numPr>
          <w:ilvl w:val="0"/>
          <w:numId w:val="2"/>
        </w:numPr>
      </w:pPr>
      <w:r>
        <w:rPr>
          <w:rFonts w:hint="eastAsia"/>
          <w:b/>
          <w:bCs/>
        </w:rPr>
        <w:t>中微子的场组合态表述</w:t>
      </w:r>
    </w:p>
    <w:p w14:paraId="631C47B4">
      <w:pPr>
        <w:pStyle w:val="4"/>
      </w:pPr>
      <w:r>
        <w:rPr>
          <w:rFonts w:hint="eastAsia"/>
        </w:rPr>
        <w:t>在ABC场组合理论中，中微子可表述为：</w:t>
      </w:r>
    </w:p>
    <w:p w14:paraId="5A8BD300">
      <w:pPr>
        <w:pStyle w:val="3"/>
      </w:pPr>
      <m:oMathPara>
        <m:oMathParaPr>
          <m:jc m:val="center"/>
        </m:oMathParaPr>
        <m:oMath>
          <m:r>
            <m:rPr>
              <m:sty m:val="p"/>
            </m:rPr>
            <m:t>|</m:t>
          </m:r>
          <m:r>
            <m:rPr/>
            <m:t>ν</m:t>
          </m:r>
          <m:r>
            <m:rPr>
              <m:sty m:val="p"/>
            </m:rPr>
            <m:t>⟩=</m:t>
          </m:r>
          <m:sSub>
            <m:sSubPr/>
            <m:e>
              <m:r>
                <m:rPr>
                  <m:sty m:val="b"/>
                </m:rPr>
                <m:t>A</m:t>
              </m:r>
            </m:e>
            <m:sub>
              <m:r>
                <m:rPr/>
                <m:t>ν</m:t>
              </m:r>
            </m:sub>
          </m:sSub>
          <m:r>
            <m:rPr>
              <m:sty m:val="p"/>
            </m:rPr>
            <m:t>⊗</m:t>
          </m:r>
          <m:sSub>
            <m:sSubPr/>
            <m:e>
              <m:r>
                <m:rPr>
                  <m:sty m:val="b"/>
                </m:rPr>
                <m:t>B</m:t>
              </m:r>
            </m:e>
            <m:sub>
              <m:r>
                <m:rPr/>
                <m:t>ν</m:t>
              </m:r>
            </m:sub>
          </m:sSub>
          <m:r>
            <m:rPr>
              <m:sty m:val="p"/>
            </m:rPr>
            <m:t>⊗</m:t>
          </m:r>
          <m:sSub>
            <m:sSubPr/>
            <m:e>
              <m:r>
                <m:rPr>
                  <m:sty m:val="b"/>
                </m:rPr>
                <m:t>C</m:t>
              </m:r>
            </m:e>
            <m:sub>
              <m:r>
                <m:rPr/>
                <m:t>ν</m:t>
              </m:r>
            </m:sub>
          </m:sSub>
        </m:oMath>
      </m:oMathPara>
    </w:p>
    <w:p w14:paraId="1539F22E">
      <w:pPr>
        <w:pStyle w:val="4"/>
      </w:pPr>
      <w:r>
        <w:rPr>
          <w:rFonts w:hint="eastAsia"/>
        </w:rPr>
        <w:t>其中：</w:t>
      </w:r>
      <w:r>
        <w:br w:type="textWrapping"/>
      </w:r>
      <w:r>
        <w:t xml:space="preserve">* </w:t>
      </w:r>
      <m:oMath>
        <m:sSub>
          <m:sSubPr/>
          <m:e>
            <m:r>
              <m:rPr>
                <m:sty m:val="b"/>
              </m:rPr>
              <m:t>A</m:t>
            </m:r>
          </m:e>
          <m:sub>
            <m:r>
              <m:rPr/>
              <m:t>ν</m:t>
            </m:r>
          </m:sub>
        </m:sSub>
      </m:oMath>
      <w:r>
        <w:rPr>
          <w:rFonts w:hint="eastAsia"/>
        </w:rPr>
        <w:t>：表征中微子的手征性和弱荷属性</w:t>
      </w:r>
      <w:r>
        <w:br w:type="textWrapping"/>
      </w:r>
      <w:r>
        <w:t xml:space="preserve">* </w:t>
      </w:r>
      <m:oMath>
        <m:sSub>
          <m:sSubPr/>
          <m:e>
            <m:r>
              <m:rPr>
                <m:sty m:val="b"/>
              </m:rPr>
              <m:t>B</m:t>
            </m:r>
          </m:e>
          <m:sub>
            <m:r>
              <m:rPr/>
              <m:t>ν</m:t>
            </m:r>
          </m:sub>
        </m:sSub>
      </m:oMath>
      <w:r>
        <w:rPr>
          <w:rFonts w:hint="eastAsia"/>
        </w:rPr>
        <w:t>：色单态，保证不参与强相互作用</w:t>
      </w:r>
      <w:r>
        <w:br w:type="textWrapping"/>
      </w:r>
      <w:r>
        <w:t xml:space="preserve">* </w:t>
      </w:r>
      <m:oMath>
        <m:sSub>
          <m:sSubPr/>
          <m:e>
            <m:r>
              <m:rPr>
                <m:sty m:val="b"/>
              </m:rPr>
              <m:t>C</m:t>
            </m:r>
          </m:e>
          <m:sub>
            <m:r>
              <m:rPr/>
              <m:t>ν</m:t>
            </m:r>
          </m:sub>
        </m:sSub>
      </m:oMath>
      <w:r>
        <w:rPr>
          <w:rFonts w:hint="eastAsia"/>
        </w:rPr>
        <w:t>：与希格斯场的微弱耦合，赋予其极小质量</w:t>
      </w:r>
    </w:p>
    <w:p w14:paraId="4A5EDE77">
      <w:pPr>
        <w:pStyle w:val="3"/>
      </w:pPr>
      <w:r>
        <w:rPr>
          <w:rFonts w:hint="eastAsia"/>
        </w:rPr>
        <w:t>中微子的量子波函数可写为：</w:t>
      </w:r>
    </w:p>
    <w:p w14:paraId="455F6768">
      <w:pPr>
        <w:pStyle w:val="3"/>
      </w:pPr>
      <m:oMathPara>
        <m:oMathParaPr>
          <m:jc m:val="center"/>
        </m:oMathParaPr>
        <m:oMath>
          <m:sSub>
            <m:sSubPr/>
            <m:e>
              <m:r>
                <m:rPr/>
                <m:t>ψ</m:t>
              </m:r>
            </m:e>
            <m:sub>
              <m:r>
                <m:rPr/>
                <m:t>ν</m:t>
              </m:r>
            </m:sub>
          </m:sSub>
          <m:r>
            <m:rPr>
              <m:sty m:val="p"/>
            </m:rPr>
            <m:t>(</m:t>
          </m:r>
          <m:r>
            <m:rPr>
              <m:sty m:val="b"/>
            </m:rPr>
            <m:t>x</m:t>
          </m:r>
          <m:r>
            <m:rPr>
              <m:sty m:val="p"/>
            </m:rPr>
            <m:t>)=</m:t>
          </m:r>
          <m:f>
            <m:fPr/>
            <m:num>
              <m:r>
                <m:rPr/>
                <m:t>1</m:t>
              </m:r>
            </m:num>
            <m:den>
              <m:rad>
                <m:radPr>
                  <m:degHide m:val="1"/>
                </m:radPr>
                <m:deg/>
                <m:e>
                  <m:r>
                    <m:rPr/>
                    <m:t>V</m:t>
                  </m:r>
                </m:e>
              </m:rad>
            </m:den>
          </m:f>
          <m:sSup>
            <m:sSupPr/>
            <m:e>
              <m:r>
                <m:rPr/>
                <m:t>e</m:t>
              </m:r>
            </m:e>
            <m:sup>
              <m:r>
                <m:rPr/>
                <m:t>i</m:t>
              </m:r>
              <m:r>
                <m:rPr>
                  <m:sty m:val="b"/>
                </m:rPr>
                <m:t>p</m:t>
              </m:r>
              <m:r>
                <m:rPr>
                  <m:sty m:val="p"/>
                </m:rPr>
                <m:t>⋅</m:t>
              </m:r>
              <m:r>
                <m:rPr>
                  <m:sty m:val="b"/>
                </m:rPr>
                <m:t>x</m:t>
              </m:r>
              <m:r>
                <m:rPr>
                  <m:sty m:val="p"/>
                </m:rPr>
                <m:t>/ℏ</m:t>
              </m:r>
            </m:sup>
          </m:sSup>
        </m:oMath>
      </m:oMathPara>
      <w:r>
        <w:br w:type="textWrapping"/>
      </w:r>
      <w:r>
        <w:rPr>
          <w:rFonts w:hint="eastAsia"/>
        </w:rPr>
        <w:t>其中</w:t>
      </w:r>
      <m:oMath>
        <m:r>
          <m:rPr/>
          <m:t>V</m:t>
        </m:r>
      </m:oMath>
      <w:r>
        <w:rPr>
          <w:rFonts w:hint="eastAsia"/>
        </w:rPr>
        <w:t>是归一化体积，反映了波函数在空间中的弥散特性。</w:t>
      </w:r>
    </w:p>
    <w:p w14:paraId="57DD71A2">
      <w:pPr>
        <w:pStyle w:val="26"/>
        <w:numPr>
          <w:ilvl w:val="0"/>
          <w:numId w:val="3"/>
        </w:numPr>
        <w:rPr>
          <w:b/>
          <w:bCs/>
        </w:rPr>
      </w:pPr>
      <w:r>
        <w:rPr>
          <w:rFonts w:hint="eastAsia"/>
          <w:b/>
          <w:bCs/>
        </w:rPr>
        <w:t>能量密度分布与弥漫态特性</w:t>
      </w:r>
    </w:p>
    <w:p w14:paraId="0D85FD76">
      <w:pPr>
        <w:pStyle w:val="4"/>
      </w:pPr>
      <w:r>
        <w:rPr>
          <w:rFonts w:hint="eastAsia"/>
        </w:rPr>
        <w:t>中微子的能量密度分布函数为：</w:t>
      </w:r>
    </w:p>
    <w:p w14:paraId="0A750B5E">
      <w:pPr>
        <w:pStyle w:val="3"/>
      </w:pPr>
      <m:oMathPara>
        <m:oMathParaPr>
          <m:jc m:val="center"/>
        </m:oMathParaPr>
        <m:oMath>
          <m:sSub>
            <m:sSubPr/>
            <m:e>
              <m:r>
                <m:rPr/>
                <m:t>ρ</m:t>
              </m:r>
            </m:e>
            <m:sub>
              <m:r>
                <m:rPr/>
                <m:t>E</m:t>
              </m:r>
            </m:sub>
          </m:sSub>
          <m:r>
            <m:rPr>
              <m:sty m:val="p"/>
            </m:rPr>
            <m:t>(</m:t>
          </m:r>
          <m:r>
            <m:rPr>
              <m:sty m:val="b"/>
            </m:rPr>
            <m:t>x</m:t>
          </m:r>
          <m:r>
            <m:rPr>
              <m:sty m:val="p"/>
            </m:rPr>
            <m:t>)=|</m:t>
          </m:r>
          <m:sSub>
            <m:sSubPr/>
            <m:e>
              <m:r>
                <m:rPr/>
                <m:t>ψ</m:t>
              </m:r>
            </m:e>
            <m:sub>
              <m:r>
                <m:rPr/>
                <m:t>ν</m:t>
              </m:r>
            </m:sub>
          </m:sSub>
          <m:r>
            <m:rPr>
              <m:sty m:val="p"/>
            </m:rPr>
            <m:t>(</m:t>
          </m:r>
          <m:r>
            <m:rPr>
              <m:sty m:val="b"/>
            </m:rPr>
            <m:t>x</m:t>
          </m:r>
          <m:r>
            <m:rPr>
              <m:sty m:val="p"/>
            </m:rPr>
            <m:t>)</m:t>
          </m:r>
          <m:sSup>
            <m:sSupPr/>
            <m:e>
              <m:r>
                <m:rPr>
                  <m:sty m:val="p"/>
                </m:rPr>
                <m:t>|</m:t>
              </m:r>
            </m:e>
            <m:sup>
              <m:r>
                <m:rPr/>
                <m:t>2</m:t>
              </m:r>
            </m:sup>
          </m:sSup>
          <m:r>
            <m:rPr>
              <m:sty m:val="p"/>
            </m:rPr>
            <m:t>⋅</m:t>
          </m:r>
          <m:sSub>
            <m:sSubPr/>
            <m:e>
              <m:r>
                <m:rPr/>
                <m:t>E</m:t>
              </m:r>
            </m:e>
            <m:sub>
              <m:r>
                <m:rPr/>
                <m:t>ν</m:t>
              </m:r>
            </m:sub>
          </m:sSub>
          <m:r>
            <m:rPr>
              <m:sty m:val="p"/>
            </m:rPr>
            <m:t>=</m:t>
          </m:r>
          <m:f>
            <m:fPr/>
            <m:num>
              <m:r>
                <m:rPr/>
                <m:t>1</m:t>
              </m:r>
            </m:num>
            <m:den>
              <m:r>
                <m:rPr/>
                <m:t>V</m:t>
              </m:r>
            </m:den>
          </m:f>
          <m:sSub>
            <m:sSubPr/>
            <m:e>
              <m:r>
                <m:rPr/>
                <m:t>m</m:t>
              </m:r>
            </m:e>
            <m:sub>
              <m:r>
                <m:rPr/>
                <m:t>ν</m:t>
              </m:r>
            </m:sub>
          </m:sSub>
          <m:sSup>
            <m:sSupPr/>
            <m:e>
              <m:r>
                <m:rPr/>
                <m:t>c</m:t>
              </m:r>
            </m:e>
            <m:sup>
              <m:r>
                <m:rPr/>
                <m:t>2</m:t>
              </m:r>
            </m:sup>
          </m:sSup>
        </m:oMath>
      </m:oMathPara>
    </w:p>
    <w:p w14:paraId="1E820D36">
      <w:pPr>
        <w:pStyle w:val="4"/>
      </w:pPr>
      <w:r>
        <w:rPr>
          <w:rFonts w:hint="eastAsia"/>
        </w:rPr>
        <w:t>由于中微子质量极小（</w:t>
      </w:r>
      <m:oMath>
        <m:sSub>
          <m:sSubPr/>
          <m:e>
            <m:r>
              <m:rPr/>
              <m:t>m</m:t>
            </m:r>
          </m:e>
          <m:sub>
            <m:r>
              <m:rPr/>
              <m:t>ν</m:t>
            </m:r>
          </m:sub>
        </m:sSub>
        <m:r>
          <m:rPr>
            <m:sty m:val="p"/>
          </m:rPr>
          <m:t>&lt;</m:t>
        </m:r>
        <m:r>
          <m:rPr/>
          <m:t>1</m:t>
        </m:r>
        <m:sSup>
          <m:sSupPr/>
          <m:e>
            <m:r>
              <m:rPr>
                <m:sty m:val="p"/>
              </m:rPr>
              <m:t>eV/c</m:t>
            </m:r>
          </m:e>
          <m:sup>
            <m:r>
              <m:rPr/>
              <m:t>2</m:t>
            </m:r>
          </m:sup>
        </m:sSup>
      </m:oMath>
      <w:r>
        <w:rPr>
          <w:rFonts w:hint="eastAsia"/>
        </w:rPr>
        <w:t>），且波函数在巨大空间范围内弥散（</w:t>
      </w:r>
      <m:oMath>
        <m:r>
          <m:rPr/>
          <m:t>V</m:t>
        </m:r>
        <m:r>
          <m:rPr>
            <m:sty m:val="p"/>
          </m:rPr>
          <m:t>→∞</m:t>
        </m:r>
      </m:oMath>
      <w:r>
        <w:rPr>
          <w:rFonts w:hint="eastAsia"/>
        </w:rPr>
        <w:t>），其能量密度</w:t>
      </w:r>
      <m:oMath>
        <m:sSub>
          <m:sSubPr/>
          <m:e>
            <m:r>
              <m:rPr/>
              <m:t>ρ</m:t>
            </m:r>
          </m:e>
          <m:sub>
            <m:r>
              <m:rPr/>
              <m:t>E</m:t>
            </m:r>
          </m:sub>
        </m:sSub>
        <m:r>
          <m:rPr>
            <m:sty m:val="p"/>
          </m:rPr>
          <m:t>(</m:t>
        </m:r>
        <m:r>
          <m:rPr>
            <m:sty m:val="b"/>
          </m:rPr>
          <m:t>x</m:t>
        </m:r>
        <m:r>
          <m:rPr>
            <m:sty m:val="p"/>
          </m:rPr>
          <m:t>)</m:t>
        </m:r>
      </m:oMath>
      <w:r>
        <w:rPr>
          <w:rFonts w:hint="eastAsia"/>
        </w:rPr>
        <w:t>趋近于零。这就是低能量密度弥漫态的物理本质。</w:t>
      </w:r>
    </w:p>
    <w:p w14:paraId="3BE6ACA3">
      <w:pPr>
        <w:pStyle w:val="26"/>
        <w:numPr>
          <w:ilvl w:val="0"/>
          <w:numId w:val="4"/>
        </w:numPr>
      </w:pPr>
      <w:r>
        <w:rPr>
          <w:rFonts w:hint="eastAsia"/>
          <w:b/>
          <w:bCs/>
        </w:rPr>
        <w:t>散射矩阵元与穿透性机制</w:t>
      </w:r>
    </w:p>
    <w:p w14:paraId="5A574FD1">
      <w:pPr>
        <w:pStyle w:val="4"/>
      </w:pPr>
      <w:r>
        <w:rPr>
          <w:rFonts w:hint="eastAsia"/>
        </w:rPr>
        <w:t>中微子与原子核的相互作用通过弱力进行，散射概率由矩阵元决定：</w:t>
      </w:r>
    </w:p>
    <w:p w14:paraId="6D129DB8">
      <w:pPr>
        <w:pStyle w:val="3"/>
      </w:pPr>
      <m:oMathPara>
        <m:oMathParaPr>
          <m:jc m:val="center"/>
        </m:oMathParaPr>
        <m:oMath>
          <m:r>
            <m:rPr>
              <m:sty m:val="p"/>
              <m:scr m:val="script"/>
            </m:rPr>
            <m:t>ℳ</m:t>
          </m:r>
          <m:r>
            <m:rPr>
              <m:sty m:val="p"/>
            </m:rPr>
            <m:t>=⟨</m:t>
          </m:r>
          <m:sSub>
            <m:sSubPr/>
            <m:e>
              <m:r>
                <m:rPr/>
                <m:t>ν</m:t>
              </m:r>
            </m:e>
            <m:sub>
              <m:r>
                <m:rPr/>
                <m:t>f</m:t>
              </m:r>
            </m:sub>
          </m:sSub>
          <m:r>
            <m:rPr>
              <m:sty m:val="p"/>
            </m:rPr>
            <m:t>⊗</m:t>
          </m:r>
          <m:sSub>
            <m:sSubPr/>
            <m:e>
              <m:r>
                <m:rPr/>
                <m:t>N</m:t>
              </m:r>
            </m:e>
            <m:sub>
              <m:r>
                <m:rPr/>
                <m:t>f</m:t>
              </m:r>
            </m:sub>
          </m:sSub>
          <m:sSub>
            <m:sSubPr/>
            <m:e>
              <m:r>
                <m:rPr>
                  <m:sty m:val="p"/>
                  <m:scr m:val="script"/>
                </m:rPr>
                <m:t>ℋ</m:t>
              </m:r>
            </m:e>
            <m:sub>
              <m:r>
                <m:rPr/>
                <m:t>W</m:t>
              </m:r>
            </m:sub>
          </m:sSub>
          <m:sSub>
            <m:sSubPr/>
            <m:e>
              <m:r>
                <m:rPr/>
                <m:t>ν</m:t>
              </m:r>
            </m:e>
            <m:sub>
              <m:r>
                <m:rPr/>
                <m:t>i</m:t>
              </m:r>
            </m:sub>
          </m:sSub>
          <m:r>
            <m:rPr>
              <m:sty m:val="p"/>
            </m:rPr>
            <m:t>⊗</m:t>
          </m:r>
          <m:sSub>
            <m:sSubPr/>
            <m:e>
              <m:r>
                <m:rPr/>
                <m:t>N</m:t>
              </m:r>
            </m:e>
            <m:sub>
              <m:r>
                <m:rPr/>
                <m:t>i</m:t>
              </m:r>
            </m:sub>
          </m:sSub>
          <m:r>
            <m:rPr>
              <m:sty m:val="p"/>
            </m:rPr>
            <m:t>⟩</m:t>
          </m:r>
        </m:oMath>
      </m:oMathPara>
    </w:p>
    <w:p w14:paraId="00F6F8A2">
      <w:pPr>
        <w:pStyle w:val="4"/>
      </w:pPr>
      <w:r>
        <w:rPr>
          <w:rFonts w:hint="eastAsia"/>
        </w:rPr>
        <w:t>将波函数展开：</w:t>
      </w:r>
    </w:p>
    <w:p w14:paraId="53D89C41">
      <w:pPr>
        <w:pStyle w:val="3"/>
      </w:pPr>
      <m:oMathPara>
        <m:oMathParaPr>
          <m:jc m:val="center"/>
        </m:oMathParaPr>
        <m:oMath>
          <m:r>
            <m:rPr>
              <m:sty m:val="p"/>
              <m:scr m:val="script"/>
            </m:rPr>
            <m:t>ℳ</m:t>
          </m:r>
          <m:r>
            <m:rPr>
              <m:sty m:val="p"/>
            </m:rPr>
            <m:t>=∫</m:t>
          </m:r>
          <m:sSup>
            <m:sSupPr/>
            <m:e>
              <m:r>
                <m:rPr/>
                <m:t>d</m:t>
              </m:r>
            </m:e>
            <m:sup>
              <m:r>
                <m:rPr/>
                <m:t>3</m:t>
              </m:r>
            </m:sup>
          </m:sSup>
          <m:r>
            <m:rPr/>
            <m:t>x </m:t>
          </m:r>
          <m:sSubSup>
            <m:sSubSupPr/>
            <m:e>
              <m:r>
                <m:rPr/>
                <m:t>ψ</m:t>
              </m:r>
            </m:e>
            <m:sub>
              <m:sSub>
                <m:sSubPr/>
                <m:e>
                  <m:r>
                    <m:rPr/>
                    <m:t>ν</m:t>
                  </m:r>
                </m:e>
                <m:sub>
                  <m:r>
                    <m:rPr/>
                    <m:t>f</m:t>
                  </m:r>
                </m:sub>
              </m:sSub>
            </m:sub>
            <m:sup>
              <m:r>
                <m:rPr>
                  <m:sty m:val="p"/>
                </m:rPr>
                <m:t>∗</m:t>
              </m:r>
            </m:sup>
          </m:sSubSup>
          <m:r>
            <m:rPr>
              <m:sty m:val="p"/>
            </m:rPr>
            <m:t>(</m:t>
          </m:r>
          <m:r>
            <m:rPr>
              <m:sty m:val="b"/>
            </m:rPr>
            <m:t>x</m:t>
          </m:r>
          <m:r>
            <m:rPr>
              <m:sty m:val="p"/>
            </m:rPr>
            <m:t>)</m:t>
          </m:r>
          <m:sSub>
            <m:sSubPr/>
            <m:e>
              <m:r>
                <m:rPr/>
                <m:t>ψ</m:t>
              </m:r>
            </m:e>
            <m:sub>
              <m:sSub>
                <m:sSubPr/>
                <m:e>
                  <m:r>
                    <m:rPr/>
                    <m:t>ν</m:t>
                  </m:r>
                </m:e>
                <m:sub>
                  <m:r>
                    <m:rPr/>
                    <m:t>i</m:t>
                  </m:r>
                </m:sub>
              </m:sSub>
            </m:sub>
          </m:sSub>
          <m:r>
            <m:rPr>
              <m:sty m:val="p"/>
            </m:rPr>
            <m:t>(</m:t>
          </m:r>
          <m:r>
            <m:rPr>
              <m:sty m:val="b"/>
            </m:rPr>
            <m:t>x</m:t>
          </m:r>
          <m:r>
            <m:rPr>
              <m:sty m:val="p"/>
            </m:rPr>
            <m:t>)⟨</m:t>
          </m:r>
          <m:sSub>
            <m:sSubPr/>
            <m:e>
              <m:r>
                <m:rPr/>
                <m:t>N</m:t>
              </m:r>
            </m:e>
            <m:sub>
              <m:r>
                <m:rPr/>
                <m:t>f</m:t>
              </m:r>
            </m:sub>
          </m:sSub>
          <m:sSub>
            <m:sSubPr/>
            <m:e>
              <m:r>
                <m:rPr>
                  <m:sty m:val="p"/>
                  <m:scr m:val="script"/>
                </m:rPr>
                <m:t>ℋ</m:t>
              </m:r>
            </m:e>
            <m:sub>
              <m:r>
                <m:rPr/>
                <m:t>W</m:t>
              </m:r>
            </m:sub>
          </m:sSub>
          <m:r>
            <m:rPr>
              <m:sty m:val="p"/>
            </m:rPr>
            <m:t>(</m:t>
          </m:r>
          <m:r>
            <m:rPr>
              <m:sty m:val="b"/>
            </m:rPr>
            <m:t>x</m:t>
          </m:r>
          <m:r>
            <m:rPr>
              <m:sty m:val="p"/>
            </m:rPr>
            <m:t>)</m:t>
          </m:r>
          <m:sSub>
            <m:sSubPr/>
            <m:e>
              <m:r>
                <m:rPr/>
                <m:t>N</m:t>
              </m:r>
            </m:e>
            <m:sub>
              <m:r>
                <m:rPr/>
                <m:t>i</m:t>
              </m:r>
            </m:sub>
          </m:sSub>
          <m:r>
            <m:rPr>
              <m:sty m:val="p"/>
            </m:rPr>
            <m:t>⟩</m:t>
          </m:r>
        </m:oMath>
      </m:oMathPara>
    </w:p>
    <w:p w14:paraId="47B30ECC">
      <w:pPr>
        <w:pStyle w:val="4"/>
      </w:pPr>
      <w:r>
        <w:rPr>
          <w:rFonts w:hint="eastAsia"/>
        </w:rPr>
        <w:t>由于中微子波函数在原子核尺度内近似为常数：</w:t>
      </w:r>
    </w:p>
    <w:p w14:paraId="6F64F478">
      <w:pPr>
        <w:pStyle w:val="3"/>
      </w:pPr>
      <m:oMathPara>
        <m:oMathParaPr>
          <m:jc m:val="center"/>
        </m:oMathParaPr>
        <m:oMath>
          <m:r>
            <m:rPr>
              <m:sty m:val="p"/>
              <m:scr m:val="script"/>
            </m:rPr>
            <m:t>ℳ</m:t>
          </m:r>
          <m:r>
            <m:rPr>
              <m:sty m:val="p"/>
            </m:rPr>
            <m:t>≈</m:t>
          </m:r>
          <m:f>
            <m:fPr/>
            <m:num>
              <m:r>
                <m:rPr/>
                <m:t>1</m:t>
              </m:r>
            </m:num>
            <m:den>
              <m:r>
                <m:rPr/>
                <m:t>V</m:t>
              </m:r>
            </m:den>
          </m:f>
          <m:nary>
            <m:naryPr>
              <m:limLoc m:val="subSup"/>
              <m:supHide m:val="1"/>
            </m:naryPr>
            <m:sub>
              <m:r>
                <m:rPr>
                  <m:sty m:val="p"/>
                </m:rPr>
                <m:t>nucleus</m:t>
              </m:r>
            </m:sub>
            <m:sup>
              <m:r>
                <m:rPr/>
                <m:t>​</m:t>
              </m:r>
            </m:sup>
            <m:e>
              <m:sSup>
                <m:sSupPr/>
                <m:e>
                  <m:r>
                    <m:rPr/>
                    <m:t>d</m:t>
                  </m:r>
                </m:e>
                <m:sup>
                  <m:r>
                    <m:rPr/>
                    <m:t>3</m:t>
                  </m:r>
                </m:sup>
              </m:sSup>
            </m:e>
          </m:nary>
          <m:r>
            <m:rPr/>
            <m:t>x </m:t>
          </m:r>
          <m:r>
            <m:rPr>
              <m:sty m:val="p"/>
            </m:rPr>
            <m:t>⟨</m:t>
          </m:r>
          <m:sSub>
            <m:sSubPr/>
            <m:e>
              <m:r>
                <m:rPr/>
                <m:t>N</m:t>
              </m:r>
            </m:e>
            <m:sub>
              <m:r>
                <m:rPr/>
                <m:t>f</m:t>
              </m:r>
            </m:sub>
          </m:sSub>
          <m:sSub>
            <m:sSubPr/>
            <m:e>
              <m:r>
                <m:rPr>
                  <m:sty m:val="p"/>
                  <m:scr m:val="script"/>
                </m:rPr>
                <m:t>ℋ</m:t>
              </m:r>
            </m:e>
            <m:sub>
              <m:r>
                <m:rPr/>
                <m:t>W</m:t>
              </m:r>
            </m:sub>
          </m:sSub>
          <m:r>
            <m:rPr>
              <m:sty m:val="p"/>
            </m:rPr>
            <m:t>(</m:t>
          </m:r>
          <m:r>
            <m:rPr>
              <m:sty m:val="b"/>
            </m:rPr>
            <m:t>x</m:t>
          </m:r>
          <m:r>
            <m:rPr>
              <m:sty m:val="p"/>
            </m:rPr>
            <m:t>)</m:t>
          </m:r>
          <m:sSub>
            <m:sSubPr/>
            <m:e>
              <m:r>
                <m:rPr/>
                <m:t>N</m:t>
              </m:r>
            </m:e>
            <m:sub>
              <m:r>
                <m:rPr/>
                <m:t>i</m:t>
              </m:r>
            </m:sub>
          </m:sSub>
          <m:r>
            <m:rPr>
              <m:sty m:val="p"/>
            </m:rPr>
            <m:t>⟩</m:t>
          </m:r>
        </m:oMath>
      </m:oMathPara>
    </w:p>
    <w:p w14:paraId="5CBDFD57">
      <w:pPr>
        <w:pStyle w:val="4"/>
      </w:pPr>
      <w:r>
        <w:rPr>
          <w:rFonts w:hint="eastAsia"/>
        </w:rPr>
        <w:t>弱相互作用哈密顿量</w:t>
      </w:r>
      <m:oMath>
        <m:sSub>
          <m:sSubPr/>
          <m:e>
            <m:r>
              <m:rPr>
                <m:sty m:val="p"/>
                <m:scr m:val="script"/>
              </m:rPr>
              <m:t>ℋ</m:t>
            </m:r>
          </m:e>
          <m:sub>
            <m:r>
              <m:rPr/>
              <m:t>W</m:t>
            </m:r>
          </m:sub>
        </m:sSub>
        <m:r>
          <m:rPr>
            <m:sty m:val="p"/>
          </m:rPr>
          <m:t>(</m:t>
        </m:r>
        <m:r>
          <m:rPr>
            <m:sty m:val="b"/>
          </m:rPr>
          <m:t>x</m:t>
        </m:r>
        <m:r>
          <m:rPr>
            <m:sty m:val="p"/>
          </m:rPr>
          <m:t>)</m:t>
        </m:r>
      </m:oMath>
      <w:r>
        <w:rPr>
          <w:rFonts w:hint="eastAsia"/>
        </w:rPr>
        <w:t>是短程力，仅在原子核内部（</w:t>
      </w:r>
      <m:oMath>
        <m:r>
          <m:rPr/>
          <m:t>r</m:t>
        </m:r>
        <m:r>
          <m:rPr>
            <m:sty m:val="p"/>
          </m:rPr>
          <m:t>∼</m:t>
        </m:r>
        <m:sSup>
          <m:sSupPr/>
          <m:e>
            <m:r>
              <m:rPr/>
              <m:t>10</m:t>
            </m:r>
          </m:e>
          <m:sup>
            <m:r>
              <m:rPr>
                <m:sty m:val="p"/>
              </m:rPr>
              <m:t>−</m:t>
            </m:r>
            <m:r>
              <m:rPr/>
              <m:t>15</m:t>
            </m:r>
          </m:sup>
        </m:sSup>
        <m:r>
          <m:rPr>
            <m:sty m:val="p"/>
          </m:rPr>
          <m:t>m</m:t>
        </m:r>
      </m:oMath>
      <w:r>
        <w:rPr>
          <w:rFonts w:hint="eastAsia"/>
        </w:rPr>
        <w:t>）显著不为零。因此积分区域极小：</w:t>
      </w:r>
    </w:p>
    <w:p w14:paraId="686DB1E8">
      <w:pPr>
        <w:pStyle w:val="3"/>
      </w:pPr>
      <m:oMathPara>
        <m:oMathParaPr>
          <m:jc m:val="center"/>
        </m:oMathParaPr>
        <m:oMath>
          <m:r>
            <m:rPr>
              <m:sty m:val="p"/>
              <m:scr m:val="script"/>
            </m:rPr>
            <m:t>ℳ</m:t>
          </m:r>
          <m:r>
            <m:rPr>
              <m:sty m:val="p"/>
            </m:rPr>
            <m:t>∼</m:t>
          </m:r>
          <m:f>
            <m:fPr/>
            <m:num>
              <m:r>
                <m:rPr/>
                <m:t>1</m:t>
              </m:r>
            </m:num>
            <m:den>
              <m:r>
                <m:rPr/>
                <m:t>V</m:t>
              </m:r>
            </m:den>
          </m:f>
          <m:r>
            <m:rPr>
              <m:sty m:val="p"/>
            </m:rPr>
            <m:t>⋅</m:t>
          </m:r>
          <m:sSub>
            <m:sSubPr/>
            <m:e>
              <m:r>
                <m:rPr/>
                <m:t>V</m:t>
              </m:r>
            </m:e>
            <m:sub>
              <m:r>
                <m:rPr>
                  <m:sty m:val="p"/>
                </m:rPr>
                <m:t>nucleus</m:t>
              </m:r>
            </m:sub>
          </m:sSub>
          <m:r>
            <m:rPr>
              <m:sty m:val="p"/>
            </m:rPr>
            <m:t>⋅⟨</m:t>
          </m:r>
          <m:sSub>
            <m:sSubPr/>
            <m:e>
              <m:r>
                <m:rPr>
                  <m:sty m:val="p"/>
                  <m:scr m:val="script"/>
                </m:rPr>
                <m:t>ℋ</m:t>
              </m:r>
            </m:e>
            <m:sub>
              <m:r>
                <m:rPr/>
                <m:t>W</m:t>
              </m:r>
            </m:sub>
          </m:sSub>
          <m:r>
            <m:rPr>
              <m:sty m:val="p"/>
            </m:rPr>
            <m:t>⟩</m:t>
          </m:r>
        </m:oMath>
      </m:oMathPara>
    </w:p>
    <w:p w14:paraId="5747473F">
      <w:pPr>
        <w:pStyle w:val="4"/>
      </w:pPr>
      <w:r>
        <w:rPr>
          <w:rFonts w:hint="eastAsia"/>
        </w:rPr>
        <w:t>散射截面为：</w:t>
      </w:r>
      <w:r>
        <w:br w:type="textWrapping"/>
      </w:r>
    </w:p>
    <w:p w14:paraId="0210E580">
      <w:pPr>
        <w:pStyle w:val="3"/>
      </w:pPr>
      <m:oMathPara>
        <m:oMathParaPr>
          <m:jc m:val="center"/>
        </m:oMathParaPr>
        <m:oMath>
          <m:r>
            <m:rPr/>
            <m:t>σ</m:t>
          </m:r>
          <m:r>
            <m:rPr>
              <m:sty m:val="p"/>
            </m:rPr>
            <m:t>∝</m:t>
          </m:r>
          <m:sSup>
            <m:sSupPr/>
            <m:e>
              <m:r>
                <m:rPr>
                  <m:sty m:val="p"/>
                  <m:scr m:val="script"/>
                </m:rPr>
                <m:t>ℳ</m:t>
              </m:r>
            </m:e>
            <m:sup>
              <m:r>
                <m:rPr/>
                <m:t>2</m:t>
              </m:r>
            </m:sup>
          </m:sSup>
          <m:r>
            <m:rPr>
              <m:sty m:val="p"/>
            </m:rPr>
            <m:t>∼</m:t>
          </m:r>
          <m:f>
            <m:fPr/>
            <m:num>
              <m:r>
                <m:rPr/>
                <m:t>1</m:t>
              </m:r>
            </m:num>
            <m:den>
              <m:sSup>
                <m:sSupPr/>
                <m:e>
                  <m:r>
                    <m:rPr/>
                    <m:t>V</m:t>
                  </m:r>
                </m:e>
                <m:sup>
                  <m:r>
                    <m:rPr/>
                    <m:t>2</m:t>
                  </m:r>
                </m:sup>
              </m:sSup>
            </m:den>
          </m:f>
          <m:r>
            <m:rPr>
              <m:sty m:val="p"/>
            </m:rPr>
            <m:t>⋅</m:t>
          </m:r>
          <m:sSubSup>
            <m:sSubSupPr/>
            <m:e>
              <m:r>
                <m:rPr/>
                <m:t>V</m:t>
              </m:r>
            </m:e>
            <m:sub>
              <m:r>
                <m:rPr>
                  <m:sty m:val="p"/>
                </m:rPr>
                <m:t>nucleus</m:t>
              </m:r>
            </m:sub>
            <m:sup>
              <m:r>
                <m:rPr/>
                <m:t>2</m:t>
              </m:r>
            </m:sup>
          </m:sSubSup>
          <m:r>
            <m:rPr>
              <m:sty m:val="p"/>
            </m:rPr>
            <m:t>⋅⟨</m:t>
          </m:r>
          <m:sSub>
            <m:sSubPr/>
            <m:e>
              <m:r>
                <m:rPr>
                  <m:sty m:val="p"/>
                  <m:scr m:val="script"/>
                </m:rPr>
                <m:t>ℋ</m:t>
              </m:r>
            </m:e>
            <m:sub>
              <m:r>
                <m:rPr/>
                <m:t>W</m:t>
              </m:r>
            </m:sub>
          </m:sSub>
          <m:sSup>
            <m:sSupPr/>
            <m:e>
              <m:r>
                <m:rPr>
                  <m:sty m:val="p"/>
                </m:rPr>
                <m:t>⟩</m:t>
              </m:r>
            </m:e>
            <m:sup>
              <m:r>
                <m:rPr/>
                <m:t>2</m:t>
              </m:r>
            </m:sup>
          </m:sSup>
        </m:oMath>
      </m:oMathPara>
    </w:p>
    <w:p w14:paraId="1A94CFF2">
      <w:pPr>
        <w:pStyle w:val="26"/>
        <w:numPr>
          <w:ilvl w:val="0"/>
          <w:numId w:val="5"/>
        </w:numPr>
      </w:pPr>
      <w:r>
        <w:rPr>
          <w:rFonts w:hint="eastAsia"/>
          <w:b/>
          <w:bCs/>
        </w:rPr>
        <w:t>穿透概率的计算与解释</w:t>
      </w:r>
    </w:p>
    <w:p w14:paraId="3446ADBB">
      <w:pPr>
        <w:pStyle w:val="4"/>
      </w:pPr>
      <w:r>
        <w:rPr>
          <w:rFonts w:hint="eastAsia"/>
        </w:rPr>
        <w:t>中微子穿过厚度为</w:t>
      </w:r>
      <m:oMath>
        <m:r>
          <m:rPr/>
          <m:t>L</m:t>
        </m:r>
      </m:oMath>
      <w:r>
        <w:rPr>
          <w:rFonts w:hint="eastAsia"/>
        </w:rPr>
        <w:t>的物质的存活概率为：</w:t>
      </w:r>
    </w:p>
    <w:p w14:paraId="0E1B6373">
      <w:pPr>
        <w:pStyle w:val="3"/>
      </w:pPr>
      <m:oMathPara>
        <m:oMathParaPr>
          <m:jc m:val="center"/>
        </m:oMathParaPr>
        <m:oMath>
          <m:r>
            <m:rPr/>
            <m:t>P</m:t>
          </m:r>
          <m:r>
            <m:rPr>
              <m:sty m:val="p"/>
            </m:rPr>
            <m:t>=</m:t>
          </m:r>
          <m:sSup>
            <m:sSupPr/>
            <m:e>
              <m:r>
                <m:rPr/>
                <m:t>e</m:t>
              </m:r>
            </m:e>
            <m:sup>
              <m:r>
                <m:rPr>
                  <m:sty m:val="p"/>
                </m:rPr>
                <m:t>−</m:t>
              </m:r>
              <m:r>
                <m:rPr/>
                <m:t>nσL</m:t>
              </m:r>
            </m:sup>
          </m:sSup>
        </m:oMath>
      </m:oMathPara>
      <w:r>
        <w:br w:type="textWrapping"/>
      </w:r>
      <w:r>
        <w:rPr>
          <w:rFonts w:hint="eastAsia"/>
        </w:rPr>
        <w:t>其中</w:t>
      </w:r>
      <m:oMath>
        <m:r>
          <m:rPr/>
          <m:t>n</m:t>
        </m:r>
      </m:oMath>
      <w:r>
        <w:rPr>
          <w:rFonts w:hint="eastAsia"/>
        </w:rPr>
        <w:t>是靶物质的数密度。</w:t>
      </w:r>
    </w:p>
    <w:p w14:paraId="14A6B143">
      <w:pPr>
        <w:pStyle w:val="3"/>
      </w:pPr>
      <w:r>
        <w:rPr>
          <w:rFonts w:hint="eastAsia"/>
        </w:rPr>
        <w:t>由于</w:t>
      </w:r>
      <m:oMath>
        <m:r>
          <m:rPr/>
          <m:t>σ</m:t>
        </m:r>
      </m:oMath>
      <w:r>
        <w:rPr>
          <w:rFonts w:hint="eastAsia"/>
        </w:rPr>
        <w:t>极其微小（</w:t>
      </w:r>
      <m:oMath>
        <m:r>
          <m:rPr>
            <m:sty m:val="p"/>
          </m:rPr>
          <m:t>∼</m:t>
        </m:r>
        <m:sSup>
          <m:sSupPr/>
          <m:e>
            <m:r>
              <m:rPr/>
              <m:t>10</m:t>
            </m:r>
          </m:e>
          <m:sup>
            <m:r>
              <m:rPr>
                <m:sty m:val="p"/>
              </m:rPr>
              <m:t>−</m:t>
            </m:r>
            <m:r>
              <m:rPr/>
              <m:t>44</m:t>
            </m:r>
          </m:sup>
        </m:sSup>
        <m:sSup>
          <m:sSupPr/>
          <m:e>
            <m:r>
              <m:rPr>
                <m:sty m:val="p"/>
              </m:rPr>
              <m:t>cm</m:t>
            </m:r>
          </m:e>
          <m:sup>
            <m:r>
              <m:rPr/>
              <m:t>2</m:t>
            </m:r>
          </m:sup>
        </m:sSup>
      </m:oMath>
      <w:r>
        <w:rPr>
          <w:rFonts w:hint="eastAsia"/>
        </w:rPr>
        <w:t>），即使对于</w:t>
      </w:r>
      <m:oMath>
        <m:r>
          <m:rPr/>
          <m:t>L</m:t>
        </m:r>
        <m:r>
          <m:rPr>
            <m:sty m:val="p"/>
          </m:rPr>
          <m:t>=地球直径(∼</m:t>
        </m:r>
        <m:sSup>
          <m:sSupPr/>
          <m:e>
            <m:r>
              <m:rPr/>
              <m:t>10</m:t>
            </m:r>
          </m:e>
          <m:sup>
            <m:r>
              <m:rPr/>
              <m:t>9</m:t>
            </m:r>
          </m:sup>
        </m:sSup>
        <m:r>
          <m:rPr>
            <m:sty m:val="p"/>
          </m:rPr>
          <m:t>cm)</m:t>
        </m:r>
      </m:oMath>
      <w:r>
        <w:rPr>
          <w:rFonts w:hint="eastAsia"/>
        </w:rPr>
        <w:t>的情况：</w:t>
      </w:r>
    </w:p>
    <w:p w14:paraId="55E3037B">
      <w:pPr>
        <w:pStyle w:val="3"/>
      </w:pPr>
      <m:oMathPara>
        <m:oMathParaPr>
          <m:jc m:val="center"/>
        </m:oMathParaPr>
        <m:oMath>
          <m:r>
            <m:rPr/>
            <m:t>nσL</m:t>
          </m:r>
          <m:r>
            <m:rPr>
              <m:sty m:val="p"/>
            </m:rPr>
            <m:t>∼(</m:t>
          </m:r>
          <m:sSup>
            <m:sSupPr/>
            <m:e>
              <m:r>
                <m:rPr/>
                <m:t>10</m:t>
              </m:r>
            </m:e>
            <m:sup>
              <m:r>
                <m:rPr/>
                <m:t>24</m:t>
              </m:r>
            </m:sup>
          </m:sSup>
          <m:r>
            <m:rPr/>
            <m:t> </m:t>
          </m:r>
          <m:sSup>
            <m:sSupPr/>
            <m:e>
              <m:r>
                <m:rPr>
                  <m:sty m:val="p"/>
                </m:rPr>
                <m:t>cm</m:t>
              </m:r>
            </m:e>
            <m:sup>
              <m:r>
                <m:rPr>
                  <m:sty m:val="p"/>
                </m:rPr>
                <m:t>−</m:t>
              </m:r>
              <m:r>
                <m:rPr/>
                <m:t>3</m:t>
              </m:r>
            </m:sup>
          </m:sSup>
          <m:r>
            <m:rPr>
              <m:sty m:val="p"/>
            </m:rPr>
            <m:t>)⋅(</m:t>
          </m:r>
          <m:sSup>
            <m:sSupPr/>
            <m:e>
              <m:r>
                <m:rPr/>
                <m:t>10</m:t>
              </m:r>
            </m:e>
            <m:sup>
              <m:r>
                <m:rPr>
                  <m:sty m:val="p"/>
                </m:rPr>
                <m:t>−</m:t>
              </m:r>
              <m:r>
                <m:rPr/>
                <m:t>44</m:t>
              </m:r>
            </m:sup>
          </m:sSup>
          <m:r>
            <m:rPr/>
            <m:t> </m:t>
          </m:r>
          <m:sSup>
            <m:sSupPr/>
            <m:e>
              <m:r>
                <m:rPr>
                  <m:sty m:val="p"/>
                </m:rPr>
                <m:t>cm</m:t>
              </m:r>
            </m:e>
            <m:sup>
              <m:r>
                <m:rPr/>
                <m:t>2</m:t>
              </m:r>
            </m:sup>
          </m:sSup>
          <m:r>
            <m:rPr>
              <m:sty m:val="p"/>
            </m:rPr>
            <m:t>)⋅(</m:t>
          </m:r>
          <m:sSup>
            <m:sSupPr/>
            <m:e>
              <m:r>
                <m:rPr/>
                <m:t>10</m:t>
              </m:r>
            </m:e>
            <m:sup>
              <m:r>
                <m:rPr/>
                <m:t>9</m:t>
              </m:r>
            </m:sup>
          </m:sSup>
          <m:r>
            <m:rPr/>
            <m:t> </m:t>
          </m:r>
          <m:r>
            <m:rPr>
              <m:sty m:val="p"/>
            </m:rPr>
            <m:t>cm)=</m:t>
          </m:r>
          <m:sSup>
            <m:sSupPr/>
            <m:e>
              <m:r>
                <m:rPr/>
                <m:t>10</m:t>
              </m:r>
            </m:e>
            <m:sup>
              <m:r>
                <m:rPr>
                  <m:sty m:val="p"/>
                </m:rPr>
                <m:t>−</m:t>
              </m:r>
              <m:r>
                <m:rPr/>
                <m:t>11</m:t>
              </m:r>
            </m:sup>
          </m:sSup>
        </m:oMath>
      </m:oMathPara>
      <w:r>
        <w:br w:type="textWrapping"/>
      </w:r>
    </w:p>
    <w:p w14:paraId="2BBD3596">
      <w:pPr>
        <w:pStyle w:val="3"/>
      </w:pPr>
      <m:oMathPara>
        <m:oMathParaPr>
          <m:jc m:val="center"/>
        </m:oMathParaPr>
        <m:oMath>
          <m:r>
            <m:rPr/>
            <m:t>P</m:t>
          </m:r>
          <m:r>
            <m:rPr>
              <m:sty m:val="p"/>
            </m:rPr>
            <m:t>≈</m:t>
          </m:r>
          <m:r>
            <m:rPr/>
            <m:t>1</m:t>
          </m:r>
          <m:r>
            <m:rPr>
              <m:sty m:val="p"/>
            </m:rPr>
            <m:t>−</m:t>
          </m:r>
          <m:sSup>
            <m:sSupPr/>
            <m:e>
              <m:r>
                <m:rPr/>
                <m:t>10</m:t>
              </m:r>
            </m:e>
            <m:sup>
              <m:r>
                <m:rPr>
                  <m:sty m:val="p"/>
                </m:rPr>
                <m:t>−</m:t>
              </m:r>
              <m:r>
                <m:rPr/>
                <m:t>11</m:t>
              </m:r>
            </m:sup>
          </m:sSup>
          <m:r>
            <m:rPr>
              <m:sty m:val="p"/>
            </m:rPr>
            <m:t>≈</m:t>
          </m:r>
          <m:r>
            <m:rPr/>
            <m:t>1</m:t>
          </m:r>
        </m:oMath>
      </m:oMathPara>
    </w:p>
    <w:p w14:paraId="33B0E61C">
      <w:pPr>
        <w:pStyle w:val="4"/>
      </w:pPr>
      <w:r>
        <w:rPr>
          <w:rFonts w:hint="eastAsia"/>
        </w:rPr>
        <w:t>这表明中微子几乎必定穿透地球而不发生相互作用。</w:t>
      </w:r>
    </w:p>
    <w:p w14:paraId="2C750C07">
      <w:pPr>
        <w:pStyle w:val="26"/>
        <w:numPr>
          <w:ilvl w:val="0"/>
          <w:numId w:val="6"/>
        </w:numPr>
        <w:rPr>
          <w:b/>
          <w:bCs/>
        </w:rPr>
      </w:pPr>
      <w:bookmarkStart w:id="0" w:name="_GoBack"/>
      <w:r>
        <w:rPr>
          <w:rFonts w:hint="eastAsia"/>
          <w:b/>
          <w:bCs/>
        </w:rPr>
        <w:t>结论</w:t>
      </w:r>
    </w:p>
    <w:bookmarkEnd w:id="0"/>
    <w:p w14:paraId="6F48A713">
      <w:pPr>
        <w:pStyle w:val="4"/>
      </w:pPr>
      <w:r>
        <w:rPr>
          <w:rFonts w:hint="eastAsia"/>
        </w:rPr>
        <w:t>本文基于ABC场组合理论，证明了中微子的超强穿透性源于其低能量密度弥漫态的特性：</w:t>
      </w:r>
      <w:r>
        <w:br w:type="textWrapping"/>
      </w:r>
      <w:r>
        <w:t xml:space="preserve">1. </w:t>
      </w:r>
      <w:r>
        <w:rPr>
          <w:rFonts w:hint="eastAsia"/>
        </w:rPr>
        <w:t>极小的质量导致极长的德布罗意波长</w:t>
      </w:r>
      <w:r>
        <w:br w:type="textWrapping"/>
      </w:r>
      <w:r>
        <w:t xml:space="preserve">2. </w:t>
      </w:r>
      <w:r>
        <w:rPr>
          <w:rFonts w:hint="eastAsia"/>
        </w:rPr>
        <w:t>波函数在空间高度弥散，能量密度极低</w:t>
      </w:r>
      <w:r>
        <w:br w:type="textWrapping"/>
      </w:r>
      <w:r>
        <w:t xml:space="preserve">3. </w:t>
      </w:r>
      <w:r>
        <w:rPr>
          <w:rFonts w:hint="eastAsia"/>
        </w:rPr>
        <w:t>与原子核相互作用的散射矩阵元极其微小</w:t>
      </w:r>
      <w:r>
        <w:br w:type="textWrapping"/>
      </w:r>
      <w:r>
        <w:t xml:space="preserve">4. </w:t>
      </w:r>
      <w:r>
        <w:rPr>
          <w:rFonts w:hint="eastAsia"/>
        </w:rPr>
        <w:t>散射截面极小，穿透概率接近100%</w:t>
      </w:r>
    </w:p>
    <w:p w14:paraId="6C1D7C6E">
      <w:pPr>
        <w:pStyle w:val="3"/>
      </w:pPr>
      <w:r>
        <w:rPr>
          <w:rFonts w:hint="eastAsia"/>
        </w:rPr>
        <w:t>这一理论不仅解释了中微子的穿透性，更提供了研究其他量子态与物质相互作用的一般性框架，对理解基本粒子的本质具有重要意义。</w:t>
      </w:r>
    </w:p>
    <w:p w14:paraId="63002A1C">
      <w:pPr>
        <w:pStyle w:val="3"/>
      </w:pPr>
      <w:r>
        <w:rPr>
          <w:rFonts w:hint="eastAsia"/>
        </w:rPr>
        <w:t>参考文献</w:t>
      </w:r>
      <w:r>
        <w:br w:type="textWrapping"/>
      </w:r>
      <w:r>
        <w:t>[1] Li, Z. J. “On the Fundamental Vortex Fields of the Universe.” Preprint, 2023.</w:t>
      </w:r>
      <w:r>
        <w:br w:type="textWrapping"/>
      </w:r>
      <w:r>
        <w:t>[2] Giunti, C., &amp; Kim, C. W. Fundamentals of Neutrino Physics and Astrophysics. Oxford University Press, 2007.</w:t>
      </w:r>
      <w:r>
        <w:br w:type="textWrapping"/>
      </w:r>
      <w:r>
        <w:t>[3] Bilenky, S. M. Introduction to the Physics of Massive and Mixed Neutrinos. Springer, 2010.</w:t>
      </w:r>
      <w:r>
        <w:br w:type="textWrapping"/>
      </w:r>
      <w:r>
        <w:t>[4] Fukugita, M., &amp; Yanagida, T. Physics of Neutrinos. Springer, 2003.</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2">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3">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abstractNum w:abstractNumId="4">
    <w:nsid w:val="00A99415"/>
    <w:multiLevelType w:val="multilevel"/>
    <w:tmpl w:val="00A99415"/>
    <w:lvl w:ilvl="0" w:tentative="0">
      <w:start w:val="5"/>
      <w:numFmt w:val="decimal"/>
      <w:lvlText w:val="%1."/>
      <w:lvlJc w:val="left"/>
      <w:pPr>
        <w:ind w:left="720" w:hanging="360"/>
      </w:pPr>
    </w:lvl>
    <w:lvl w:ilvl="1" w:tentative="0">
      <w:start w:val="5"/>
      <w:numFmt w:val="decimal"/>
      <w:lvlText w:val="%2."/>
      <w:lvlJc w:val="left"/>
      <w:pPr>
        <w:ind w:left="1440" w:hanging="360"/>
      </w:pPr>
    </w:lvl>
    <w:lvl w:ilvl="2" w:tentative="0">
      <w:start w:val="5"/>
      <w:numFmt w:val="decimal"/>
      <w:lvlText w:val="%3."/>
      <w:lvlJc w:val="left"/>
      <w:pPr>
        <w:ind w:left="2160" w:hanging="360"/>
      </w:pPr>
    </w:lvl>
    <w:lvl w:ilvl="3" w:tentative="0">
      <w:start w:val="5"/>
      <w:numFmt w:val="decimal"/>
      <w:lvlText w:val="%4."/>
      <w:lvlJc w:val="left"/>
      <w:pPr>
        <w:ind w:left="2880" w:hanging="360"/>
      </w:pPr>
    </w:lvl>
    <w:lvl w:ilvl="4" w:tentative="0">
      <w:start w:val="5"/>
      <w:numFmt w:val="decimal"/>
      <w:lvlText w:val="%5."/>
      <w:lvlJc w:val="left"/>
      <w:pPr>
        <w:ind w:left="3600" w:hanging="360"/>
      </w:pPr>
    </w:lvl>
    <w:lvl w:ilvl="5" w:tentative="0">
      <w:start w:val="5"/>
      <w:numFmt w:val="decimal"/>
      <w:lvlText w:val="%6."/>
      <w:lvlJc w:val="left"/>
      <w:pPr>
        <w:ind w:left="4320" w:hanging="360"/>
      </w:pPr>
    </w:lvl>
    <w:lvl w:ilvl="6" w:tentative="0">
      <w:start w:val="5"/>
      <w:numFmt w:val="decimal"/>
      <w:lvlText w:val="%7."/>
      <w:lvlJc w:val="left"/>
      <w:pPr>
        <w:ind w:left="5040" w:hanging="360"/>
      </w:pPr>
    </w:lvl>
    <w:lvl w:ilvl="7" w:tentative="0">
      <w:start w:val="5"/>
      <w:numFmt w:val="decimal"/>
      <w:lvlText w:val="%8."/>
      <w:lvlJc w:val="left"/>
      <w:pPr>
        <w:ind w:left="5760" w:hanging="360"/>
      </w:pPr>
    </w:lvl>
    <w:lvl w:ilvl="8" w:tentative="0">
      <w:start w:val="5"/>
      <w:numFmt w:val="decimal"/>
      <w:lvlText w:val="%9."/>
      <w:lvlJc w:val="left"/>
      <w:pPr>
        <w:ind w:left="6480" w:hanging="360"/>
      </w:pPr>
    </w:lvl>
  </w:abstractNum>
  <w:abstractNum w:abstractNumId="5">
    <w:nsid w:val="00A99416"/>
    <w:multiLevelType w:val="multilevel"/>
    <w:tmpl w:val="00A99416"/>
    <w:lvl w:ilvl="0" w:tentative="0">
      <w:start w:val="6"/>
      <w:numFmt w:val="decimal"/>
      <w:lvlText w:val="%1."/>
      <w:lvlJc w:val="left"/>
      <w:pPr>
        <w:ind w:left="720" w:hanging="360"/>
      </w:pPr>
    </w:lvl>
    <w:lvl w:ilvl="1" w:tentative="0">
      <w:start w:val="6"/>
      <w:numFmt w:val="decimal"/>
      <w:lvlText w:val="%2."/>
      <w:lvlJc w:val="left"/>
      <w:pPr>
        <w:ind w:left="1440" w:hanging="360"/>
      </w:pPr>
    </w:lvl>
    <w:lvl w:ilvl="2" w:tentative="0">
      <w:start w:val="6"/>
      <w:numFmt w:val="decimal"/>
      <w:lvlText w:val="%3."/>
      <w:lvlJc w:val="left"/>
      <w:pPr>
        <w:ind w:left="2160" w:hanging="360"/>
      </w:pPr>
    </w:lvl>
    <w:lvl w:ilvl="3" w:tentative="0">
      <w:start w:val="6"/>
      <w:numFmt w:val="decimal"/>
      <w:lvlText w:val="%4."/>
      <w:lvlJc w:val="left"/>
      <w:pPr>
        <w:ind w:left="2880" w:hanging="360"/>
      </w:pPr>
    </w:lvl>
    <w:lvl w:ilvl="4" w:tentative="0">
      <w:start w:val="6"/>
      <w:numFmt w:val="decimal"/>
      <w:lvlText w:val="%5."/>
      <w:lvlJc w:val="left"/>
      <w:pPr>
        <w:ind w:left="3600" w:hanging="360"/>
      </w:pPr>
    </w:lvl>
    <w:lvl w:ilvl="5" w:tentative="0">
      <w:start w:val="6"/>
      <w:numFmt w:val="decimal"/>
      <w:lvlText w:val="%6."/>
      <w:lvlJc w:val="left"/>
      <w:pPr>
        <w:ind w:left="4320" w:hanging="360"/>
      </w:pPr>
    </w:lvl>
    <w:lvl w:ilvl="6" w:tentative="0">
      <w:start w:val="6"/>
      <w:numFmt w:val="decimal"/>
      <w:lvlText w:val="%7."/>
      <w:lvlJc w:val="left"/>
      <w:pPr>
        <w:ind w:left="5040" w:hanging="360"/>
      </w:pPr>
    </w:lvl>
    <w:lvl w:ilvl="7" w:tentative="0">
      <w:start w:val="6"/>
      <w:numFmt w:val="decimal"/>
      <w:lvlText w:val="%8."/>
      <w:lvlJc w:val="left"/>
      <w:pPr>
        <w:ind w:left="5760" w:hanging="360"/>
      </w:pPr>
    </w:lvl>
    <w:lvl w:ilvl="8" w:tentative="0">
      <w:start w:val="6"/>
      <w:numFmt w:val="decimal"/>
      <w:lvlText w:val="%9."/>
      <w:lvlJc w:val="left"/>
      <w:pPr>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EF321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uiPriority w:val="0"/>
    <w:rPr>
      <w:color w:val="902000"/>
    </w:rPr>
  </w:style>
  <w:style w:type="character" w:customStyle="1" w:styleId="49">
    <w:name w:val="DecValTok"/>
    <w:qFormat/>
    <w:uiPriority w:val="0"/>
    <w:rPr>
      <w:color w:val="40A070"/>
    </w:rPr>
  </w:style>
  <w:style w:type="character" w:customStyle="1" w:styleId="50">
    <w:name w:val="BaseNTok"/>
    <w:uiPriority w:val="0"/>
    <w:rPr>
      <w:color w:val="40A070"/>
    </w:rPr>
  </w:style>
  <w:style w:type="character" w:customStyle="1" w:styleId="51">
    <w:name w:val="FloatTok"/>
    <w:uiPriority w:val="0"/>
    <w:rPr>
      <w:color w:val="40A070"/>
    </w:rPr>
  </w:style>
  <w:style w:type="character" w:customStyle="1" w:styleId="52">
    <w:name w:val="ConstantTok"/>
    <w:uiPriority w:val="0"/>
    <w:rPr>
      <w:color w:val="880000"/>
    </w:rPr>
  </w:style>
  <w:style w:type="character" w:customStyle="1" w:styleId="53">
    <w:name w:val="CharTok"/>
    <w:uiPriority w:val="0"/>
    <w:rPr>
      <w:color w:val="4070A0"/>
    </w:rPr>
  </w:style>
  <w:style w:type="character" w:customStyle="1" w:styleId="54">
    <w:name w:val="SpecialCharTok"/>
    <w:uiPriority w:val="0"/>
    <w:rPr>
      <w:color w:val="4070A0"/>
    </w:rPr>
  </w:style>
  <w:style w:type="character" w:customStyle="1" w:styleId="55">
    <w:name w:val="StringTok"/>
    <w:qFormat/>
    <w:uiPriority w:val="0"/>
    <w:rPr>
      <w:color w:val="4070A0"/>
    </w:rPr>
  </w:style>
  <w:style w:type="character" w:customStyle="1" w:styleId="56">
    <w:name w:val="VerbatimStringTok"/>
    <w:uiPriority w:val="0"/>
    <w:rPr>
      <w:color w:val="4070A0"/>
    </w:rPr>
  </w:style>
  <w:style w:type="character" w:customStyle="1" w:styleId="57">
    <w:name w:val="SpecialStringTok"/>
    <w:uiPriority w:val="0"/>
    <w:rPr>
      <w:color w:val="BB6688"/>
    </w:rPr>
  </w:style>
  <w:style w:type="character" w:customStyle="1" w:styleId="58">
    <w:name w:val="ImportTok"/>
    <w:uiPriority w:val="0"/>
    <w:rPr>
      <w:b/>
      <w:color w:val="008000"/>
    </w:rPr>
  </w:style>
  <w:style w:type="character" w:customStyle="1" w:styleId="59">
    <w:name w:val="CommentTok"/>
    <w:uiPriority w:val="0"/>
    <w:rPr>
      <w:i/>
      <w:color w:val="60A0B0"/>
    </w:rPr>
  </w:style>
  <w:style w:type="character" w:customStyle="1" w:styleId="60">
    <w:name w:val="DocumentationTok"/>
    <w:uiPriority w:val="0"/>
    <w:rPr>
      <w:i/>
      <w:color w:val="BA2121"/>
    </w:rPr>
  </w:style>
  <w:style w:type="character" w:customStyle="1" w:styleId="61">
    <w:name w:val="AnnotationTok"/>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qFormat/>
    <w:uiPriority w:val="0"/>
    <w:rPr>
      <w:color w:val="06287E"/>
    </w:rPr>
  </w:style>
  <w:style w:type="character" w:customStyle="1" w:styleId="65">
    <w:name w:val="VariableTok"/>
    <w:uiPriority w:val="0"/>
    <w:rPr>
      <w:color w:val="19177C"/>
    </w:rPr>
  </w:style>
  <w:style w:type="character" w:customStyle="1" w:styleId="66">
    <w:name w:val="ControlFlowTok"/>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3</Pages>
  <Words>923</Words>
  <Characters>964</Characters>
  <Lines>30</Lines>
  <Paragraphs>8</Paragraphs>
  <TotalTime>73</TotalTime>
  <ScaleCrop>false</ScaleCrop>
  <LinksUpToDate>false</LinksUpToDate>
  <CharactersWithSpaces>970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2025-10-20T09:17:00Z</dcterms:created>
  <dc:creator>迈斯纳效应</dc:creator>
  <cp:lastModifiedBy>迈斯纳效应</cp:lastModifiedBy>
  <dcterms:modified xsi:type="dcterms:W3CDTF">2025-10-20T09:21:19Z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7132D2BEDBBF41FE817C07CC2B2299FF_12</vt:lpwstr>
  </property>
</Properties>
</file>