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231A79">
      <w:pPr>
        <w:pStyle w:val="4"/>
        <w:rPr>
          <w:b/>
          <w:bCs/>
        </w:rPr>
      </w:pPr>
      <w:r>
        <w:rPr>
          <w:rFonts w:hint="eastAsia"/>
          <w:b/>
          <w:bCs/>
        </w:rPr>
        <w:t>基于负质量暗物质场动力学的引力子超光速传播理论及其宇宙学验证</w:t>
      </w:r>
    </w:p>
    <w:p w14:paraId="09968FB0">
      <w:pPr>
        <w:pStyle w:val="3"/>
      </w:pPr>
      <w:r>
        <w:rPr>
          <w:rFonts w:hint="eastAsia"/>
          <w:b/>
          <w:bCs/>
        </w:rPr>
        <w:t>作者：</w:t>
      </w:r>
      <w:r>
        <w:t xml:space="preserve"> </w:t>
      </w:r>
      <w:r>
        <w:rPr>
          <w:rFonts w:hint="eastAsia"/>
        </w:rPr>
        <w:t>李志军，赵光耀</w:t>
      </w:r>
    </w:p>
    <w:p w14:paraId="55432EDA">
      <w:pPr>
        <w:pStyle w:val="3"/>
      </w:pPr>
      <w:r>
        <w:rPr>
          <w:rFonts w:hint="eastAsia"/>
          <w:b/>
          <w:bCs/>
        </w:rPr>
        <w:t>摘要：</w:t>
      </w:r>
      <w:r>
        <w:br w:type="textWrapping"/>
      </w:r>
      <w:r>
        <w:rPr>
          <w:rFonts w:hint="eastAsia"/>
        </w:rPr>
        <w:t>本文在李志军场组合理论的框架下，提出了一个关于引力子在负质量暗物质场中发生超光速传播的完整动力学模型。核心论点为：宇宙中充斥的负质量暗物质构成了一种特殊的背景场，其对传播其中的粒子产生一种与粒子静质量成反比的”排斥阻力”。</w:t>
      </w:r>
      <w:r>
        <w:rPr>
          <w:rFonts w:hint="eastAsia"/>
          <w:lang w:val="en-US" w:eastAsia="zh-CN"/>
        </w:rPr>
        <w:t>中国科学家测出光子的动质量上限为</w:t>
      </w:r>
      <m:oMath>
        <m:sSup>
          <m:sSupPr/>
          <m:e>
            <m:r>
              <m:rPr/>
              <m:t>10</m:t>
            </m:r>
          </m:e>
          <m:sup>
            <m:r>
              <m:rPr>
                <m:sty m:val="p"/>
              </m:rPr>
              <m:t>−</m:t>
            </m:r>
            <m:r>
              <m:rPr>
                <m:sty m:val="p"/>
              </m:rPr>
              <w:rPr>
                <w:rFonts w:hint="default" w:ascii="Cambria Math" w:hAnsi="Cambria Math"/>
                <w:lang w:val="en-US" w:eastAsia="zh-CN"/>
              </w:rPr>
              <m:t>48</m:t>
            </m:r>
          </m:sup>
        </m:sSup>
        <m:r>
          <m:rPr>
            <m:sty m:val="p"/>
          </m:rPr>
          <m:t>kg</m:t>
        </m:r>
      </m:oMath>
      <w:r>
        <m:rPr/>
        <w:rPr>
          <w:rFonts w:hint="eastAsia"/>
          <w:b w:val="0"/>
          <w:i w:val="0"/>
          <w:lang w:eastAsia="zh-CN"/>
        </w:rPr>
        <w:t>，</w:t>
      </w:r>
      <w:r>
        <m:rPr/>
        <w:rPr>
          <w:rFonts w:hint="eastAsia"/>
          <w:b w:val="0"/>
          <w:i w:val="0"/>
          <w:lang w:val="en-US" w:eastAsia="zh-CN"/>
        </w:rPr>
        <w:t>确定光子的静质量极其微小，但不为零，因此动</w:t>
      </w:r>
      <w:bookmarkStart w:id="0" w:name="_GoBack"/>
      <w:bookmarkEnd w:id="0"/>
      <w:r>
        <m:rPr/>
        <w:rPr>
          <w:rFonts w:hint="eastAsia"/>
          <w:b w:val="0"/>
          <w:i w:val="0"/>
          <w:lang w:val="en-US" w:eastAsia="zh-CN"/>
        </w:rPr>
        <w:t>质量不为零的光子在负质量暗物质粒子汤中排斥阻力下的速度定为光速。</w:t>
      </w:r>
      <w:r>
        <w:rPr>
          <w:rFonts w:hint="eastAsia"/>
        </w:rPr>
        <w:t>引力子由于具有</w:t>
      </w:r>
      <w:r>
        <w:rPr>
          <w:rFonts w:hint="eastAsia"/>
          <w:lang w:val="en-US" w:eastAsia="zh-CN"/>
        </w:rPr>
        <w:t>比光子更</w:t>
      </w:r>
      <w:r>
        <w:rPr>
          <w:rFonts w:hint="eastAsia"/>
        </w:rPr>
        <w:t>小的静质量，所受阻力极小，从而能够以超越真空光速的速度传播。</w:t>
      </w:r>
      <w:r>
        <w:t xml:space="preserve"> </w:t>
      </w:r>
      <w:r>
        <w:rPr>
          <w:rFonts w:hint="eastAsia"/>
        </w:rPr>
        <w:t>本文首先构建了负质量暗物质场的有效拉格朗日量，并推导出粒子在该场中的修正色散关系：</w:t>
      </w:r>
    </w:p>
    <w:p w14:paraId="4A341972">
      <w:pPr>
        <w:pStyle w:val="3"/>
      </w:pPr>
      <m:oMathPara>
        <m:oMathParaPr>
          <m:jc m:val="center"/>
        </m:oMathParaPr>
        <m:oMath>
          <m:sSup>
            <m:sSupPr/>
            <m:e>
              <m:r>
                <m:rPr/>
                <m:t>E</m:t>
              </m:r>
            </m:e>
            <m:sup>
              <m:r>
                <m:rPr/>
                <m:t>2</m:t>
              </m:r>
            </m:sup>
          </m:sSup>
          <m:r>
            <m:rPr>
              <m:sty m:val="p"/>
            </m:rPr>
            <m:t>=</m:t>
          </m:r>
          <m:sSup>
            <m:sSupPr/>
            <m:e>
              <m:r>
                <m:rPr/>
                <m:t>p</m:t>
              </m:r>
            </m:e>
            <m:sup>
              <m:r>
                <m:rPr/>
                <m:t>2</m:t>
              </m:r>
            </m:sup>
          </m:sSup>
          <m:sSup>
            <m:sSupPr/>
            <m:e>
              <m:r>
                <m:rPr/>
                <m:t>c</m:t>
              </m:r>
            </m:e>
            <m:sup>
              <m:r>
                <m:rPr/>
                <m:t>2</m:t>
              </m:r>
            </m:sup>
          </m:sSup>
          <m:r>
            <m:rPr>
              <m:sty m:val="p"/>
            </m:rPr>
            <m:t>+</m:t>
          </m:r>
          <m:f>
            <m:fPr/>
            <m:num>
              <m:sSubSup>
                <m:sSubSupPr/>
                <m:e>
                  <m:r>
                    <m:rPr/>
                    <m:t>m</m:t>
                  </m:r>
                </m:e>
                <m:sub>
                  <m:r>
                    <m:rPr/>
                    <m:t>0</m:t>
                  </m:r>
                </m:sub>
                <m:sup>
                  <m:r>
                    <m:rPr/>
                    <m:t>2</m:t>
                  </m:r>
                </m:sup>
              </m:sSubSup>
              <m:sSup>
                <m:sSupPr/>
                <m:e>
                  <m:r>
                    <m:rPr/>
                    <m:t>c</m:t>
                  </m:r>
                </m:e>
                <m:sup>
                  <m:r>
                    <m:rPr/>
                    <m:t>4</m:t>
                  </m:r>
                </m:sup>
              </m:sSup>
            </m:num>
            <m:den>
              <m:r>
                <m:rPr/>
                <m:t>1</m:t>
              </m:r>
              <m:r>
                <m:rPr>
                  <m:sty m:val="p"/>
                </m:rPr>
                <m:t>−</m:t>
              </m:r>
              <m:f>
                <m:fPr/>
                <m:num>
                  <m:sSub>
                    <m:sSubPr/>
                    <m:e>
                      <m:r>
                        <m:rPr/>
                        <m:t>ρ</m:t>
                      </m:r>
                    </m:e>
                    <m:sub>
                      <m:r>
                        <m:rPr>
                          <m:sty m:val="p"/>
                        </m:rPr>
                        <m:t>dark</m:t>
                      </m:r>
                    </m:sub>
                  </m:sSub>
                </m:num>
                <m:den>
                  <m:sSub>
                    <m:sSubPr/>
                    <m:e>
                      <m:r>
                        <m:rPr/>
                        <m:t>ρ</m:t>
                      </m:r>
                    </m:e>
                    <m:sub>
                      <m:r>
                        <m:rPr/>
                        <m:t>c</m:t>
                      </m:r>
                    </m:sub>
                  </m:sSub>
                </m:den>
              </m:f>
            </m:den>
          </m:f>
        </m:oMath>
      </m:oMathPara>
    </w:p>
    <w:p w14:paraId="0C8351C5">
      <w:pPr>
        <w:pStyle w:val="4"/>
      </w:pPr>
      <w:r>
        <w:rPr>
          <w:rFonts w:hint="eastAsia"/>
        </w:rPr>
        <w:t>该关系表明，当背景场密度</w:t>
      </w:r>
      <w:r>
        <w:t xml:space="preserve"> </w:t>
      </w:r>
      <m:oMath>
        <m:sSub>
          <m:sSubPr/>
          <m:e>
            <m:r>
              <m:rPr/>
              <m:t>ρ</m:t>
            </m:r>
          </m:e>
          <m:sub>
            <m:r>
              <m:rPr>
                <m:sty m:val="p"/>
              </m:rPr>
              <m:t>dark</m:t>
            </m:r>
          </m:sub>
        </m:sSub>
      </m:oMath>
      <w:r>
        <w:t xml:space="preserve"> </w:t>
      </w:r>
      <w:r>
        <w:rPr>
          <w:rFonts w:hint="eastAsia"/>
        </w:rPr>
        <w:t>超过临界值</w:t>
      </w:r>
      <w:r>
        <w:t xml:space="preserve"> </w:t>
      </w:r>
      <m:oMath>
        <m:sSub>
          <m:sSubPr/>
          <m:e>
            <m:r>
              <m:rPr/>
              <m:t>ρ</m:t>
            </m:r>
          </m:e>
          <m:sub>
            <m:r>
              <m:rPr/>
              <m:t>c</m:t>
            </m:r>
          </m:sub>
        </m:sSub>
      </m:oMath>
      <w:r>
        <w:t xml:space="preserve"> </w:t>
      </w:r>
      <w:r>
        <w:rPr>
          <w:rFonts w:hint="eastAsia"/>
        </w:rPr>
        <w:t>时，粒子的相速度可超越</w:t>
      </w:r>
      <w:r>
        <w:t xml:space="preserve"> </w:t>
      </w:r>
      <m:oMath>
        <m:r>
          <m:rPr/>
          <m:t>c</m:t>
        </m:r>
      </m:oMath>
      <w:r>
        <w:rPr>
          <w:rFonts w:hint="eastAsia"/>
        </w:rPr>
        <w:t>。我们进一步计算了引力子的传播速度</w:t>
      </w:r>
      <w:r>
        <w:t xml:space="preserve"> </w:t>
      </w:r>
      <m:oMath>
        <m:sSub>
          <m:sSubPr/>
          <m:e>
            <m:r>
              <m:rPr/>
              <m:t>v</m:t>
            </m:r>
          </m:e>
          <m:sub>
            <m:r>
              <m:rPr/>
              <m:t>g</m:t>
            </m:r>
          </m:sub>
        </m:sSub>
        <m:r>
          <m:rPr>
            <m:sty m:val="p"/>
          </m:rPr>
          <m:t>≈</m:t>
        </m:r>
        <m:r>
          <m:rPr/>
          <m:t>c</m:t>
        </m:r>
        <m:r>
          <m:rPr>
            <m:sty m:val="p"/>
          </m:rPr>
          <m:t>/</m:t>
        </m:r>
        <m:rad>
          <m:radPr>
            <m:degHide m:val="1"/>
          </m:radPr>
          <m:deg/>
          <m:e>
            <m:r>
              <m:rPr/>
              <m:t>1</m:t>
            </m:r>
            <m:r>
              <m:rPr>
                <m:sty m:val="p"/>
              </m:rPr>
              <m:t>−(</m:t>
            </m:r>
            <m:sSub>
              <m:sSubPr/>
              <m:e>
                <m:r>
                  <m:rPr/>
                  <m:t>ρ</m:t>
                </m:r>
              </m:e>
              <m:sub>
                <m:r>
                  <m:rPr>
                    <m:sty m:val="p"/>
                  </m:rPr>
                  <m:t>dark</m:t>
                </m:r>
              </m:sub>
            </m:sSub>
            <m:r>
              <m:rPr>
                <m:sty m:val="p"/>
              </m:rPr>
              <m:t>/</m:t>
            </m:r>
            <m:sSub>
              <m:sSubPr/>
              <m:e>
                <m:r>
                  <m:rPr/>
                  <m:t>ρ</m:t>
                </m:r>
              </m:e>
              <m:sub>
                <m:r>
                  <m:rPr/>
                  <m:t>c</m:t>
                </m:r>
              </m:sub>
            </m:sSub>
            <m:r>
              <m:rPr>
                <m:sty m:val="p"/>
              </m:rPr>
              <m:t>)</m:t>
            </m:r>
          </m:e>
        </m:rad>
      </m:oMath>
      <w:r>
        <w:rPr>
          <w:rFonts w:hint="eastAsia"/>
        </w:rPr>
        <w:t>，并利用该模型统一解释了宇宙早期结构形成的视界问题、黑洞信息悖论以及高能天体物理现象。该理论为量子引力研究提供了一个可证伪的新范式。</w:t>
      </w:r>
    </w:p>
    <w:p w14:paraId="15498BEB">
      <w:pPr>
        <w:pStyle w:val="3"/>
      </w:pPr>
      <w:r>
        <w:rPr>
          <w:rFonts w:hint="eastAsia"/>
          <w:b/>
          <w:bCs/>
        </w:rPr>
        <w:t>关键词：</w:t>
      </w:r>
      <w:r>
        <w:t xml:space="preserve"> </w:t>
      </w:r>
      <w:r>
        <w:rPr>
          <w:rFonts w:hint="eastAsia"/>
        </w:rPr>
        <w:t>引力子超光速；负质量暗物质；修正色散关系；量子引力；宇宙学；李志军场组合理论</w:t>
      </w:r>
    </w:p>
    <w:p w14:paraId="3F86B76F">
      <w:pPr>
        <w:pStyle w:val="3"/>
      </w:pPr>
      <w:r>
        <w:rPr>
          <w:rFonts w:hint="eastAsia"/>
          <w:b/>
          <w:bCs/>
        </w:rPr>
        <w:t>一、引言</w:t>
      </w:r>
    </w:p>
    <w:p w14:paraId="138BA226">
      <w:pPr>
        <w:pStyle w:val="3"/>
      </w:pPr>
      <w:r>
        <w:rPr>
          <w:rFonts w:hint="eastAsia"/>
        </w:rPr>
        <w:t>爱因斯坦的广义相对论将光速</w:t>
      </w:r>
      <w:r>
        <w:t xml:space="preserve"> </w:t>
      </w:r>
      <m:oMath>
        <m:r>
          <m:rPr/>
          <m:t>c</m:t>
        </m:r>
      </m:oMath>
      <w:r>
        <w:t xml:space="preserve"> </w:t>
      </w:r>
      <w:r>
        <w:rPr>
          <w:rFonts w:hint="eastAsia"/>
        </w:rPr>
        <w:t>视为宇宙速度的上限。然而，量子引力理论暗示，时空本身可能存在微观涨落，从而对光速不变性提出挑战。特别是，如果引力子（引力的量子传播子）存在非零但极小的静质量（</w:t>
      </w:r>
      <m:oMath>
        <m:sSub>
          <m:sSubPr/>
          <m:e>
            <m:r>
              <m:rPr/>
              <m:t>m</m:t>
            </m:r>
          </m:e>
          <m:sub>
            <m:r>
              <m:rPr/>
              <m:t>g</m:t>
            </m:r>
          </m:sub>
        </m:sSub>
        <m:r>
          <m:rPr>
            <m:sty m:val="p"/>
          </m:rPr>
          <m:t>∼</m:t>
        </m:r>
        <m:sSup>
          <m:sSupPr/>
          <m:e>
            <m:r>
              <m:rPr/>
              <m:t>10</m:t>
            </m:r>
          </m:e>
          <m:sup>
            <m:r>
              <m:rPr>
                <m:sty m:val="p"/>
              </m:rPr>
              <m:t>−</m:t>
            </m:r>
            <m:r>
              <m:rPr/>
              <m:t>56</m:t>
            </m:r>
          </m:sup>
        </m:sSup>
        <m:r>
          <m:rPr>
            <m:sty m:val="p"/>
          </m:rPr>
          <m:t>kg</m:t>
        </m:r>
      </m:oMath>
      <w:r>
        <w:rPr>
          <w:rFonts w:hint="eastAsia"/>
        </w:rPr>
        <w:t>），其传播行为可能在特定背景下偏离狭义相对论的预言。</w:t>
      </w:r>
    </w:p>
    <w:p w14:paraId="69EFF1C3">
      <w:pPr>
        <w:pStyle w:val="3"/>
      </w:pPr>
      <w:r>
        <w:rPr>
          <w:rFonts w:hint="eastAsia"/>
        </w:rPr>
        <w:t>李志军场组合理论引入了一个关键假设：宇宙中存在负质量暗物质，其形成的背景场会与传播粒子发生相互作用。</w:t>
      </w:r>
      <w:r>
        <w:t xml:space="preserve"> </w:t>
      </w:r>
      <w:r>
        <w:rPr>
          <w:rFonts w:hint="eastAsia"/>
        </w:rPr>
        <w:t>本文旨在该框架下，建立严格的数学模型，证明负质量场对粒子的排斥效应可导致引力子实现超光速传播，并探讨其深刻的宇宙学影响。</w:t>
      </w:r>
    </w:p>
    <w:p w14:paraId="196C0938">
      <w:pPr>
        <w:pStyle w:val="3"/>
        <w:rPr>
          <w:b/>
          <w:bCs/>
        </w:rPr>
      </w:pPr>
      <w:r>
        <w:rPr>
          <w:rFonts w:hint="eastAsia"/>
          <w:b/>
          <w:bCs/>
        </w:rPr>
        <w:t>二、理论框架：负质量暗物质场中的粒子动力学</w:t>
      </w:r>
    </w:p>
    <w:p w14:paraId="7FB89112">
      <w:pPr>
        <w:pStyle w:val="3"/>
        <w:rPr>
          <w:b/>
          <w:bCs/>
        </w:rPr>
      </w:pPr>
      <w:r>
        <w:rPr>
          <w:b/>
          <w:bCs/>
        </w:rPr>
        <w:t xml:space="preserve">2.1 </w:t>
      </w:r>
      <w:r>
        <w:rPr>
          <w:rFonts w:hint="eastAsia"/>
          <w:b/>
          <w:bCs/>
        </w:rPr>
        <w:t>负质量暗物质场的有效场论描述</w:t>
      </w:r>
    </w:p>
    <w:p w14:paraId="7B66FA0D">
      <w:pPr>
        <w:pStyle w:val="3"/>
      </w:pPr>
      <w:r>
        <w:rPr>
          <w:rFonts w:hint="eastAsia"/>
        </w:rPr>
        <w:t>我们假设负质量暗物质场</w:t>
      </w:r>
      <w:r>
        <w:t xml:space="preserve"> </w:t>
      </w:r>
      <m:oMath>
        <m:r>
          <m:rPr/>
          <m:t>ϕ</m:t>
        </m:r>
      </m:oMath>
      <w:r>
        <w:t xml:space="preserve"> </w:t>
      </w:r>
      <w:r>
        <w:rPr>
          <w:rFonts w:hint="eastAsia"/>
        </w:rPr>
        <w:t>用一个具有负质量项的标量场描述，其自由部分的拉格朗日量密度为：</w:t>
      </w:r>
    </w:p>
    <w:p w14:paraId="7BCD978D">
      <w:pPr>
        <w:pStyle w:val="3"/>
      </w:pPr>
      <m:oMathPara>
        <m:oMathParaPr>
          <m:jc m:val="center"/>
        </m:oMathParaPr>
        <m:oMath>
          <m:sSub>
            <m:sSubPr/>
            <m:e>
              <m:r>
                <m:rPr>
                  <m:sty m:val="p"/>
                  <m:scr m:val="script"/>
                </m:rPr>
                <m:t>ℒ</m:t>
              </m:r>
            </m:e>
            <m:sub>
              <m:r>
                <m:rPr>
                  <m:sty m:val="p"/>
                </m:rPr>
                <m:t>dark</m:t>
              </m:r>
            </m:sub>
          </m:sSub>
          <m:r>
            <m:rPr>
              <m:sty m:val="p"/>
            </m:rPr>
            <m:t>=</m:t>
          </m:r>
          <m:f>
            <m:fPr/>
            <m:num>
              <m:r>
                <m:rPr/>
                <m:t>1</m:t>
              </m:r>
            </m:num>
            <m:den>
              <m:r>
                <m:rPr/>
                <m:t>2</m:t>
              </m:r>
            </m:den>
          </m:f>
          <m:r>
            <m:rPr>
              <m:sty m:val="p"/>
            </m:rPr>
            <m:t>(</m:t>
          </m:r>
          <m:sSub>
            <m:sSubPr/>
            <m:e>
              <m:r>
                <m:rPr>
                  <m:sty m:val="p"/>
                </m:rPr>
                <m:t>∂</m:t>
              </m:r>
            </m:e>
            <m:sub>
              <m:r>
                <m:rPr/>
                <m:t>μ</m:t>
              </m:r>
            </m:sub>
          </m:sSub>
          <m:r>
            <m:rPr/>
            <m:t>ϕ</m:t>
          </m:r>
          <m:r>
            <m:rPr>
              <m:sty m:val="p"/>
            </m:rPr>
            <m:t>)(</m:t>
          </m:r>
          <m:sSup>
            <m:sSupPr/>
            <m:e>
              <m:r>
                <m:rPr>
                  <m:sty m:val="p"/>
                </m:rPr>
                <m:t>∂</m:t>
              </m:r>
            </m:e>
            <m:sup>
              <m:r>
                <m:rPr/>
                <m:t>μ</m:t>
              </m:r>
            </m:sup>
          </m:sSup>
          <m:r>
            <m:rPr/>
            <m:t>ϕ</m:t>
          </m:r>
          <m:r>
            <m:rPr>
              <m:sty m:val="p"/>
            </m:rPr>
            <m:t>)+</m:t>
          </m:r>
          <m:f>
            <m:fPr/>
            <m:num>
              <m:r>
                <m:rPr/>
                <m:t>1</m:t>
              </m:r>
            </m:num>
            <m:den>
              <m:r>
                <m:rPr/>
                <m:t>2</m:t>
              </m:r>
            </m:den>
          </m:f>
          <m:sSup>
            <m:sSupPr/>
            <m:e>
              <m:r>
                <m:rPr/>
                <m:t>μ</m:t>
              </m:r>
            </m:e>
            <m:sup>
              <m:r>
                <m:rPr/>
                <m:t>2</m:t>
              </m:r>
            </m:sup>
          </m:sSup>
          <m:sSup>
            <m:sSupPr/>
            <m:e>
              <m:r>
                <m:rPr/>
                <m:t>ϕ</m:t>
              </m:r>
            </m:e>
            <m:sup>
              <m:r>
                <m:rPr/>
                <m:t>2</m:t>
              </m:r>
            </m:sup>
          </m:sSup>
        </m:oMath>
      </m:oMathPara>
    </w:p>
    <w:p w14:paraId="3ED77779">
      <w:pPr>
        <w:pStyle w:val="4"/>
      </w:pPr>
      <w:r>
        <w:rPr>
          <w:rFonts w:hint="eastAsia"/>
        </w:rPr>
        <w:t>其中，</w:t>
      </w:r>
      <m:oMath>
        <m:sSup>
          <m:sSupPr/>
          <m:e>
            <m:r>
              <m:rPr/>
              <m:t>μ</m:t>
            </m:r>
          </m:e>
          <m:sup>
            <m:r>
              <m:rPr/>
              <m:t>2</m:t>
            </m:r>
          </m:sup>
        </m:sSup>
        <m:r>
          <m:rPr>
            <m:sty m:val="p"/>
          </m:rPr>
          <m:t>&lt;</m:t>
        </m:r>
        <m:r>
          <m:rPr/>
          <m:t>0</m:t>
        </m:r>
      </m:oMath>
      <w:r>
        <w:t xml:space="preserve"> </w:t>
      </w:r>
      <w:r>
        <w:rPr>
          <w:rFonts w:hint="eastAsia"/>
        </w:rPr>
        <w:t>表示场的质量为虚数，这导致了场的不稳定性，但其在宇宙学尺度上的平均效应可以是一个稳定的背景能量密度</w:t>
      </w:r>
      <w:r>
        <w:t xml:space="preserve"> </w:t>
      </w:r>
      <m:oMath>
        <m:sSub>
          <m:sSubPr/>
          <m:e>
            <m:r>
              <m:rPr/>
              <m:t>ρ</m:t>
            </m:r>
          </m:e>
          <m:sub>
            <m:r>
              <m:rPr>
                <m:sty m:val="p"/>
              </m:rPr>
              <m:t>dark</m:t>
            </m:r>
          </m:sub>
        </m:sSub>
        <m:r>
          <m:rPr>
            <m:sty m:val="p"/>
          </m:rPr>
          <m:t>=⟨</m:t>
        </m:r>
        <m:sSub>
          <m:sSubPr/>
          <m:e>
            <m:r>
              <m:rPr/>
              <m:t>T</m:t>
            </m:r>
          </m:e>
          <m:sub>
            <m:r>
              <m:rPr/>
              <m:t>00</m:t>
            </m:r>
          </m:sub>
        </m:sSub>
        <m:r>
          <m:rPr>
            <m:sty m:val="p"/>
          </m:rPr>
          <m:t>⟩∝−</m:t>
        </m:r>
        <m:sSup>
          <m:sSupPr/>
          <m:e>
            <m:r>
              <m:rPr/>
              <m:t>μ</m:t>
            </m:r>
          </m:e>
          <m:sup>
            <m:r>
              <m:rPr/>
              <m:t>2</m:t>
            </m:r>
          </m:sup>
        </m:sSup>
        <m:r>
          <m:rPr>
            <m:sty m:val="p"/>
          </m:rPr>
          <m:t>⟨</m:t>
        </m:r>
        <m:sSup>
          <m:sSupPr/>
          <m:e>
            <m:r>
              <m:rPr/>
              <m:t>ϕ</m:t>
            </m:r>
          </m:e>
          <m:sup>
            <m:r>
              <m:rPr/>
              <m:t>2</m:t>
            </m:r>
          </m:sup>
        </m:sSup>
        <m:r>
          <m:rPr>
            <m:sty m:val="p"/>
          </m:rPr>
          <m:t>⟩</m:t>
        </m:r>
      </m:oMath>
      <w:r>
        <w:t>。</w:t>
      </w:r>
    </w:p>
    <w:p w14:paraId="62BA3EEA">
      <w:pPr>
        <w:pStyle w:val="3"/>
      </w:pPr>
      <w:r>
        <w:rPr>
          <w:rFonts w:hint="eastAsia"/>
        </w:rPr>
        <w:t>一个传播粒子（如引力子）与此背景场的相互作用，可以用一个有效度规</w:t>
      </w:r>
      <w:r>
        <w:t xml:space="preserve"> </w:t>
      </w:r>
      <m:oMath>
        <m:sSubSup>
          <m:sSubSupPr/>
          <m:e>
            <m:r>
              <m:rPr/>
              <m:t>g</m:t>
            </m:r>
          </m:e>
          <m:sub>
            <m:r>
              <m:rPr/>
              <m:t>μν</m:t>
            </m:r>
          </m:sub>
          <m:sup>
            <m:r>
              <m:rPr>
                <m:sty m:val="p"/>
              </m:rPr>
              <m:t>eff</m:t>
            </m:r>
          </m:sup>
        </m:sSubSup>
      </m:oMath>
      <w:r>
        <w:t xml:space="preserve"> </w:t>
      </w:r>
      <w:r>
        <w:rPr>
          <w:rFonts w:hint="eastAsia"/>
        </w:rPr>
        <w:t>来描述：</w:t>
      </w:r>
    </w:p>
    <w:p w14:paraId="5261677F">
      <w:pPr>
        <w:pStyle w:val="3"/>
      </w:pPr>
      <m:oMathPara>
        <m:oMathParaPr>
          <m:jc m:val="center"/>
        </m:oMathParaPr>
        <m:oMath>
          <m:sSubSup>
            <m:sSubSupPr/>
            <m:e>
              <m:r>
                <m:rPr/>
                <m:t>g</m:t>
              </m:r>
            </m:e>
            <m:sub>
              <m:r>
                <m:rPr/>
                <m:t>μν</m:t>
              </m:r>
            </m:sub>
            <m:sup>
              <m:r>
                <m:rPr>
                  <m:sty m:val="p"/>
                </m:rPr>
                <m:t>eff</m:t>
              </m:r>
            </m:sup>
          </m:sSubSup>
          <m:r>
            <m:rPr>
              <m:sty m:val="p"/>
            </m:rPr>
            <m:t>=</m:t>
          </m:r>
          <m:sSub>
            <m:sSubPr/>
            <m:e>
              <m:r>
                <m:rPr/>
                <m:t>η</m:t>
              </m:r>
            </m:e>
            <m:sub>
              <m:r>
                <m:rPr/>
                <m:t>μν</m:t>
              </m:r>
            </m:sub>
          </m:sSub>
          <m:r>
            <m:rPr>
              <m:sty m:val="p"/>
            </m:rPr>
            <m:t>+</m:t>
          </m:r>
          <m:sSubSup>
            <m:sSubSupPr/>
            <m:e>
              <m:r>
                <m:rPr/>
                <m:t>h</m:t>
              </m:r>
            </m:e>
            <m:sub>
              <m:r>
                <m:rPr/>
                <m:t>μν</m:t>
              </m:r>
            </m:sub>
            <m:sup>
              <m:r>
                <m:rPr>
                  <m:sty m:val="p"/>
                </m:rPr>
                <m:t>dark</m:t>
              </m:r>
            </m:sup>
          </m:sSubSup>
        </m:oMath>
      </m:oMathPara>
    </w:p>
    <w:p w14:paraId="442C74D6">
      <w:pPr>
        <w:pStyle w:val="4"/>
      </w:pPr>
      <w:r>
        <w:rPr>
          <w:rFonts w:hint="eastAsia"/>
        </w:rPr>
        <w:t>其中</w:t>
      </w:r>
      <w:r>
        <w:t xml:space="preserve"> </w:t>
      </w:r>
      <m:oMath>
        <m:sSubSup>
          <m:sSubSupPr/>
          <m:e>
            <m:r>
              <m:rPr/>
              <m:t>h</m:t>
            </m:r>
          </m:e>
          <m:sub>
            <m:r>
              <m:rPr/>
              <m:t>μν</m:t>
            </m:r>
          </m:sub>
          <m:sup>
            <m:r>
              <m:rPr>
                <m:sty m:val="p"/>
              </m:rPr>
              <m:t>dark</m:t>
            </m:r>
          </m:sup>
        </m:sSubSup>
      </m:oMath>
      <w:r>
        <w:t xml:space="preserve"> </w:t>
      </w:r>
      <w:r>
        <w:rPr>
          <w:rFonts w:hint="eastAsia"/>
        </w:rPr>
        <w:t>是背景场引起的度规扰动。在均匀各向同性背景下，它可以被近似为</w:t>
      </w:r>
      <w:r>
        <w:t xml:space="preserve"> </w:t>
      </w:r>
      <m:oMath>
        <m:sSubSup>
          <m:sSubSupPr/>
          <m:e>
            <m:r>
              <m:rPr/>
              <m:t>h</m:t>
            </m:r>
          </m:e>
          <m:sub>
            <m:r>
              <m:rPr/>
              <m:t>00</m:t>
            </m:r>
          </m:sub>
          <m:sup>
            <m:r>
              <m:rPr>
                <m:sty m:val="p"/>
              </m:rPr>
              <m:t>dark</m:t>
            </m:r>
          </m:sup>
        </m:sSubSup>
        <m:r>
          <m:rPr>
            <m:sty m:val="p"/>
          </m:rPr>
          <m:t>∝</m:t>
        </m:r>
        <m:sSub>
          <m:sSubPr/>
          <m:e>
            <m:r>
              <m:rPr/>
              <m:t>ρ</m:t>
            </m:r>
          </m:e>
          <m:sub>
            <m:r>
              <m:rPr>
                <m:sty m:val="p"/>
              </m:rPr>
              <m:t>dark</m:t>
            </m:r>
          </m:sub>
        </m:sSub>
        <m:r>
          <m:rPr>
            <m:sty m:val="p"/>
          </m:rPr>
          <m:t>/</m:t>
        </m:r>
        <m:sSub>
          <m:sSubPr/>
          <m:e>
            <m:r>
              <m:rPr/>
              <m:t>ρ</m:t>
            </m:r>
          </m:e>
          <m:sub>
            <m:r>
              <m:rPr/>
              <m:t>c</m:t>
            </m:r>
          </m:sub>
        </m:sSub>
      </m:oMath>
      <w:r>
        <w:rPr>
          <w:rFonts w:hint="eastAsia"/>
        </w:rPr>
        <w:t>，</w:t>
      </w:r>
      <m:oMath>
        <m:sSub>
          <m:sSubPr/>
          <m:e>
            <m:r>
              <m:rPr/>
              <m:t>ρ</m:t>
            </m:r>
          </m:e>
          <m:sub>
            <m:r>
              <m:rPr/>
              <m:t>c</m:t>
            </m:r>
          </m:sub>
        </m:sSub>
      </m:oMath>
      <w:r>
        <w:t xml:space="preserve"> </w:t>
      </w:r>
      <w:r>
        <w:rPr>
          <w:rFonts w:hint="eastAsia"/>
        </w:rPr>
        <w:t>是一个临界密度标度。</w:t>
      </w:r>
    </w:p>
    <w:p w14:paraId="6FF4ED9C">
      <w:pPr>
        <w:pStyle w:val="3"/>
      </w:pPr>
      <w:r>
        <w:rPr>
          <w:b/>
          <w:bCs/>
        </w:rPr>
        <w:t xml:space="preserve">2.2 </w:t>
      </w:r>
      <w:r>
        <w:rPr>
          <w:rFonts w:hint="eastAsia"/>
          <w:b/>
          <w:bCs/>
        </w:rPr>
        <w:t>修正色散关系与超光速条件</w:t>
      </w:r>
    </w:p>
    <w:p w14:paraId="45DB2D41">
      <w:pPr>
        <w:pStyle w:val="3"/>
      </w:pPr>
      <w:r>
        <w:rPr>
          <w:rFonts w:hint="eastAsia"/>
        </w:rPr>
        <w:t>在有效度规</w:t>
      </w:r>
      <w:r>
        <w:t xml:space="preserve"> </w:t>
      </w:r>
      <m:oMath>
        <m:sSubSup>
          <m:sSubSupPr/>
          <m:e>
            <m:r>
              <m:rPr/>
              <m:t>g</m:t>
            </m:r>
          </m:e>
          <m:sub>
            <m:r>
              <m:rPr/>
              <m:t>μν</m:t>
            </m:r>
          </m:sub>
          <m:sup>
            <m:r>
              <m:rPr>
                <m:sty m:val="p"/>
              </m:rPr>
              <m:t>eff</m:t>
            </m:r>
          </m:sup>
        </m:sSubSup>
      </m:oMath>
      <w:r>
        <w:t xml:space="preserve"> </w:t>
      </w:r>
      <w:r>
        <w:rPr>
          <w:rFonts w:hint="eastAsia"/>
        </w:rPr>
        <w:t>中，自由粒子的作用量变为</w:t>
      </w:r>
      <w:r>
        <w:t xml:space="preserve"> </w:t>
      </w:r>
      <m:oMath>
        <m:r>
          <m:rPr/>
          <m:t>S</m:t>
        </m:r>
        <m:r>
          <m:rPr>
            <m:sty m:val="p"/>
          </m:rPr>
          <m:t>=−</m:t>
        </m:r>
        <m:sSub>
          <m:sSubPr/>
          <m:e>
            <m:r>
              <m:rPr/>
              <m:t>m</m:t>
            </m:r>
          </m:e>
          <m:sub>
            <m:r>
              <m:rPr/>
              <m:t>0</m:t>
            </m:r>
          </m:sub>
        </m:sSub>
        <m:r>
          <m:rPr/>
          <m:t>c</m:t>
        </m:r>
        <m:r>
          <m:rPr>
            <m:sty m:val="p"/>
          </m:rPr>
          <m:t>∫</m:t>
        </m:r>
        <m:rad>
          <m:radPr>
            <m:degHide m:val="1"/>
          </m:radPr>
          <m:deg/>
          <m:e>
            <m:sSubSup>
              <m:sSubSupPr/>
              <m:e>
                <m:r>
                  <m:rPr/>
                  <m:t>g</m:t>
                </m:r>
              </m:e>
              <m:sub>
                <m:r>
                  <m:rPr/>
                  <m:t>μν</m:t>
                </m:r>
              </m:sub>
              <m:sup>
                <m:r>
                  <m:rPr>
                    <m:sty m:val="p"/>
                  </m:rPr>
                  <m:t>eff</m:t>
                </m:r>
              </m:sup>
            </m:sSubSup>
            <m:r>
              <m:rPr/>
              <m:t>d</m:t>
            </m:r>
            <m:sSup>
              <m:sSupPr/>
              <m:e>
                <m:r>
                  <m:rPr/>
                  <m:t>x</m:t>
                </m:r>
              </m:e>
              <m:sup>
                <m:r>
                  <m:rPr/>
                  <m:t>μ</m:t>
                </m:r>
              </m:sup>
            </m:sSup>
            <m:r>
              <m:rPr/>
              <m:t>d</m:t>
            </m:r>
            <m:sSup>
              <m:sSupPr/>
              <m:e>
                <m:r>
                  <m:rPr/>
                  <m:t>x</m:t>
                </m:r>
              </m:e>
              <m:sup>
                <m:r>
                  <m:rPr/>
                  <m:t>ν</m:t>
                </m:r>
              </m:sup>
            </m:sSup>
          </m:e>
        </m:rad>
      </m:oMath>
      <w:r>
        <w:rPr>
          <w:rFonts w:hint="eastAsia"/>
        </w:rPr>
        <w:t>。由此推导出的修正色散关系为：</w:t>
      </w:r>
    </w:p>
    <w:p w14:paraId="703891C9">
      <w:pPr>
        <w:pStyle w:val="3"/>
      </w:pPr>
      <m:oMathPara>
        <m:oMathParaPr>
          <m:jc m:val="center"/>
        </m:oMathParaPr>
        <m:oMath>
          <m:sSup>
            <m:sSupPr/>
            <m:e>
              <m:r>
                <m:rPr/>
                <m:t>E</m:t>
              </m:r>
            </m:e>
            <m:sup>
              <m:r>
                <m:rPr/>
                <m:t>2</m:t>
              </m:r>
            </m:sup>
          </m:sSup>
          <m:r>
            <m:rPr>
              <m:sty m:val="p"/>
            </m:rPr>
            <m:t>=</m:t>
          </m:r>
          <m:sSup>
            <m:sSupPr/>
            <m:e>
              <m:r>
                <m:rPr/>
                <m:t>p</m:t>
              </m:r>
            </m:e>
            <m:sup>
              <m:r>
                <m:rPr/>
                <m:t>2</m:t>
              </m:r>
            </m:sup>
          </m:sSup>
          <m:sSup>
            <m:sSupPr/>
            <m:e>
              <m:r>
                <m:rPr/>
                <m:t>c</m:t>
              </m:r>
            </m:e>
            <m:sup>
              <m:r>
                <m:rPr/>
                <m:t>2</m:t>
              </m:r>
            </m:sup>
          </m:sSup>
          <m:sSup>
            <m:sSupPr/>
            <m:e>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sup>
              <m:r>
                <m:rPr>
                  <m:sty m:val="p"/>
                </m:rPr>
                <m:t>−</m:t>
              </m:r>
              <m:r>
                <m:rPr/>
                <m:t>1</m:t>
              </m:r>
            </m:sup>
          </m:sSup>
          <m:r>
            <m:rPr>
              <m:sty m:val="p"/>
            </m:rPr>
            <m:t>+</m:t>
          </m:r>
          <m:sSubSup>
            <m:sSubSupPr/>
            <m:e>
              <m:r>
                <m:rPr/>
                <m:t>m</m:t>
              </m:r>
            </m:e>
            <m:sub>
              <m:r>
                <m:rPr/>
                <m:t>0</m:t>
              </m:r>
            </m:sub>
            <m:sup>
              <m:r>
                <m:rPr/>
                <m:t>2</m:t>
              </m:r>
            </m:sup>
          </m:sSubSup>
          <m:sSup>
            <m:sSupPr/>
            <m:e>
              <m:r>
                <m:rPr/>
                <m:t>c</m:t>
              </m:r>
            </m:e>
            <m:sup>
              <m:r>
                <m:rPr/>
                <m:t>4</m:t>
              </m:r>
            </m:sup>
          </m:sSup>
        </m:oMath>
      </m:oMathPara>
    </w:p>
    <w:p w14:paraId="35DFA891">
      <w:pPr>
        <w:pStyle w:val="4"/>
      </w:pPr>
      <w:r>
        <w:rPr>
          <w:rFonts w:hint="eastAsia"/>
        </w:rPr>
        <w:t>其中</w:t>
      </w:r>
      <w:r>
        <w:t xml:space="preserve"> </w:t>
      </w:r>
      <m:oMath>
        <m:sSub>
          <m:sSubPr/>
          <m:e>
            <m:r>
              <m:rPr/>
              <m:t>ρ</m:t>
            </m:r>
          </m:e>
          <m:sub>
            <m:r>
              <m:rPr/>
              <m:t>c</m:t>
            </m:r>
          </m:sub>
        </m:sSub>
      </m:oMath>
      <w:r>
        <w:t xml:space="preserve"> </w:t>
      </w:r>
      <w:r>
        <w:rPr>
          <w:rFonts w:hint="eastAsia"/>
        </w:rPr>
        <w:t>是一个由理论基本尺度决定的临界密度。</w:t>
      </w:r>
    </w:p>
    <w:p w14:paraId="40BBBC86">
      <w:pPr>
        <w:pStyle w:val="3"/>
      </w:pPr>
      <w:r>
        <w:rPr>
          <w:rFonts w:hint="eastAsia"/>
        </w:rPr>
        <w:t>粒子的相速度</w:t>
      </w:r>
      <w:r>
        <w:t xml:space="preserve"> </w:t>
      </w:r>
      <m:oMath>
        <m:sSub>
          <m:sSubPr/>
          <m:e>
            <m:r>
              <m:rPr/>
              <m:t>v</m:t>
            </m:r>
          </m:e>
          <m:sub>
            <m:r>
              <m:rPr/>
              <m:t>p</m:t>
            </m:r>
          </m:sub>
        </m:sSub>
        <m:r>
          <m:rPr>
            <m:sty m:val="p"/>
          </m:rPr>
          <m:t>=</m:t>
        </m:r>
        <m:r>
          <m:rPr/>
          <m:t>E</m:t>
        </m:r>
        <m:r>
          <m:rPr>
            <m:sty m:val="p"/>
          </m:rPr>
          <m:t>/</m:t>
        </m:r>
        <m:r>
          <m:rPr/>
          <m:t>p</m:t>
        </m:r>
      </m:oMath>
      <w:r>
        <w:t xml:space="preserve"> </w:t>
      </w:r>
      <w:r>
        <w:rPr>
          <w:rFonts w:hint="eastAsia"/>
        </w:rPr>
        <w:t>为：</w:t>
      </w:r>
    </w:p>
    <w:p w14:paraId="36EF657B">
      <w:pPr>
        <w:pStyle w:val="3"/>
      </w:pPr>
      <m:oMathPara>
        <m:oMathParaPr>
          <m:jc m:val="center"/>
        </m:oMathParaPr>
        <m:oMath>
          <m:sSub>
            <m:sSubPr/>
            <m:e>
              <m:r>
                <m:rPr/>
                <m:t>v</m:t>
              </m:r>
            </m:e>
            <m:sub>
              <m:r>
                <m:rPr/>
                <m:t>p</m:t>
              </m:r>
            </m:sub>
          </m:sSub>
          <m:r>
            <m:rPr>
              <m:sty m:val="p"/>
            </m:rPr>
            <m:t>=</m:t>
          </m:r>
          <m:r>
            <m:rPr/>
            <m:t>c</m:t>
          </m:r>
          <m:rad>
            <m:radPr>
              <m:degHide m:val="1"/>
            </m:radPr>
            <m:deg/>
            <m:e>
              <m:r>
                <m:rPr/>
                <m:t>1</m:t>
              </m:r>
              <m:r>
                <m:rPr>
                  <m:sty m:val="p"/>
                </m:rPr>
                <m:t>+</m:t>
              </m:r>
              <m:f>
                <m:fPr/>
                <m:num>
                  <m:sSubSup>
                    <m:sSubSupPr/>
                    <m:e>
                      <m:r>
                        <m:rPr/>
                        <m:t>m</m:t>
                      </m:r>
                    </m:e>
                    <m:sub>
                      <m:r>
                        <m:rPr/>
                        <m:t>0</m:t>
                      </m:r>
                    </m:sub>
                    <m:sup>
                      <m:r>
                        <m:rPr/>
                        <m:t>2</m:t>
                      </m:r>
                    </m:sup>
                  </m:sSubSup>
                  <m:sSup>
                    <m:sSupPr/>
                    <m:e>
                      <m:r>
                        <m:rPr/>
                        <m:t>c</m:t>
                      </m:r>
                    </m:e>
                    <m:sup>
                      <m:r>
                        <m:rPr/>
                        <m:t>2</m:t>
                      </m:r>
                    </m:sup>
                  </m:sSup>
                </m:num>
                <m:den>
                  <m:sSup>
                    <m:sSupPr/>
                    <m:e>
                      <m:r>
                        <m:rPr/>
                        <m:t>p</m:t>
                      </m:r>
                    </m:e>
                    <m:sup>
                      <m:r>
                        <m:rPr/>
                        <m:t>2</m:t>
                      </m:r>
                    </m:sup>
                  </m:sSup>
                </m:den>
              </m:f>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rad>
          <m:r>
            <m:rPr>
              <m:sty m:val="p"/>
            </m:rPr>
            <m:t>⋅</m:t>
          </m:r>
          <m:sSup>
            <m:sSupPr/>
            <m:e>
              <m:d>
                <m:dPr>
                  <m:sepChr m:val=""/>
                </m:dPr>
                <m:e>
                  <m:r>
                    <m:rPr/>
                    <m:t>1</m:t>
                  </m:r>
                  <m:r>
                    <m:rPr>
                      <m:sty m:val="p"/>
                    </m:rPr>
                    <m:t>−</m:t>
                  </m:r>
                  <m:f>
                    <m:fPr/>
                    <m:num>
                      <m:sSub>
                        <m:sSubPr/>
                        <m:e>
                          <m:r>
                            <m:rPr/>
                            <m:t>ρ</m:t>
                          </m:r>
                        </m:e>
                        <m:sub>
                          <m:r>
                            <m:rPr>
                              <m:sty m:val="p"/>
                            </m:rPr>
                            <m:t>dark</m:t>
                          </m:r>
                        </m:sub>
                      </m:sSub>
                    </m:num>
                    <m:den>
                      <m:sSub>
                        <m:sSubPr/>
                        <m:e>
                          <m:r>
                            <m:rPr/>
                            <m:t>ρ</m:t>
                          </m:r>
                        </m:e>
                        <m:sub>
                          <m:r>
                            <m:rPr/>
                            <m:t>c</m:t>
                          </m:r>
                        </m:sub>
                      </m:sSub>
                    </m:den>
                  </m:f>
                </m:e>
              </m:d>
            </m:e>
            <m:sup>
              <m:r>
                <m:rPr>
                  <m:sty m:val="p"/>
                </m:rPr>
                <m:t>−</m:t>
              </m:r>
              <m:r>
                <m:rPr/>
                <m:t>1</m:t>
              </m:r>
              <m:r>
                <m:rPr>
                  <m:sty m:val="p"/>
                </m:rPr>
                <m:t>/</m:t>
              </m:r>
              <m:r>
                <m:rPr/>
                <m:t>2</m:t>
              </m:r>
            </m:sup>
          </m:sSup>
        </m:oMath>
      </m:oMathPara>
    </w:p>
    <w:p w14:paraId="5D7D8864">
      <w:pPr>
        <w:pStyle w:val="4"/>
      </w:pPr>
      <w:r>
        <w:rPr>
          <w:rFonts w:hint="eastAsia"/>
        </w:rPr>
        <w:t>对于高能粒子</w:t>
      </w:r>
      <w:r>
        <w:t xml:space="preserve"> (</w:t>
      </w:r>
      <m:oMath>
        <m:r>
          <m:rPr/>
          <m:t>p</m:t>
        </m:r>
        <m:r>
          <m:rPr>
            <m:sty m:val="p"/>
          </m:rPr>
          <m:t>≫</m:t>
        </m:r>
        <m:sSub>
          <m:sSubPr/>
          <m:e>
            <m:r>
              <m:rPr/>
              <m:t>m</m:t>
            </m:r>
          </m:e>
          <m:sub>
            <m:r>
              <m:rPr/>
              <m:t>0</m:t>
            </m:r>
          </m:sub>
        </m:sSub>
        <m:r>
          <m:rPr/>
          <m:t>c</m:t>
        </m:r>
      </m:oMath>
      <w:r>
        <w:rPr>
          <w:rFonts w:hint="eastAsia"/>
        </w:rPr>
        <w:t>)，相速度近似为：</w:t>
      </w:r>
    </w:p>
    <w:p w14:paraId="4A092A0B">
      <w:pPr>
        <w:pStyle w:val="3"/>
      </w:pPr>
      <m:oMathPara>
        <m:oMathParaPr>
          <m:jc m:val="center"/>
        </m:oMathParaPr>
        <m:oMath>
          <m:sSub>
            <m:sSubPr/>
            <m:e>
              <m:r>
                <m:rPr/>
                <m:t>v</m:t>
              </m:r>
            </m:e>
            <m:sub>
              <m:r>
                <m:rPr/>
                <m:t>p</m:t>
              </m:r>
            </m:sub>
          </m:sSub>
          <m:r>
            <m:rPr>
              <m:sty m:val="p"/>
            </m:rPr>
            <m:t>≈</m:t>
          </m:r>
          <m:f>
            <m:fPr/>
            <m:num>
              <m:r>
                <m:rPr/>
                <m:t>c</m:t>
              </m:r>
            </m:num>
            <m:den>
              <m:rad>
                <m:radPr>
                  <m:degHide m:val="1"/>
                </m:radPr>
                <m:deg/>
                <m:e>
                  <m:r>
                    <m:rPr/>
                    <m:t>1</m:t>
                  </m:r>
                  <m:r>
                    <m:rPr>
                      <m:sty m:val="p"/>
                    </m:rPr>
                    <m:t>−</m:t>
                  </m:r>
                  <m:f>
                    <m:fPr/>
                    <m:num>
                      <m:sSub>
                        <m:sSubPr/>
                        <m:e>
                          <m:r>
                            <m:rPr/>
                            <m:t>ρ</m:t>
                          </m:r>
                        </m:e>
                        <m:sub>
                          <m:r>
                            <m:rPr>
                              <m:sty m:val="p"/>
                            </m:rPr>
                            <m:t>dark</m:t>
                          </m:r>
                        </m:sub>
                      </m:sSub>
                    </m:num>
                    <m:den>
                      <m:sSub>
                        <m:sSubPr/>
                        <m:e>
                          <m:r>
                            <m:rPr/>
                            <m:t>ρ</m:t>
                          </m:r>
                        </m:e>
                        <m:sub>
                          <m:r>
                            <m:rPr/>
                            <m:t>c</m:t>
                          </m:r>
                        </m:sub>
                      </m:sSub>
                    </m:den>
                  </m:f>
                </m:e>
              </m:rad>
            </m:den>
          </m:f>
        </m:oMath>
      </m:oMathPara>
    </w:p>
    <w:p w14:paraId="02338898">
      <w:pPr>
        <w:pStyle w:val="4"/>
      </w:pPr>
      <w:r>
        <w:rPr>
          <w:rFonts w:hint="eastAsia"/>
        </w:rPr>
        <w:t>由此可知，当背景负质量场密度</w:t>
      </w:r>
      <w:r>
        <w:t xml:space="preserve"> </w:t>
      </w:r>
      <m:oMath>
        <m:sSub>
          <m:sSubPr/>
          <m:e>
            <m:r>
              <m:rPr/>
              <m:t>ρ</m:t>
            </m:r>
          </m:e>
          <m:sub>
            <m:r>
              <m:rPr>
                <m:sty m:val="p"/>
              </m:rPr>
              <m:t>dark</m:t>
            </m:r>
          </m:sub>
        </m:sSub>
        <m:r>
          <m:rPr>
            <m:sty m:val="p"/>
          </m:rPr>
          <m:t>&gt;</m:t>
        </m:r>
        <m:r>
          <m:rPr/>
          <m:t>0</m:t>
        </m:r>
      </m:oMath>
      <w:r>
        <w:t xml:space="preserve"> </w:t>
      </w:r>
      <w:r>
        <w:rPr>
          <w:rFonts w:hint="eastAsia"/>
        </w:rPr>
        <w:t>且足够显著时，分母小于1，导致</w:t>
      </w:r>
      <w:r>
        <w:t xml:space="preserve"> </w:t>
      </w:r>
      <m:oMath>
        <m:sSub>
          <m:sSubPr/>
          <m:e>
            <m:r>
              <m:rPr/>
              <m:t>v</m:t>
            </m:r>
          </m:e>
          <m:sub>
            <m:r>
              <m:rPr/>
              <m:t>p</m:t>
            </m:r>
          </m:sub>
        </m:sSub>
        <m:r>
          <m:rPr>
            <m:sty m:val="p"/>
          </m:rPr>
          <m:t>&gt;</m:t>
        </m:r>
        <m:r>
          <m:rPr/>
          <m:t>c</m:t>
        </m:r>
      </m:oMath>
      <w:r>
        <w:t xml:space="preserve">。 </w:t>
      </w:r>
      <w:r>
        <w:rPr>
          <w:rFonts w:hint="eastAsia"/>
        </w:rPr>
        <w:t>特别地，对于静质量</w:t>
      </w:r>
      <w:r>
        <w:t xml:space="preserve"> </w:t>
      </w:r>
      <m:oMath>
        <m:sSub>
          <m:sSubPr/>
          <m:e>
            <m:r>
              <m:rPr/>
              <m:t>m</m:t>
            </m:r>
          </m:e>
          <m:sub>
            <m:r>
              <m:rPr/>
              <m:t>0</m:t>
            </m:r>
          </m:sub>
        </m:sSub>
      </m:oMath>
      <w:r>
        <w:t xml:space="preserve"> </w:t>
      </w:r>
      <w:r>
        <w:rPr>
          <w:rFonts w:hint="eastAsia"/>
        </w:rPr>
        <w:t>极小的引力子，其群速度</w:t>
      </w:r>
      <w:r>
        <w:t xml:space="preserve"> </w:t>
      </w:r>
      <m:oMath>
        <m:sSub>
          <m:sSubPr/>
          <m:e>
            <m:r>
              <m:rPr/>
              <m:t>v</m:t>
            </m:r>
          </m:e>
          <m:sub>
            <m:r>
              <m:rPr/>
              <m:t>g</m:t>
            </m:r>
          </m:sub>
        </m:sSub>
      </m:oMath>
      <w:r>
        <w:rPr>
          <w:rFonts w:hint="eastAsia"/>
        </w:rPr>
        <w:t>（即信号传播速度）也近似等于相速度，从而可实现超光速传播。</w:t>
      </w:r>
    </w:p>
    <w:p w14:paraId="7D0A57E2">
      <w:pPr>
        <w:pStyle w:val="3"/>
        <w:rPr>
          <w:b/>
          <w:bCs/>
        </w:rPr>
      </w:pPr>
      <w:r>
        <w:rPr>
          <w:b/>
          <w:bCs/>
        </w:rPr>
        <w:t xml:space="preserve">2.3 </w:t>
      </w:r>
      <w:r>
        <w:rPr>
          <w:rFonts w:hint="eastAsia"/>
          <w:b/>
          <w:bCs/>
        </w:rPr>
        <w:t>引力子超光速的临界条件</w:t>
      </w:r>
    </w:p>
    <w:p w14:paraId="2A2332E6">
      <w:pPr>
        <w:pStyle w:val="3"/>
      </w:pPr>
      <w:r>
        <w:rPr>
          <w:rFonts w:hint="eastAsia"/>
        </w:rPr>
        <w:t>引力子的静质量</w:t>
      </w:r>
      <w:r>
        <w:t xml:space="preserve"> </w:t>
      </w:r>
      <m:oMath>
        <m:sSub>
          <m:sSubPr/>
          <m:e>
            <m:r>
              <m:rPr/>
              <m:t>m</m:t>
            </m:r>
          </m:e>
          <m:sub>
            <m:r>
              <m:rPr/>
              <m:t>g</m:t>
            </m:r>
          </m:sub>
        </m:sSub>
      </m:oMath>
      <w:r>
        <w:t xml:space="preserve"> </w:t>
      </w:r>
      <w:r>
        <w:rPr>
          <w:rFonts w:hint="eastAsia"/>
        </w:rPr>
        <w:t>极小，其超光速条件简化为：</w:t>
      </w:r>
    </w:p>
    <w:p w14:paraId="4F8151D5">
      <w:pPr>
        <w:pStyle w:val="3"/>
      </w:pPr>
      <m:oMathPara>
        <m:oMathParaPr>
          <m:jc m:val="center"/>
        </m:oMathParaPr>
        <m:oMath>
          <m:sSub>
            <m:sSubPr/>
            <m:e>
              <m:r>
                <m:rPr/>
                <m:t>ρ</m:t>
              </m:r>
            </m:e>
            <m:sub>
              <m:r>
                <m:rPr>
                  <m:sty m:val="p"/>
                </m:rPr>
                <m:t>dark</m:t>
              </m:r>
            </m:sub>
          </m:sSub>
          <m:r>
            <m:rPr>
              <m:sty m:val="p"/>
            </m:rPr>
            <m:t>&gt;</m:t>
          </m:r>
          <m:sSubSup>
            <m:sSubSupPr/>
            <m:e>
              <m:r>
                <m:rPr/>
                <m:t>ρ</m:t>
              </m:r>
            </m:e>
            <m:sub>
              <m:r>
                <m:rPr/>
                <m:t>c</m:t>
              </m:r>
            </m:sub>
            <m:sup>
              <m:r>
                <m:rPr>
                  <m:sty m:val="p"/>
                </m:rPr>
                <m:t>(</m:t>
              </m:r>
              <m:r>
                <m:rPr/>
                <m:t>g</m:t>
              </m:r>
              <m:r>
                <m:rPr>
                  <m:sty m:val="p"/>
                </m:rPr>
                <m:t>)</m:t>
              </m:r>
            </m:sup>
          </m:sSubSup>
          <m:r>
            <m:rPr>
              <m:sty m:val="p"/>
            </m:rPr>
            <m:t>≈</m:t>
          </m:r>
          <m:f>
            <m:fPr/>
            <m:num>
              <m:sSubSup>
                <m:sSubSupPr/>
                <m:e>
                  <m:r>
                    <m:rPr/>
                    <m:t>m</m:t>
                  </m:r>
                </m:e>
                <m:sub>
                  <m:r>
                    <m:rPr/>
                    <m:t>g</m:t>
                  </m:r>
                </m:sub>
                <m:sup>
                  <m:r>
                    <m:rPr/>
                    <m:t>2</m:t>
                  </m:r>
                </m:sup>
              </m:sSubSup>
              <m:sSup>
                <m:sSupPr/>
                <m:e>
                  <m:r>
                    <m:rPr/>
                    <m:t>c</m:t>
                  </m:r>
                </m:e>
                <m:sup>
                  <m:r>
                    <m:rPr/>
                    <m:t>4</m:t>
                  </m:r>
                </m:sup>
              </m:sSup>
            </m:num>
            <m:den>
              <m:sSubSup>
                <m:sSubSupPr/>
                <m:e>
                  <m:r>
                    <m:rPr/>
                    <m:t>E</m:t>
                  </m:r>
                </m:e>
                <m:sub>
                  <m:r>
                    <m:rPr/>
                    <m:t>P</m:t>
                  </m:r>
                </m:sub>
                <m:sup>
                  <m:r>
                    <m:rPr/>
                    <m:t>2</m:t>
                  </m:r>
                </m:sup>
              </m:sSubSup>
            </m:den>
          </m:f>
        </m:oMath>
      </m:oMathPara>
    </w:p>
    <w:p w14:paraId="721BF475">
      <w:pPr>
        <w:pStyle w:val="4"/>
      </w:pPr>
      <w:r>
        <w:rPr>
          <w:rFonts w:hint="eastAsia"/>
        </w:rPr>
        <w:t>其中</w:t>
      </w:r>
      <w:r>
        <w:t xml:space="preserve"> </w:t>
      </w:r>
      <m:oMath>
        <m:sSub>
          <m:sSubPr/>
          <m:e>
            <m:r>
              <m:rPr/>
              <m:t>E</m:t>
            </m:r>
          </m:e>
          <m:sub>
            <m:r>
              <m:rPr/>
              <m:t>P</m:t>
            </m:r>
          </m:sub>
        </m:sSub>
      </m:oMath>
      <w:r>
        <w:t xml:space="preserve"> </w:t>
      </w:r>
      <w:r>
        <w:rPr>
          <w:rFonts w:hint="eastAsia"/>
        </w:rPr>
        <w:t>是普朗克能量。由于</w:t>
      </w:r>
      <w:r>
        <w:t xml:space="preserve"> </w:t>
      </w:r>
      <m:oMath>
        <m:sSub>
          <m:sSubPr/>
          <m:e>
            <m:r>
              <m:rPr/>
              <m:t>m</m:t>
            </m:r>
          </m:e>
          <m:sub>
            <m:r>
              <m:rPr/>
              <m:t>g</m:t>
            </m:r>
          </m:sub>
        </m:sSub>
      </m:oMath>
      <w:r>
        <w:t xml:space="preserve"> </w:t>
      </w:r>
      <w:r>
        <w:rPr>
          <w:rFonts w:hint="eastAsia"/>
        </w:rPr>
        <w:t>极小，这个临界密度条件在宇宙的很多区域都容易满足。</w:t>
      </w:r>
    </w:p>
    <w:p w14:paraId="22CB34D0">
      <w:pPr>
        <w:pStyle w:val="3"/>
        <w:rPr>
          <w:b/>
          <w:bCs/>
        </w:rPr>
      </w:pPr>
      <w:r>
        <w:rPr>
          <w:rFonts w:hint="eastAsia"/>
          <w:b/>
          <w:bCs/>
        </w:rPr>
        <w:t>三、宇宙学影响与观测验证</w:t>
      </w:r>
    </w:p>
    <w:p w14:paraId="089AE26C">
      <w:pPr>
        <w:pStyle w:val="3"/>
      </w:pPr>
      <w:r>
        <w:rPr>
          <w:b/>
          <w:bCs/>
        </w:rPr>
        <w:t xml:space="preserve">3.1 </w:t>
      </w:r>
      <w:r>
        <w:rPr>
          <w:rFonts w:hint="eastAsia"/>
          <w:b/>
          <w:bCs/>
        </w:rPr>
        <w:t>解决宇宙学视界问题</w:t>
      </w:r>
    </w:p>
    <w:p w14:paraId="20321A23">
      <w:pPr>
        <w:pStyle w:val="3"/>
      </w:pPr>
      <w:r>
        <w:rPr>
          <w:rFonts w:hint="eastAsia"/>
        </w:rPr>
        <w:t>在大爆炸初期，宇宙尺度很小，负质量暗物质的相对密度</w:t>
      </w:r>
      <w:r>
        <w:t xml:space="preserve"> </w:t>
      </w:r>
      <m:oMath>
        <m:sSub>
          <m:sSubPr/>
          <m:e>
            <m:r>
              <m:rPr/>
              <m:t>ρ</m:t>
            </m:r>
          </m:e>
          <m:sub>
            <m:r>
              <m:rPr>
                <m:sty m:val="p"/>
              </m:rPr>
              <m:t>dark</m:t>
            </m:r>
          </m:sub>
        </m:sSub>
        <m:r>
          <m:rPr>
            <m:sty m:val="p"/>
          </m:rPr>
          <m:t>/</m:t>
        </m:r>
        <m:sSub>
          <m:sSubPr/>
          <m:e>
            <m:r>
              <m:rPr/>
              <m:t>ρ</m:t>
            </m:r>
          </m:e>
          <m:sub>
            <m:r>
              <m:rPr/>
              <m:t>c</m:t>
            </m:r>
          </m:sub>
        </m:sSub>
      </m:oMath>
      <w:r>
        <w:t xml:space="preserve"> </w:t>
      </w:r>
      <w:r>
        <w:rPr>
          <w:rFonts w:hint="eastAsia"/>
        </w:rPr>
        <w:t>可能很高。这使得早期宇宙中的引力子以超光速传播，其因果视界远大于光子视界。这可以自然地解释为什么宇宙微波背景辐射在不同方向具有高度均匀性，即解决了视界问题，而无需引入暴胀理论。</w:t>
      </w:r>
    </w:p>
    <w:p w14:paraId="67AF532A">
      <w:pPr>
        <w:pStyle w:val="3"/>
      </w:pPr>
      <w:r>
        <w:rPr>
          <w:b/>
          <w:bCs/>
        </w:rPr>
        <w:t xml:space="preserve">3.2 </w:t>
      </w:r>
      <w:r>
        <w:rPr>
          <w:rFonts w:hint="eastAsia"/>
          <w:b/>
          <w:bCs/>
        </w:rPr>
        <w:t>引力波与电磁信号的时间差</w:t>
      </w:r>
    </w:p>
    <w:p w14:paraId="62D82778">
      <w:pPr>
        <w:pStyle w:val="3"/>
      </w:pPr>
      <w:r>
        <w:rPr>
          <w:rFonts w:hint="eastAsia"/>
        </w:rPr>
        <w:t>当双致密天体（如中子星）并合时，会同时发射引力波（主要由引力子传播）和电磁波。在我们的模型中，引力波在当前的宇宙负质量背景场中传播速度</w:t>
      </w:r>
      <w:r>
        <w:t xml:space="preserve"> </w:t>
      </w:r>
      <m:oMath>
        <m:sSub>
          <m:sSubPr/>
          <m:e>
            <m:r>
              <m:rPr/>
              <m:t>v</m:t>
            </m:r>
          </m:e>
          <m:sub>
            <m:r>
              <m:rPr/>
              <m:t>g</m:t>
            </m:r>
          </m:sub>
        </m:sSub>
        <m:r>
          <m:rPr>
            <m:sty m:val="p"/>
          </m:rPr>
          <m:t>&gt;</m:t>
        </m:r>
        <m:r>
          <m:rPr/>
          <m:t>c</m:t>
        </m:r>
      </m:oMath>
      <w:r>
        <w:rPr>
          <w:rFonts w:hint="eastAsia"/>
        </w:rPr>
        <w:t>，而电磁波速度始终为</w:t>
      </w:r>
      <w:r>
        <w:t xml:space="preserve"> </w:t>
      </w:r>
      <m:oMath>
        <m:r>
          <m:rPr/>
          <m:t>c</m:t>
        </m:r>
      </m:oMath>
      <w:r>
        <w:rPr>
          <w:rFonts w:hint="eastAsia"/>
        </w:rPr>
        <w:t>。因此，对于同一宇宙学事件，引力波信号应早于电磁信号到达地球。对GW170817事件的观测给出</w:t>
      </w:r>
      <w:r>
        <w:t xml:space="preserve"> </w:t>
      </w:r>
      <m:oMath>
        <m:sSub>
          <m:sSubPr/>
          <m:e>
            <m:r>
              <m:rPr/>
              <m:t>v</m:t>
            </m:r>
          </m:e>
          <m:sub>
            <m:r>
              <m:rPr/>
              <m:t>g</m:t>
            </m:r>
          </m:sub>
        </m:sSub>
        <m:r>
          <m:rPr>
            <m:sty m:val="p"/>
          </m:rPr>
          <m:t>/</m:t>
        </m:r>
        <m:r>
          <m:rPr/>
          <m:t>c</m:t>
        </m:r>
        <m:r>
          <m:rPr>
            <m:sty m:val="p"/>
          </m:rPr>
          <m:t>−</m:t>
        </m:r>
        <m:r>
          <m:rPr/>
          <m:t>1</m:t>
        </m:r>
        <m:r>
          <m:rPr>
            <m:sty m:val="p"/>
          </m:rPr>
          <m:t>≤</m:t>
        </m:r>
        <m:sSup>
          <m:sSupPr/>
          <m:e>
            <m:r>
              <m:rPr/>
              <m:t>10</m:t>
            </m:r>
          </m:e>
          <m:sup>
            <m:r>
              <m:rPr>
                <m:sty m:val="p"/>
              </m:rPr>
              <m:t>−</m:t>
            </m:r>
            <m:r>
              <m:rPr/>
              <m:t>15</m:t>
            </m:r>
          </m:sup>
        </m:sSup>
      </m:oMath>
      <w:r>
        <w:rPr>
          <w:rFonts w:hint="eastAsia"/>
        </w:rPr>
        <w:t>。这对我们的模型构成了强约束，要求当前宇宙的</w:t>
      </w:r>
      <w:r>
        <w:t xml:space="preserve"> </w:t>
      </w:r>
      <m:oMath>
        <m:sSub>
          <m:sSubPr/>
          <m:e>
            <m:r>
              <m:rPr/>
              <m:t>ρ</m:t>
            </m:r>
          </m:e>
          <m:sub>
            <m:r>
              <m:rPr>
                <m:sty m:val="p"/>
              </m:rPr>
              <m:t>dark</m:t>
            </m:r>
          </m:sub>
        </m:sSub>
      </m:oMath>
      <w:r>
        <w:t xml:space="preserve"> </w:t>
      </w:r>
      <w:r>
        <w:rPr>
          <w:rFonts w:hint="eastAsia"/>
        </w:rPr>
        <w:t>非常接近于零，但在宇宙早期或特殊区域（如暗物质晕中心），该效应可能被探测到。</w:t>
      </w:r>
    </w:p>
    <w:p w14:paraId="2D7818EE">
      <w:pPr>
        <w:pStyle w:val="3"/>
      </w:pPr>
      <w:r>
        <w:rPr>
          <w:b/>
          <w:bCs/>
        </w:rPr>
        <w:t xml:space="preserve">3.3 </w:t>
      </w:r>
      <w:r>
        <w:rPr>
          <w:rFonts w:hint="eastAsia"/>
          <w:b/>
          <w:bCs/>
        </w:rPr>
        <w:t>对黑洞信息悖论的启示</w:t>
      </w:r>
    </w:p>
    <w:p w14:paraId="6CCD677E">
      <w:pPr>
        <w:pStyle w:val="3"/>
      </w:pPr>
      <w:r>
        <w:rPr>
          <w:rFonts w:hint="eastAsia"/>
        </w:rPr>
        <w:t>如果引力子可以超光速传播，那么信息可能通过引力自由度穿越或绕过事件视界。这为黑洞信息悖论提供了一个潜在的解决方案：信息并未丢失，而是通过超光速的引力辐射从黑洞内部编码并释放出来。</w:t>
      </w:r>
    </w:p>
    <w:p w14:paraId="0A147CC1">
      <w:pPr>
        <w:pStyle w:val="3"/>
      </w:pPr>
      <w:r>
        <w:rPr>
          <w:rFonts w:hint="eastAsia"/>
          <w:b/>
          <w:bCs/>
        </w:rPr>
        <w:t>四、理论自洽性与拓展讨论</w:t>
      </w:r>
    </w:p>
    <w:p w14:paraId="37A53CE2">
      <w:pPr>
        <w:pStyle w:val="26"/>
        <w:numPr>
          <w:ilvl w:val="0"/>
          <w:numId w:val="1"/>
        </w:numPr>
      </w:pPr>
      <w:r>
        <w:rPr>
          <w:rFonts w:hint="eastAsia"/>
        </w:rPr>
        <w:t>与因果律的关系：超光速传播并不必然违反因果律。如果超光速运动的粒子无法在低于光速的参考系中传递能量和信息（即快子行为），则时间旅行悖论可以避免。我们的模型中，超光速的是时空本身的激发（引力子），而非通常的物质粒子。</w:t>
      </w:r>
    </w:p>
    <w:p w14:paraId="451D9F45">
      <w:pPr>
        <w:pStyle w:val="26"/>
        <w:numPr>
          <w:ilvl w:val="0"/>
          <w:numId w:val="1"/>
        </w:numPr>
      </w:pPr>
      <w:r>
        <w:rPr>
          <w:rFonts w:hint="eastAsia"/>
        </w:rPr>
        <w:t>与量子场论的兼容性：在量子场论中，超光速传播可能与微观因果性冲突。这可能需要将理论置于更广阔的框架下，如弦理论或圈量子引力，其中时空非局域性更为自然。</w:t>
      </w:r>
    </w:p>
    <w:p w14:paraId="2D3B3773">
      <w:pPr>
        <w:pStyle w:val="26"/>
        <w:numPr>
          <w:ilvl w:val="0"/>
          <w:numId w:val="1"/>
        </w:numPr>
      </w:pPr>
      <w:r>
        <w:rPr>
          <w:rFonts w:hint="eastAsia"/>
        </w:rPr>
        <w:t>可证伪性：本理论的关键预言是引力波先于电磁波到达。未来更精确的多信使天文学观测，特别是对于高红移事件或位于大质量暗物质晕中的事件的观测，将直接检验该理论。</w:t>
      </w:r>
    </w:p>
    <w:p w14:paraId="18F70515">
      <w:pPr>
        <w:pStyle w:val="4"/>
        <w:rPr>
          <w:b/>
          <w:bCs/>
        </w:rPr>
      </w:pPr>
      <w:r>
        <w:rPr>
          <w:rFonts w:hint="eastAsia"/>
          <w:b/>
          <w:bCs/>
        </w:rPr>
        <w:t>五、结论</w:t>
      </w:r>
    </w:p>
    <w:p w14:paraId="43919A73">
      <w:pPr>
        <w:pStyle w:val="3"/>
      </w:pPr>
      <w:r>
        <w:rPr>
          <w:rFonts w:hint="eastAsia"/>
        </w:rPr>
        <w:t>本文基于李志场组合理论，构建了一个引力子在负质量暗物质场中超光速传播的数学自洽模型。通过引入有效度规和修正色散关系，从第一性原理推导出了超光速传播的条件</w:t>
      </w:r>
      <w:r>
        <w:t xml:space="preserve"> </w:t>
      </w:r>
      <m:oMath>
        <m:sSub>
          <m:sSubPr/>
          <m:e>
            <m:r>
              <m:rPr/>
              <m:t>v</m:t>
            </m:r>
          </m:e>
          <m:sub>
            <m:r>
              <m:rPr/>
              <m:t>g</m:t>
            </m:r>
          </m:sub>
        </m:sSub>
        <m:r>
          <m:rPr>
            <m:sty m:val="p"/>
          </m:rPr>
          <m:t>&gt;</m:t>
        </m:r>
        <m:r>
          <m:rPr/>
          <m:t>c</m:t>
        </m:r>
      </m:oMath>
      <w:r>
        <w:rPr>
          <w:rFonts w:hint="eastAsia"/>
        </w:rPr>
        <w:t>。该模型不仅为宇宙学难题提供了新的解决思路，更重要的是，它提出了一个清晰且可被下一代天文观测所检验的预言。如果得到证实，将彻底改变我们对时空本质和引力本质的理解。</w:t>
      </w:r>
    </w:p>
    <w:p w14:paraId="242927EB">
      <w:pPr>
        <w:pStyle w:val="3"/>
      </w:pPr>
      <w:r>
        <w:rPr>
          <w:rFonts w:hint="eastAsia"/>
          <w:b/>
          <w:bCs/>
        </w:rPr>
        <w:t>参考文献</w:t>
      </w:r>
      <w:r>
        <w:br w:type="textWrapping"/>
      </w:r>
      <w:r>
        <w:t>[1] Li, Z.J. “On the Field-Composition Theory of Universal Matter”. Preprint (2023).</w:t>
      </w:r>
      <w:r>
        <w:br w:type="textWrapping"/>
      </w:r>
      <w:r>
        <w:t>[2] Milgrom, M. “A Modification of the Newtonian dynamics as a possible alternative to the hidden mass hypothesis”. Astrophysical Journal (1983).</w:t>
      </w:r>
      <w:r>
        <w:br w:type="textWrapping"/>
      </w:r>
      <w:r>
        <w:t>[3] Abbott, B.P. et al. “Gravitational Waves and Gamma-Rays from a Binary Neutron Star Merger: GW170817 and GRB 170817A”. Astrophysical Journal Letters (2017).</w:t>
      </w:r>
      <w:r>
        <w:br w:type="textWrapping"/>
      </w:r>
      <w:r>
        <w:t>[4] ’t Hooft, G. “The Holographic Principle”. Opening Lecture, Erice School (1999).</w:t>
      </w:r>
      <w:r>
        <w:br w:type="textWrapping"/>
      </w:r>
      <w:r>
        <w:t>[5] Liberati, S. “Tests of Lorentz invariance: a 2013 update”. Classical and Quantum Gravity (2013).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5367D2A"/>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2228</Words>
  <Characters>2789</Characters>
  <Lines>30</Lines>
  <Paragraphs>8</Paragraphs>
  <TotalTime>13</TotalTime>
  <ScaleCrop>false</ScaleCrop>
  <LinksUpToDate>false</LinksUpToDate>
  <CharactersWithSpaces>2924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2025-10-25T00:05:00Z</dcterms:created>
  <dc:creator>迈斯纳效应</dc:creator>
  <cp:lastModifiedBy>迈斯纳效应</cp:lastModifiedBy>
  <dcterms:modified xsi:type="dcterms:W3CDTF">2025-10-25T00:19:49Z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5FB6AC9081C7480B94F92508FDCF0C26_12</vt:lpwstr>
  </property>
</Properties>
</file>