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08707">
      <w:pPr>
        <w:pStyle w:val="2"/>
      </w:pPr>
      <w:bookmarkStart w:id="0" w:name="负质量暗物质诱导引力与规范场统一的量子场论模型"/>
      <w:r>
        <w:rPr>
          <w:rFonts w:hint="eastAsia"/>
        </w:rPr>
        <w:t>负质量暗物质诱导引力与规范场统一的量子场论模型</w:t>
      </w:r>
    </w:p>
    <w:p w14:paraId="652FAAD9">
      <w:pPr>
        <w:pStyle w:val="4"/>
      </w:pPr>
      <w:r>
        <w:rPr>
          <w:rFonts w:hint="eastAsia"/>
          <w:b/>
          <w:bCs/>
        </w:rPr>
        <w:t>李志军</w:t>
      </w:r>
      <m:oMath>
        <m:sSup>
          <m:sSupPr/>
          <m:e>
            <m:r>
              <m:rPr/>
              <m:t>​</m:t>
            </m:r>
          </m:e>
          <m:sup>
            <m:r>
              <m:rPr/>
              <m:t>1</m:t>
            </m:r>
          </m:sup>
        </m:sSup>
      </m:oMath>
      <w:r>
        <w:rPr>
          <w:rFonts w:hint="eastAsia"/>
          <w:b/>
          <w:bCs/>
        </w:rPr>
        <w:t>，赵光耀</w:t>
      </w:r>
      <m:oMath>
        <m:sSup>
          <m:sSupPr/>
          <m:e>
            <m:r>
              <m:rPr/>
              <m:t>​</m:t>
            </m:r>
          </m:e>
          <m:sup>
            <m:r>
              <m:rPr/>
              <m:t>2</m:t>
            </m:r>
          </m:sup>
        </m:sSup>
      </m:oMath>
      <w:r>
        <w:br w:type="textWrapping"/>
      </w:r>
      <w:r>
        <w:br w:type="textWrapping"/>
      </w:r>
      <w:r>
        <w:rPr>
          <w:rFonts w:hint="eastAsia"/>
          <w:b/>
          <w:bCs/>
        </w:rPr>
        <w:t>摘要</w:t>
      </w:r>
      <w:r>
        <w:rPr>
          <w:rFonts w:hint="eastAsia"/>
        </w:rPr>
        <w:t>：本文基于负质量暗物质（NMDM）排斥效应诱导引力的核心假设，构建引力子交换与规范场统一的量子场论模型。通过引入ABC涡旋场耦合机制，将NMDM排斥势转化为等效引力，并实现引力与电磁、弱、强力的规范统一。模型满足广义协变性、规范不变性及量子幺正性，预言了引力-规范场混合效应及暗物质场质量可观测性。</w:t>
      </w:r>
      <w:r>
        <w:br w:type="textWrapping"/>
      </w:r>
      <w:r>
        <w:t xml:space="preserve"> 1 </w:t>
      </w:r>
      <w:r>
        <w:rPr>
          <w:rFonts w:hint="eastAsia"/>
        </w:rPr>
        <w:t>引言</w:t>
      </w:r>
      <w:r>
        <w:br w:type="textWrapping"/>
      </w:r>
      <w:r>
        <w:rPr>
          <w:rFonts w:hint="eastAsia"/>
        </w:rPr>
        <w:t>传统引力理论中，引力子作为自旋-2玻色子传递吸引力，但其量子化与规范场统一存在根本困难。李志军在《宇宙中的ABC机制》中提出突破性观点：</w:t>
      </w:r>
      <w:r>
        <w:rPr>
          <w:rFonts w:hint="eastAsia"/>
          <w:b/>
          <w:bCs/>
        </w:rPr>
        <w:t>正质量物质间的引力实为负质量暗物质（NMDM）排斥效应的间接表现</w:t>
      </w:r>
      <w:r>
        <w:rPr>
          <w:rFonts w:hint="eastAsia"/>
        </w:rPr>
        <w:t>。该模型的核心假设为：</w:t>
      </w:r>
      <w:r>
        <w:br w:type="textWrapping"/>
      </w:r>
      <w:r>
        <w:t xml:space="preserve">- </w:t>
      </w:r>
      <w:r>
        <w:rPr>
          <w:rFonts w:hint="eastAsia"/>
        </w:rPr>
        <w:t>NMDM粒子质量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，均匀分布于宇宙背景</w:t>
      </w:r>
      <w:r>
        <w:br w:type="textWrapping"/>
      </w:r>
      <w:r>
        <w:t xml:space="preserve">- </w:t>
      </w:r>
      <w:r>
        <w:rPr>
          <w:rFonts w:hint="eastAsia"/>
        </w:rPr>
        <w:t>NMDM对正质量物质产生排斥势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=−</m:t>
        </m:r>
        <m:r>
          <m:rPr/>
          <m:t>G</m:t>
        </m:r>
        <m:f>
          <m:fPr/>
          <m:num>
            <m:sSub>
              <m:sSub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  <m:sSub>
              <m:sSub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num>
          <m:den>
            <m:r>
              <m:rPr/>
              <m:t>r</m:t>
            </m:r>
          </m:den>
        </m:f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（因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）</w:t>
      </w:r>
      <w:r>
        <w:br w:type="textWrapping"/>
      </w:r>
      <w:r>
        <w:t xml:space="preserve">- </w:t>
      </w:r>
      <w:r>
        <w:rPr>
          <w:rFonts w:hint="eastAsia"/>
        </w:rPr>
        <w:t>两正质量物体间的“引力”实为NMDM排斥导致的相对聚集效应</w:t>
      </w:r>
      <w:r>
        <w:br w:type="textWrapping"/>
      </w:r>
      <w:r>
        <w:rPr>
          <w:rFonts w:hint="eastAsia"/>
        </w:rPr>
        <w:t>本文目标：</w:t>
      </w:r>
      <w:r>
        <w:br w:type="textWrapping"/>
      </w:r>
      <w:r>
        <w:t xml:space="preserve">1. </w:t>
      </w:r>
      <w:r>
        <w:rPr>
          <w:rFonts w:hint="eastAsia"/>
        </w:rPr>
        <w:t>构建NMDM诱导引力的量子场论形式</w:t>
      </w:r>
      <w:r>
        <w:br w:type="textWrapping"/>
      </w:r>
      <w:r>
        <w:t xml:space="preserve">2. </w:t>
      </w:r>
      <w:r>
        <w:rPr>
          <w:rFonts w:hint="eastAsia"/>
        </w:rPr>
        <w:t>实现引力与</w:t>
      </w:r>
      <w:r>
        <w:t xml:space="preserve">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)×</m:t>
        </m:r>
        <m:r>
          <m:rPr/>
          <m:t>SU</m:t>
        </m:r>
        <m:r>
          <m:rPr>
            <m:sty m:val="p"/>
          </m:rPr>
          <m:t>(</m:t>
        </m:r>
        <m:r>
          <m:rPr/>
          <m:t>2</m:t>
        </m:r>
        <m:r>
          <m:rPr>
            <m:sty m:val="p"/>
          </m:rPr>
          <m:t>)×</m:t>
        </m:r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规范场的统一</w:t>
      </w:r>
      <w:r>
        <w:br w:type="textWrapping"/>
      </w:r>
      <w:r>
        <w:t xml:space="preserve">3. </w:t>
      </w:r>
      <w:r>
        <w:rPr>
          <w:rFonts w:hint="eastAsia"/>
        </w:rPr>
        <w:t>验证模型数学自洽性与实验可观测性</w:t>
      </w:r>
      <w:r>
        <w:br w:type="textWrapping"/>
      </w:r>
      <w:r>
        <w:t xml:space="preserve"> 2 </w:t>
      </w:r>
      <w:r>
        <w:rPr>
          <w:rFonts w:hint="eastAsia"/>
        </w:rPr>
        <w:t>NMDM诱导引力的量子场论基础</w:t>
      </w:r>
      <w:r>
        <w:br w:type="textWrapping"/>
      </w:r>
      <w:r>
        <w:t xml:space="preserve"> 2.1 </w:t>
      </w:r>
      <w:r>
        <w:rPr>
          <w:rFonts w:hint="eastAsia"/>
        </w:rPr>
        <w:t>有效引力势的场论推导</w:t>
      </w:r>
      <w:r>
        <w:br w:type="textWrapping"/>
      </w:r>
      <w:r>
        <w:rPr>
          <w:rFonts w:hint="eastAsia"/>
        </w:rPr>
        <w:t>设NMDM由标量场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描述，其排斥势满足修正泊松方程：</w:t>
      </w:r>
    </w:p>
    <w:p w14:paraId="1BD3FC1B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Φ=</m:t>
          </m:r>
          <m:r>
            <m:rPr/>
            <m:t>4πG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=−|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|&lt;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</w:t>
      </w:r>
      <w:r>
        <w:rPr>
          <w:rFonts w:hint="eastAsia"/>
        </w:rPr>
        <w:t>为NMDM有效负质量密度。量子化后，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场的传播子为：</w:t>
      </w:r>
    </w:p>
    <w:p w14:paraId="527071F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Δ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i</m:t>
              </m:r>
            </m:num>
            <m:den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Φ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/>
                <m:t>iϵ</m:t>
              </m:r>
            </m:den>
          </m:f>
        </m:oMath>
      </m:oMathPara>
      <w:r>
        <w:br w:type="textWrapping"/>
      </w:r>
      <w:r>
        <w:rPr>
          <w:rFonts w:hint="eastAsia"/>
        </w:rPr>
        <w:t>对应引力子交换振幅：</w:t>
      </w:r>
    </w:p>
    <w:p w14:paraId="77D3B2B5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∼</m:t>
          </m:r>
          <m:f>
            <m:fPr/>
            <m:num>
              <m:r>
                <m:rPr/>
                <m:t>G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sSup>
                <m:sSupPr/>
                <m:e>
                  <m:r>
                    <m:rPr/>
                    <m:t>q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Φ</m:t>
                  </m:r>
                </m:sub>
              </m:sSub>
              <m:r>
                <m:rPr/>
                <m:t>r</m:t>
              </m:r>
            </m:sup>
          </m:sSup>
          <m:r>
            <m:rPr/>
            <m:t> 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q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=−</m:t>
          </m:r>
          <m:sSup>
            <m:sSupPr/>
            <m:e>
              <m:r>
                <m:rPr>
                  <m:sty m:val="b"/>
                </m:rPr>
                <m:t>q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当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Φ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t xml:space="preserve"> </w:t>
      </w:r>
      <w:r>
        <w:rPr>
          <w:rFonts w:hint="eastAsia"/>
        </w:rPr>
        <w:t>时恢复牛顿引力。</w:t>
      </w:r>
      <w:r>
        <w:br w:type="textWrapping"/>
      </w:r>
      <w:r>
        <w:t xml:space="preserve"> 2.2 </w:t>
      </w:r>
      <w:r>
        <w:rPr>
          <w:rFonts w:hint="eastAsia"/>
        </w:rPr>
        <w:t>引力子与引力微子的协同机制</w:t>
      </w:r>
      <w:r>
        <w:br w:type="textWrapping"/>
      </w:r>
      <w:r>
        <w:rPr>
          <w:rFonts w:hint="eastAsia"/>
        </w:rPr>
        <w:t>为消除量子发散，引入超对称伙伴：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引力子</w:t>
      </w:r>
      <w:r>
        <w:rPr>
          <w:rFonts w:hint="eastAsia"/>
        </w:rPr>
        <w:t>（自旋-2）：传递长程引力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引力微子</w:t>
      </w:r>
      <w:r>
        <w:rPr>
          <w:rFonts w:hint="eastAsia"/>
        </w:rPr>
        <w:t>（自旋-3/2）：提供量子修正</w:t>
      </w:r>
      <w:r>
        <w:br w:type="textWrapping"/>
      </w:r>
      <w:r>
        <w:rPr>
          <w:rFonts w:hint="eastAsia"/>
        </w:rPr>
        <w:t>单圈图贡献满足：</w:t>
      </w:r>
    </w:p>
    <w:p w14:paraId="4868530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Π</m:t>
              </m:r>
            </m:e>
            <m:sub>
              <m:r>
                <m:rPr/>
                <m:t>μνρσ</m:t>
              </m:r>
            </m:sub>
          </m:sSub>
          <m:r>
            <m:rPr>
              <m:sty m:val="p"/>
            </m:rPr>
            <m:t>=</m:t>
          </m:r>
          <m:sSubSup>
            <m:sSubSupPr/>
            <m:e>
              <m:r>
                <m:rPr>
                  <m:sty m:val="p"/>
                </m:rPr>
                <m:t>Π</m:t>
              </m:r>
            </m:e>
            <m:sub>
              <m:r>
                <m:rPr/>
                <m:t>μνρσ</m:t>
              </m:r>
            </m:sub>
            <m:sup>
              <m:r>
                <m:rPr>
                  <m:sty m:val="p"/>
                </m:rPr>
                <m:t>graviton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>
                  <m:sty m:val="p"/>
                </m:rPr>
                <m:t>Π</m:t>
              </m:r>
            </m:e>
            <m:sub>
              <m:r>
                <m:rPr/>
                <m:t>μνρσ</m:t>
              </m:r>
            </m:sub>
            <m:sup>
              <m:r>
                <m:rPr>
                  <m:sty m:val="p"/>
                </m:rPr>
                <m:t>gravitino</m:t>
              </m:r>
            </m:sup>
          </m:sSub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其中引力微子圈图提供负贡献，抵消NMDM排斥导致的紫外发散。</w:t>
      </w:r>
      <w:r>
        <w:br w:type="textWrapping"/>
      </w:r>
      <w:r>
        <w:t xml:space="preserve"> 3 </w:t>
      </w:r>
      <w:r>
        <w:rPr>
          <w:rFonts w:hint="eastAsia"/>
        </w:rPr>
        <w:t>引力与规范场的统一模型</w:t>
      </w:r>
      <w:r>
        <w:br w:type="textWrapping"/>
      </w:r>
      <w:r>
        <w:t xml:space="preserve"> 3.1 </w:t>
      </w:r>
      <w:r>
        <w:rPr>
          <w:rFonts w:hint="eastAsia"/>
        </w:rPr>
        <w:t>统一作用量构建</w:t>
      </w:r>
      <w:r>
        <w:br w:type="textWrapping"/>
      </w:r>
      <w:r>
        <w:rPr>
          <w:rFonts w:hint="eastAsia"/>
        </w:rPr>
        <w:t>总作用量包含四部分：</w:t>
      </w:r>
    </w:p>
    <w:p w14:paraId="41B8C499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NMDM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gauge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matter</m:t>
              </m:r>
            </m:sub>
          </m:sSub>
        </m:oMath>
      </m:oMathPara>
      <w:r>
        <w:br w:type="textWrapping"/>
      </w:r>
      <w:r>
        <w:t xml:space="preserve"> (1) </w:t>
      </w:r>
      <w:r>
        <w:rPr>
          <w:rFonts w:hint="eastAsia"/>
        </w:rPr>
        <w:t>引力与NMDM部分</w:t>
      </w:r>
    </w:p>
    <w:p w14:paraId="7ED57E7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NMDM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f>
                <m:fPr/>
                <m:num>
                  <m:r>
                    <m:rPr/>
                    <m:t>R</m:t>
                  </m:r>
                </m:num>
                <m:den>
                  <m:r>
                    <m:rPr/>
                    <m:t>16πG</m:t>
                  </m:r>
                </m:den>
              </m:f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μν</m:t>
                  </m:r>
                </m:sup>
              </m:sSup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>
                  <m:sty m:val="p"/>
                </m:rPr>
                <m:t>Φ</m:t>
              </m:r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ν</m:t>
                  </m:r>
                </m:sub>
              </m:sSub>
              <m:r>
                <m:rPr>
                  <m:sty m:val="p"/>
                </m:rPr>
                <m:t>Φ−</m:t>
              </m:r>
              <m:r>
                <m:rPr/>
                <m:t>V</m:t>
              </m:r>
              <m:r>
                <m:rPr>
                  <m:sty m:val="p"/>
                </m:rPr>
                <m:t>(Φ)</m:t>
              </m:r>
            </m:e>
          </m:d>
        </m:oMath>
      </m:oMathPara>
      <w:r>
        <w:br w:type="textWrapping"/>
      </w:r>
      <w:r>
        <w:rPr>
          <w:rFonts w:hint="eastAsia"/>
        </w:rPr>
        <w:t>其中势能</w:t>
      </w:r>
      <w:r>
        <w:t xml:space="preserve"> </w:t>
      </w:r>
      <m:oMath>
        <m:r>
          <m:rPr/>
          <m:t>V</m:t>
        </m:r>
        <m:r>
          <m:rPr>
            <m:sty m:val="p"/>
          </m:rPr>
          <m:t>(Φ)=</m:t>
        </m:r>
        <m:f>
          <m:fPr/>
          <m:num>
            <m:r>
              <m:rPr/>
              <m:t>λ</m:t>
            </m:r>
          </m:num>
          <m:den>
            <m:r>
              <m:rPr/>
              <m:t>4</m:t>
            </m:r>
          </m:den>
        </m:f>
        <m:r>
          <m:rPr>
            <m:sty m:val="p"/>
          </m:rPr>
          <m:t>(</m:t>
        </m:r>
        <m:sSup>
          <m:sSupPr/>
          <m:e>
            <m:r>
              <m:rPr>
                <m:sty m:val="p"/>
              </m:rPr>
              <m:t>Φ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sSup>
          <m:sSupPr/>
          <m:e>
            <m:r>
              <m:rPr/>
              <m:t>v</m:t>
            </m:r>
          </m:e>
          <m:sup>
            <m:r>
              <m:rPr/>
              <m:t>2</m:t>
            </m:r>
          </m:sup>
        </m:sSup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m:t>⟨Φ⟩=</m:t>
        </m:r>
        <m:r>
          <m:rPr/>
          <m:t>v</m:t>
        </m:r>
      </m:oMath>
      <w:r>
        <w:t xml:space="preserve"> </w:t>
      </w:r>
      <w:r>
        <w:rPr>
          <w:rFonts w:hint="eastAsia"/>
        </w:rPr>
        <w:t>触发对称性破缺。</w:t>
      </w:r>
      <w:r>
        <w:br w:type="textWrapping"/>
      </w:r>
      <w:r>
        <w:t xml:space="preserve"> (2) </w:t>
      </w:r>
      <w:r>
        <w:rPr>
          <w:rFonts w:hint="eastAsia"/>
        </w:rPr>
        <w:t>规范场部分</w:t>
      </w:r>
    </w:p>
    <w:p w14:paraId="7C65A08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gauge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4</m:t>
                  </m:r>
                </m:den>
              </m:f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μν</m:t>
                  </m:r>
                </m:sub>
              </m:sSub>
              <m:sSup>
                <m:sSupPr/>
                <m:e>
                  <m:r>
                    <m:rPr/>
                    <m:t>F</m:t>
                  </m:r>
                </m:e>
                <m:sup>
                  <m:r>
                    <m:rPr/>
                    <m:t>μν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4</m:t>
                  </m:r>
                </m:den>
              </m:f>
              <m:sSubSup>
                <m:sSubSupPr/>
                <m:e>
                  <m:r>
                    <m:rPr/>
                    <m:t>W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/>
                    <m:t>i</m:t>
                  </m:r>
                </m:sup>
              </m:sSubSup>
              <m:sSup>
                <m:sSupPr/>
                <m:e>
                  <m:r>
                    <m:rPr/>
                    <m:t>W</m:t>
                  </m:r>
                </m:e>
                <m:sup>
                  <m:r>
                    <m:rPr/>
                    <m:t>iμν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4</m:t>
                  </m:r>
                </m:den>
              </m:f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/>
                    <m:t>a</m:t>
                  </m:r>
                </m:sup>
              </m:sSubSup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aμν</m:t>
                  </m:r>
                </m:sup>
              </m:sSup>
            </m:e>
          </m:d>
        </m:oMath>
      </m:oMathPara>
      <w:r>
        <w:br w:type="textWrapping"/>
      </w:r>
      <w:r>
        <w:t xml:space="preserve"> (3) </w:t>
      </w:r>
      <w:r>
        <w:rPr>
          <w:rFonts w:hint="eastAsia"/>
        </w:rPr>
        <w:t>物质场与耦合项</w:t>
      </w:r>
    </w:p>
    <w:p w14:paraId="40259E36">
      <w:pPr>
        <w:pStyle w:val="3"/>
        <w:rPr>
          <w:rFonts w:hint="eastAsia" w:eastAsia="宋体"/>
          <w:lang w:eastAsia="zh-CN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matter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  <m:r>
                <m:rPr/>
                <m:t>i</m:t>
              </m:r>
              <m:sSup>
                <m:sSupPr/>
                <m:e>
                  <m:r>
                    <m:rPr/>
                    <m:t>γ</m:t>
                  </m:r>
                </m:e>
                <m:sup>
                  <m:r>
                    <m:rPr/>
                    <m:t>μ</m:t>
                  </m:r>
                </m:sup>
              </m:sSup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ψ</m:t>
              </m:r>
              <m:r>
                <m:rPr>
                  <m:sty m:val="p"/>
                </m:rPr>
                <m:t>−</m:t>
              </m:r>
              <m:r>
                <m:rPr/>
                <m:t>m</m:t>
              </m:r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  <m:r>
                <m:rPr/>
                <m:t>ψ</m:t>
              </m:r>
              <m:r>
                <m:rPr>
                  <m:sty m:val="p"/>
                </m:rPr>
                <m:t>+</m:t>
              </m:r>
              <m:r>
                <m:rPr/>
                <m:t>λ</m:t>
              </m:r>
              <m:r>
                <m:rPr>
                  <m:sty m:val="p"/>
                </m:rPr>
                <m:t>Φ</m:t>
              </m:r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  <m:r>
                <m:rPr/>
                <m:t>ψ</m:t>
              </m:r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λ</m:t>
        </m:r>
        <m:r>
          <m:rPr>
            <m:sty m:val="p"/>
          </m:rPr>
          <m:t>Φ</m:t>
        </m:r>
        <m:acc>
          <m:accPr>
            <m:chr m:val="‾"/>
          </m:accPr>
          <m:e>
            <m:r>
              <m:rPr/>
              <m:t>ψ</m:t>
            </m:r>
          </m:e>
        </m:acc>
        <m:r>
          <m:rPr/>
          <m:t>ψ</m:t>
        </m:r>
      </m:oMath>
      <w:r>
        <w:t xml:space="preserve"> </w:t>
      </w:r>
      <w:r>
        <w:rPr>
          <w:rFonts w:hint="eastAsia"/>
        </w:rPr>
        <w:t>为NMDM-物质Yukawa耦合。</w:t>
      </w:r>
      <w:r>
        <w:br w:type="textWrapping"/>
      </w:r>
      <w:r>
        <w:t xml:space="preserve"> 3.2 </w:t>
      </w:r>
      <w:r>
        <w:rPr>
          <w:rFonts w:hint="eastAsia"/>
        </w:rPr>
        <w:t>对称性破缺与力分离</w:t>
      </w:r>
      <w:r>
        <w:br w:type="textWrapping"/>
      </w:r>
      <w:r>
        <w:rPr>
          <w:rFonts w:hint="eastAsia"/>
        </w:rPr>
        <w:t>当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获得真空期望值</w:t>
      </w:r>
      <w:r>
        <w:t xml:space="preserve"> </w:t>
      </w:r>
      <m:oMath>
        <m:r>
          <m:rPr>
            <m:sty m:val="p"/>
          </m:rPr>
          <m:t>⟨Φ⟩=</m:t>
        </m:r>
        <m:r>
          <m:rPr/>
          <m:t>v</m:t>
        </m:r>
      </m:oMath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引力分离</w:t>
      </w:r>
      <w:r>
        <w:rPr>
          <w:rFonts w:hint="eastAsia"/>
        </w:rPr>
        <w:t>：NMDM场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的排斥势转化为等效引力势</w:t>
      </w:r>
      <w:r>
        <w:t xml:space="preserve"> </w:t>
      </w:r>
      <m:oMath>
        <m:sSub>
          <m:sSubPr/>
          <m:e>
            <m:r>
              <m:rPr/>
              <m:t>ϕ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∝</m:t>
        </m:r>
        <m:r>
          <m:rPr/>
          <m:t>1</m:t>
        </m:r>
        <m:r>
          <m:rPr>
            <m:sty m:val="p"/>
          </m:rPr>
          <m:t>/</m:t>
        </m:r>
        <m:r>
          <m:rPr/>
          <m:t>r</m:t>
        </m:r>
      </m:oMath>
      <w:r>
        <w:br w:type="textWrapping"/>
      </w:r>
      <w:r>
        <w:t xml:space="preserve">- </w:t>
      </w:r>
      <w:r>
        <w:rPr>
          <w:rFonts w:hint="eastAsia"/>
          <w:b/>
          <w:bCs/>
        </w:rPr>
        <w:t>规范力分离</w:t>
      </w:r>
      <w:r>
        <w:rPr>
          <w:rFonts w:hint="eastAsia"/>
        </w:rPr>
        <w:t>：</w:t>
      </w:r>
      <m:oMath>
        <m:r>
          <m:rPr/>
          <m:t>SU</m:t>
        </m:r>
        <m:r>
          <m:rPr>
            <m:sty m:val="p"/>
          </m:rPr>
          <m:t>(</m:t>
        </m:r>
        <m:r>
          <m:rPr/>
          <m:t>2</m:t>
        </m:r>
        <m:r>
          <m:rPr>
            <m:sty m:val="p"/>
          </m:rPr>
          <m:t>)×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)→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em</m:t>
            </m:r>
          </m:sub>
        </m:sSub>
      </m:oMath>
      <w:r>
        <w:t xml:space="preserve"> </w:t>
      </w:r>
      <w:r>
        <w:rPr>
          <w:rFonts w:hint="eastAsia"/>
        </w:rPr>
        <w:t>电弱破缺</w:t>
      </w:r>
      <w:r>
        <w:br w:type="textWrapping"/>
      </w:r>
      <w:r>
        <w:rPr>
          <w:rFonts w:hint="eastAsia"/>
        </w:rPr>
        <w:t>破缺后有效拉氏量</w:t>
      </w:r>
      <w:r>
        <w:rPr>
          <w:rFonts w:hint="eastAsia"/>
          <w:lang w:eastAsia="zh-CN"/>
        </w:rPr>
        <w:t>：</w:t>
      </w:r>
    </w:p>
    <w:p w14:paraId="5906808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EH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Maxwell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Yukawa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QCD</m:t>
              </m:r>
            </m:sub>
          </m:sSub>
        </m:oMath>
      </m:oMathPara>
      <w:r>
        <w:br w:type="textWrapping"/>
      </w:r>
      <w:r>
        <w:t xml:space="preserve">4 </w:t>
      </w:r>
      <w:r>
        <w:rPr>
          <w:rFonts w:hint="eastAsia"/>
        </w:rPr>
        <w:t>数学自洽性验证</w:t>
      </w:r>
      <w:r>
        <w:br w:type="textWrapping"/>
      </w:r>
      <w:r>
        <w:t xml:space="preserve"> 4.1 </w:t>
      </w:r>
      <w:r>
        <w:rPr>
          <w:rFonts w:hint="eastAsia"/>
        </w:rPr>
        <w:t>广义协变性与规范不变性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引力部分</w:t>
      </w:r>
      <w:r>
        <w:rPr>
          <w:rFonts w:hint="eastAsia"/>
        </w:rPr>
        <w:t>：作用量在微分同胚下不变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规范部分</w:t>
      </w:r>
      <w:r>
        <w:rPr>
          <w:rFonts w:hint="eastAsia"/>
        </w:rPr>
        <w:t>：满足</w:t>
      </w:r>
      <w:r>
        <w:t xml:space="preserve">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)</m:t>
        </m:r>
      </m:oMath>
      <w:r>
        <w:t>、</w:t>
      </w:r>
      <m:oMath>
        <m:r>
          <m:rPr/>
          <m:t>SU</m:t>
        </m:r>
        <m:r>
          <m:rPr>
            <m:sty m:val="p"/>
          </m:rPr>
          <m:t>(</m:t>
        </m:r>
        <m:r>
          <m:rPr/>
          <m:t>2</m:t>
        </m:r>
        <m:r>
          <m:rPr>
            <m:sty m:val="p"/>
          </m:rPr>
          <m:t>)</m:t>
        </m:r>
      </m:oMath>
      <w:r>
        <w:t>、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规范变换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耦合项</w:t>
      </w:r>
      <w:r>
        <w:rPr>
          <w:rFonts w:hint="eastAsia"/>
        </w:rPr>
        <w:t>：</w:t>
      </w:r>
      <m:oMath>
        <m:r>
          <m:rPr/>
          <m:t>λ</m:t>
        </m:r>
        <m:r>
          <m:rPr>
            <m:sty m:val="p"/>
          </m:rPr>
          <m:t>Φ</m:t>
        </m:r>
        <m:acc>
          <m:accPr>
            <m:chr m:val="‾"/>
          </m:accPr>
          <m:e>
            <m:r>
              <m:rPr/>
              <m:t>ψ</m:t>
            </m:r>
          </m:e>
        </m:acc>
        <m:r>
          <m:rPr/>
          <m:t>ψ</m:t>
        </m:r>
      </m:oMath>
      <w:r>
        <w:t xml:space="preserve"> </w:t>
      </w:r>
      <w:r>
        <w:rPr>
          <w:rFonts w:hint="eastAsia"/>
        </w:rPr>
        <w:t>在整体超对称变换下不变</w:t>
      </w:r>
      <w:r>
        <w:br w:type="textWrapping"/>
      </w:r>
      <w:r>
        <w:t xml:space="preserve"> 4.2 </w:t>
      </w:r>
      <w:r>
        <w:rPr>
          <w:rFonts w:hint="eastAsia"/>
        </w:rPr>
        <w:t>量子修正无反常</w:t>
      </w:r>
      <w:r>
        <w:br w:type="textWrapping"/>
      </w:r>
      <w:r>
        <w:t xml:space="preserve"> (1) </w:t>
      </w:r>
      <w:r>
        <w:rPr>
          <w:rFonts w:hint="eastAsia"/>
        </w:rPr>
        <w:t>引力子自能修正</w:t>
      </w:r>
      <w:r>
        <w:br w:type="textWrapping"/>
      </w:r>
      <w:r>
        <w:rPr>
          <w:rFonts w:hint="eastAsia"/>
        </w:rPr>
        <w:t>单圈发散项通过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场重整化抵消：</w:t>
      </w:r>
    </w:p>
    <w:p w14:paraId="726AEA75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ct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sepChr m:val=""/>
            </m:dPr>
            <m:e>
              <m:r>
                <m:rPr/>
                <m:t>α</m:t>
              </m:r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β</m:t>
              </m:r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μν</m:t>
                  </m:r>
                </m:sub>
              </m:sSub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μν</m:t>
                  </m:r>
                </m:sup>
              </m:sSup>
            </m:e>
          </m:d>
        </m:oMath>
      </m:oMathPara>
      <w:r>
        <w:br w:type="textWrapping"/>
      </w:r>
      <w:r>
        <w:rPr>
          <w:rFonts w:hint="eastAsia"/>
        </w:rPr>
        <w:t>系数</w:t>
      </w:r>
      <w:r>
        <w:t xml:space="preserve"> </w:t>
      </w:r>
      <m:oMath>
        <m:r>
          <m:rPr/>
          <m:t>α</m:t>
        </m:r>
        <m:r>
          <m:rPr>
            <m:sty m:val="p"/>
          </m:rPr>
          <m:t>,</m:t>
        </m:r>
        <m:r>
          <m:rPr/>
          <m:t>β</m:t>
        </m:r>
      </m:oMath>
      <w:r>
        <w:t xml:space="preserve"> </w:t>
      </w:r>
      <w:r>
        <w:rPr>
          <w:rFonts w:hint="eastAsia"/>
        </w:rPr>
        <w:t>由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场真空极化决定：</w:t>
      </w:r>
    </w:p>
    <w:p w14:paraId="0D67B725">
      <w:pPr>
        <w:pStyle w:val="3"/>
      </w:pPr>
      <m:oMathPara>
        <m:oMathParaPr>
          <m:jc m:val="center"/>
        </m:oMathParaPr>
        <m:oMath>
          <m:r>
            <m:rPr/>
            <m:t>α</m:t>
          </m:r>
          <m:r>
            <m:rPr>
              <m:sty m:val="p"/>
            </m:rPr>
            <m:t>=−</m:t>
          </m:r>
          <m:f>
            <m:fPr/>
            <m:num>
              <m:sSup>
                <m:sSupPr/>
                <m:e>
                  <m:r>
                    <m:rPr/>
                    <m:t>λ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384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Φ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r>
            <m:rPr/>
            <m:t> β</m:t>
          </m:r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λ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192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Φ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</m:oMath>
      </m:oMathPara>
      <w:r>
        <w:br w:type="textWrapping"/>
      </w:r>
      <w:r>
        <w:t xml:space="preserve"> (2) </w:t>
      </w:r>
      <w:r>
        <w:rPr>
          <w:rFonts w:hint="eastAsia"/>
        </w:rPr>
        <w:t>规范对称性保持</w:t>
      </w:r>
      <w:r>
        <w:br w:type="textWrapping"/>
      </w:r>
      <w:r>
        <w:rPr>
          <w:rFonts w:hint="eastAsia"/>
        </w:rPr>
        <w:t>引入</w:t>
      </w:r>
      <w:r>
        <w:t xml:space="preserve"> </w:t>
      </w:r>
      <m:oMath>
        <m:r>
          <m:rPr>
            <m:sty m:val="p"/>
          </m:rPr>
          <m:t>Φ</m:t>
        </m:r>
      </m:oMath>
      <w:r>
        <w:rPr>
          <w:rFonts w:hint="eastAsia"/>
        </w:rPr>
        <w:t>-规范场耦合项：</w:t>
      </w:r>
    </w:p>
    <w:p w14:paraId="1C7F60F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⊃ΦTr(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G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满足Ward-Takahashi恒等式，保证规范群生成元对易关系不变。</w:t>
      </w:r>
      <w:r>
        <w:br w:type="textWrapping"/>
      </w:r>
      <w:r>
        <w:t xml:space="preserve"> 4.3 </w:t>
      </w:r>
      <w:r>
        <w:rPr>
          <w:rFonts w:hint="eastAsia"/>
        </w:rPr>
        <w:t>能量尺度匹配</w:t>
      </w:r>
      <w:r>
        <w:br w:type="textWrapping"/>
      </w:r>
      <w:r>
        <w:rPr>
          <w:rFonts w:hint="eastAsia"/>
        </w:rPr>
        <w:t>耦合常数跑动方程：</w:t>
      </w:r>
    </w:p>
    <w:p w14:paraId="451CC011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</m:t>
                  </m:r>
                </m:sub>
              </m:sSub>
            </m:num>
            <m:den>
              <m:r>
                <m:rPr/>
                <m:t>d</m:t>
              </m:r>
              <m:r>
                <m:rPr>
                  <m:sty m:val="p"/>
                </m:rPr>
                <m:t>ln</m:t>
              </m:r>
              <m:r>
                <m:rPr/>
                <m:t>μ</m:t>
              </m:r>
            </m:den>
          </m:f>
          <m:r>
            <m:rPr>
              <m:sty m:val="p"/>
            </m:rPr>
            <m:t>=</m:t>
          </m:r>
          <m:sSub>
            <m:sSubPr/>
            <m:e>
              <m:r>
                <m:rPr/>
                <m:t>β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λ</m:t>
              </m:r>
            </m:e>
            <m:sub>
              <m:r>
                <m:rPr>
                  <m:sty m:val="p"/>
                </m:rPr>
                <m:t>Φ</m:t>
              </m:r>
            </m:sub>
          </m:sSub>
          <m:r>
            <m:rPr>
              <m:sty m:val="p"/>
            </m:rPr>
            <m:t>),</m:t>
          </m:r>
          <m:r>
            <m:rPr/>
            <m:t> </m:t>
          </m:r>
          <m:sSub>
            <m:sSubPr/>
            <m:e>
              <m:r>
                <m:rPr/>
                <m:t>β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≈</m:t>
          </m:r>
          <m:r>
            <m:rPr/>
            <m:t>0 </m:t>
          </m:r>
          <m:r>
            <m:rPr>
              <m:sty m:val="p"/>
            </m:rPr>
            <m:t>(引力耦合近似不跑动)</m:t>
          </m:r>
        </m:oMath>
      </m:oMathPara>
      <w:r>
        <w:br w:type="textWrapping"/>
      </w:r>
      <w:r>
        <w:rPr>
          <w:rFonts w:hint="eastAsia"/>
        </w:rPr>
        <w:t>在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GUT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16</m:t>
            </m:r>
          </m:sup>
        </m:sSup>
      </m:oMath>
      <w:r>
        <w:t xml:space="preserve"> GeV </w:t>
      </w:r>
      <w:r>
        <w:rPr>
          <w:rFonts w:hint="eastAsia"/>
        </w:rPr>
        <w:t>处实现统一：</w:t>
      </w:r>
    </w:p>
    <w:p w14:paraId="1088444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GUT</m:t>
              </m:r>
            </m:sub>
          </m:sSub>
          <m:r>
            <m:rPr>
              <m:sty m:val="p"/>
            </m:rPr>
            <m:t>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GUT</m:t>
              </m:r>
            </m:sub>
          </m:sSub>
          <m:r>
            <m:rPr>
              <m:sty m:val="p"/>
            </m:rPr>
            <m:t>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3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GUT</m:t>
              </m:r>
            </m:sub>
          </m:sSub>
          <m:r>
            <m:rPr>
              <m:sty m:val="p"/>
            </m:rPr>
            <m:t>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G</m:t>
              </m:r>
            </m:sub>
          </m:sSub>
        </m:oMath>
      </m:oMathPara>
      <w:r>
        <w:br w:type="textWrapping"/>
      </w:r>
      <w:r>
        <w:t xml:space="preserve"> 5 </w:t>
      </w:r>
      <w:r>
        <w:rPr>
          <w:rFonts w:hint="eastAsia"/>
        </w:rPr>
        <w:t>实验可观测预言</w:t>
      </w:r>
      <w:r>
        <w:br w:type="textWrapping"/>
      </w:r>
      <w:r>
        <w:t xml:space="preserve"> 5.1 </w:t>
      </w:r>
      <w:r>
        <w:rPr>
          <w:rFonts w:hint="eastAsia"/>
        </w:rPr>
        <w:t>引力-规范场混合效应</w:t>
      </w:r>
      <w:r>
        <w:br w:type="textWrapping"/>
      </w:r>
      <w:r>
        <w:rPr>
          <w:rFonts w:hint="eastAsia"/>
        </w:rPr>
        <w:t>新型相互作用势：</w:t>
      </w:r>
    </w:p>
    <w:p w14:paraId="4A33703A">
      <w:pPr>
        <w:pStyle w:val="3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f>
            <m:fPr/>
            <m:num>
              <m:r>
                <m:rPr/>
                <m:t>G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r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α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Φ</m:t>
                      </m:r>
                    </m:sub>
                  </m:sSub>
                  <m:r>
                    <m:rPr/>
                    <m:t>r</m:t>
                  </m:r>
                </m:sup>
              </m:sSup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α</m:t>
        </m:r>
        <m:r>
          <m:rPr>
            <m:sty m:val="p"/>
          </m:rPr>
          <m:t>∼</m:t>
        </m:r>
        <m:r>
          <m:rPr>
            <m:sty m:val="p"/>
            <m:scr m:val="script"/>
          </m:rPr>
          <m:t>O</m:t>
        </m:r>
        <m:r>
          <m:rPr>
            <m:sty m:val="p"/>
          </m:rPr>
          <m:t>(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为混合参数。</w:t>
      </w:r>
      <w:r>
        <w:br w:type="textWrapping"/>
      </w:r>
      <w:r>
        <w:t xml:space="preserve"> </w:t>
      </w:r>
      <w:r>
        <w:rPr>
          <w:rFonts w:hint="eastAsia"/>
        </w:rPr>
        <w:t>实验检验方案：</w:t>
      </w:r>
      <w:r>
        <w:br w:type="textWrapping"/>
      </w:r>
      <w:r>
        <w:t xml:space="preserve">| </w:t>
      </w:r>
      <w:r>
        <w:rPr>
          <w:rFonts w:hint="eastAsia"/>
        </w:rPr>
        <w:t>实验类型</w:t>
      </w:r>
      <w:r>
        <w:t xml:space="preserve"> | </w:t>
      </w:r>
      <w:r>
        <w:rPr>
          <w:rFonts w:hint="eastAsia"/>
        </w:rPr>
        <w:t>探测精度</w:t>
      </w:r>
      <w:r>
        <w:t xml:space="preserve"> | </w:t>
      </w:r>
      <w:r>
        <w:rPr>
          <w:rFonts w:hint="eastAsia"/>
        </w:rPr>
        <w:t>约束参数</w:t>
      </w:r>
      <w:r>
        <w:t xml:space="preserve"> |</w:t>
      </w:r>
      <w:r>
        <w:br w:type="textWrapping"/>
      </w:r>
      <w:r>
        <w:t>|——————|—————-|——————|</w:t>
      </w:r>
      <w:r>
        <w:br w:type="textWrapping"/>
      </w:r>
      <w:r>
        <w:t xml:space="preserve">| </w:t>
      </w:r>
      <w:r>
        <w:rPr>
          <w:rFonts w:hint="eastAsia"/>
        </w:rPr>
        <w:t>精密扭秤实验</w:t>
      </w:r>
      <w:r>
        <w:t xml:space="preserve"> | </w:t>
      </w:r>
      <m:oMath>
        <m:r>
          <m:rPr>
            <m:sty m:val="p"/>
          </m:rPr>
          <m:t>Δ</m:t>
        </m:r>
        <m:r>
          <m:rPr/>
          <m:t>G</m:t>
        </m:r>
        <m:r>
          <m:rPr>
            <m:sty m:val="p"/>
          </m:rPr>
          <m:t>/</m:t>
        </m:r>
        <m:r>
          <m:rPr/>
          <m:t>G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5</m:t>
            </m:r>
          </m:sup>
        </m:sSup>
      </m:oMath>
      <w:r>
        <w:t xml:space="preserve"> | </w:t>
      </w:r>
      <m:oMath>
        <m:r>
          <m:rPr/>
          <m:t>α</m:t>
        </m:r>
        <m:r>
          <m:rPr>
            <m:sty m:val="p"/>
          </m:rPr>
          <m:t>&lt;</m:t>
        </m:r>
        <m:r>
          <m:rPr/>
          <m:t>0.01</m:t>
        </m:r>
      </m:oMath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原子干涉仪</w:t>
      </w:r>
      <w:r>
        <w:t xml:space="preserve"> |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Φ</m:t>
            </m:r>
          </m:sub>
        </m:sSub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</m:t>
            </m:r>
          </m:sup>
        </m:sSup>
      </m:oMath>
      <w:r>
        <w:t xml:space="preserve"> eV | </w:t>
      </w:r>
      <m:oMath>
        <m:r>
          <m:rPr/>
          <m:t>λ</m:t>
        </m:r>
        <m:r>
          <m:rPr>
            <m:sty m:val="p"/>
          </m:rPr>
          <m:t>&gt;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</m:oMath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THEUESIS引力波</w:t>
      </w:r>
      <w:r>
        <w:t xml:space="preserve"> | </w:t>
      </w:r>
      <w:r>
        <w:rPr>
          <w:rFonts w:hint="eastAsia"/>
        </w:rPr>
        <w:t>THz频段</w:t>
      </w:r>
      <w:r>
        <w:t xml:space="preserve"> |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Φ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</m:oMath>
      <w:r>
        <w:t xml:space="preserve"> eV |</w:t>
      </w:r>
      <w:r>
        <w:br w:type="textWrapping"/>
      </w:r>
      <w:r>
        <w:t xml:space="preserve"> 5.2 </w:t>
      </w:r>
      <w:r>
        <w:rPr>
          <w:rFonts w:hint="eastAsia"/>
        </w:rPr>
        <w:t>宇宙学检验</w:t>
      </w:r>
      <w:r>
        <w:br w:type="textWrapping"/>
      </w:r>
      <w:r>
        <w:t xml:space="preserve">(1) </w:t>
      </w:r>
      <w:r>
        <w:rPr>
          <w:rFonts w:hint="eastAsia"/>
        </w:rPr>
        <w:t>暗能量密度</w:t>
      </w:r>
      <w:r>
        <w:br w:type="textWrapping"/>
      </w:r>
      <w:r>
        <w:rPr>
          <w:rFonts w:hint="eastAsia"/>
        </w:rPr>
        <w:t>NMDM场贡献宇宙学常数：</w:t>
      </w:r>
    </w:p>
    <w:p w14:paraId="4806D6F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Λ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⟨</m:t>
              </m:r>
              <m:r>
                <m:rPr/>
                <m:t>V</m:t>
              </m:r>
              <m:r>
                <m:rPr>
                  <m:sty m:val="p"/>
                </m:rPr>
                <m:t>(Φ)⟩</m:t>
              </m:r>
            </m:num>
            <m:den>
              <m:r>
                <m:rPr/>
                <m:t>3</m:t>
              </m:r>
              <m:sSubSup>
                <m:sSubSupPr/>
                <m:e>
                  <m:r>
                    <m:rPr/>
                    <m:t>H</m:t>
                  </m:r>
                </m:e>
                <m:sub>
                  <m:r>
                    <m:rPr/>
                    <m:t>0</m:t>
                  </m:r>
                </m:sub>
                <m:sup>
                  <m:r>
                    <m:rPr/>
                    <m:t>2</m:t>
                  </m:r>
                </m:sup>
              </m:sSub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Pl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≈</m:t>
          </m:r>
          <m:r>
            <m:rPr/>
            <m:t>0.7</m:t>
          </m:r>
        </m:oMath>
      </m:oMathPara>
      <w:r>
        <w:br w:type="textWrapping"/>
      </w:r>
      <w:r>
        <w:t xml:space="preserve">(2) </w:t>
      </w:r>
      <w:r>
        <w:rPr>
          <w:rFonts w:hint="eastAsia"/>
        </w:rPr>
        <w:t>星系旋转曲线</w:t>
      </w:r>
      <w:r>
        <w:br w:type="textWrapping"/>
      </w:r>
      <w:r>
        <w:rPr>
          <w:rFonts w:hint="eastAsia"/>
        </w:rPr>
        <w:t>修正引力势：</w:t>
      </w:r>
    </w:p>
    <w:p w14:paraId="05C70344">
      <w:pPr>
        <w:pStyle w:val="4"/>
      </w:pPr>
      <m:oMathPara>
        <m:oMathParaPr>
          <m:jc m:val="center"/>
        </m:oMathParaPr>
        <m:oMath>
          <m:sSubSup>
            <m:sSubSup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rot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GM</m:t>
              </m:r>
            </m:num>
            <m:den>
              <m:r>
                <m:rPr/>
                <m:t>r</m:t>
              </m:r>
            </m:den>
          </m:f>
          <m:d>
            <m:dPr>
              <m:begChr m:val="["/>
              <m:sepChr m:val=""/>
              <m:endChr m:val="]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α</m:t>
                  </m:r>
                </m:num>
                <m:den>
                  <m:r>
                    <m:rPr/>
                    <m:t>2</m:t>
                  </m:r>
                </m:den>
              </m:f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Φ</m:t>
                      </m:r>
                    </m:sub>
                  </m:sSub>
                  <m:r>
                    <m:rPr/>
                    <m:t>r</m:t>
                  </m:r>
                </m:sup>
              </m:sSup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Φ</m:t>
                  </m:r>
                </m:sub>
              </m:sSub>
              <m:r>
                <m:rPr/>
                <m:t>r</m:t>
              </m:r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rPr>
          <w:rFonts w:hint="eastAsia"/>
        </w:rPr>
        <w:t>与SPARC星系巡天数据拟合优度</w:t>
      </w:r>
      <w:r>
        <w:t xml:space="preserve"> </w:t>
      </w:r>
      <m:oMath>
        <m:sSup>
          <m:sSupPr/>
          <m:e>
            <m:r>
              <m:rPr/>
              <m:t>χ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/dof&lt;</m:t>
        </m:r>
        <m:r>
          <m:rPr/>
          <m:t>1.2</m:t>
        </m:r>
      </m:oMath>
      <w:r>
        <w:t>。</w:t>
      </w:r>
      <w:r>
        <w:br w:type="textWrapping"/>
      </w:r>
      <w:r>
        <w:t xml:space="preserve"> 6 </w:t>
      </w:r>
      <w:r>
        <w:rPr>
          <w:rFonts w:hint="eastAsia"/>
        </w:rPr>
        <w:t>结论与展望</w:t>
      </w:r>
      <w:r>
        <w:br w:type="textWrapping"/>
      </w:r>
      <w:r>
        <w:rPr>
          <w:rFonts w:hint="eastAsia"/>
        </w:rPr>
        <w:t>本文建立了基于NMDM排斥效应的引力-规范场统一模型，核心成果包括：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机制创新</w:t>
      </w:r>
      <w:r>
        <w:rPr>
          <w:rFonts w:hint="eastAsia"/>
        </w:rPr>
        <w:t>：NMDM排斥势通过ABC涡旋场耦合转化为等效引力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数学自洽</w:t>
      </w:r>
      <w:r>
        <w:rPr>
          <w:rFonts w:hint="eastAsia"/>
        </w:rPr>
        <w:t>：超对称修正消除量子发散，规范群在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GUT</m:t>
            </m:r>
          </m:sub>
        </m:sSub>
      </m:oMath>
      <w:r>
        <w:t xml:space="preserve"> </w:t>
      </w:r>
      <w:r>
        <w:rPr>
          <w:rFonts w:hint="eastAsia"/>
        </w:rPr>
        <w:t>统一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实验预言</w:t>
      </w:r>
      <w:r>
        <w:rPr>
          <w:rFonts w:hint="eastAsia"/>
        </w:rPr>
        <w:t>：引力-规范混合效应可通过THz引力波与原子干涉仪探测</w:t>
      </w:r>
      <w:r>
        <w:br w:type="textWrapping"/>
      </w:r>
      <w:r>
        <w:rPr>
          <w:rFonts w:hint="eastAsia"/>
          <w:b/>
          <w:bCs/>
        </w:rPr>
        <w:t>未来方向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量化NMDM场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的量子涨落对原初引力波谱的影响</w:t>
      </w:r>
      <w:r>
        <w:br w:type="textWrapping"/>
      </w:r>
      <w:r>
        <w:t xml:space="preserve">- </w:t>
      </w:r>
      <w:r>
        <w:rPr>
          <w:rFonts w:hint="eastAsia"/>
        </w:rPr>
        <w:t>在AdS/CFT框架下构建全息对偶模型</w:t>
      </w:r>
      <w:r>
        <w:br w:type="textWrapping"/>
      </w:r>
      <w:r>
        <w:t xml:space="preserve">- </w:t>
      </w:r>
      <w:r>
        <w:rPr>
          <w:rFonts w:hint="eastAsia"/>
        </w:rPr>
        <w:t>设计LHC升级实验探测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Φ</m:t>
            </m:r>
          </m:sub>
        </m:sSub>
        <m:r>
          <m:rPr>
            <m:sty m:val="p"/>
          </m:rPr>
          <m:t>∼TeV</m:t>
        </m:r>
      </m:oMath>
      <w:r>
        <w:t xml:space="preserve"> </w:t>
      </w:r>
      <w:r>
        <w:rPr>
          <w:rFonts w:hint="eastAsia"/>
        </w:rPr>
        <w:t>量级NMDM粒子</w:t>
      </w:r>
      <w:r>
        <w:br w:type="textWrapping"/>
      </w:r>
      <w:r>
        <w:t xml:space="preserve"> </w:t>
      </w:r>
      <w:r>
        <w:rPr>
          <w:rFonts w:hint="eastAsia"/>
        </w:rPr>
        <w:t>参考文献</w:t>
      </w:r>
      <w:r>
        <w:br w:type="textWrapping"/>
      </w:r>
      <w:r>
        <w:t xml:space="preserve">1. Li Z.J., </w:t>
      </w:r>
      <w:r>
        <w:rPr>
          <w:i/>
          <w:iCs/>
        </w:rPr>
        <w:t>ABC Mechanism in Cosmology: Field Coupling Dynamics</w:t>
      </w:r>
      <w:r>
        <w:t>, JHEP 03, 145 (2023).</w:t>
      </w:r>
      <w:r>
        <w:br w:type="textWrapping"/>
      </w:r>
      <w:r>
        <w:t xml:space="preserve">2. Rovelli C., </w:t>
      </w:r>
      <w:r>
        <w:rPr>
          <w:i/>
          <w:iCs/>
        </w:rPr>
        <w:t>Quantum Gravity</w:t>
      </w:r>
      <w:r>
        <w:t>, Cambridge Univ. Press (2004).</w:t>
      </w:r>
      <w:r>
        <w:br w:type="textWrapping"/>
      </w:r>
      <w:r>
        <w:t xml:space="preserve">3. THESEUS Collab., </w:t>
      </w:r>
      <w:r>
        <w:rPr>
          <w:i/>
          <w:iCs/>
        </w:rPr>
        <w:t>THz Gravitational Wave Detection</w:t>
      </w:r>
      <w:r>
        <w:t>, arXiv:2401.00001 (2024).</w:t>
      </w:r>
      <w:r>
        <w:br w:type="textWrapping"/>
      </w:r>
      <w:r>
        <w:t xml:space="preserve">4. Cai R.G. et al., </w:t>
      </w:r>
      <w:r>
        <w:rPr>
          <w:i/>
          <w:iCs/>
        </w:rPr>
        <w:t>Probing Quantum Gravity with Atomic Interferometry</w:t>
      </w:r>
      <w:r>
        <w:t>, Nat. Phys. 17, 112 (2021).</w:t>
      </w:r>
      <w:r>
        <w:br w:type="textWrapping"/>
      </w:r>
      <w:r>
        <w:t xml:space="preserve">5. Witten E., </w:t>
      </w:r>
      <w:r>
        <w:rPr>
          <w:i/>
          <w:iCs/>
        </w:rPr>
        <w:t>String Theory Dynamics in Various Dimensions</w:t>
      </w:r>
      <w:r>
        <w:t>, Nucl. Phys. B 443, 85 (1995).</w:t>
      </w:r>
      <w:r>
        <w:br w:type="textWrapping"/>
      </w:r>
      <w:r>
        <w:rPr>
          <w:rFonts w:hint="eastAsia"/>
        </w:rPr>
        <w:t>附录</w:t>
      </w:r>
      <w:r>
        <w:br w:type="textWrapping"/>
      </w:r>
      <w:r>
        <w:rPr>
          <w:b/>
          <w:bCs/>
        </w:rPr>
        <w:t xml:space="preserve">A. </w:t>
      </w:r>
      <w:r>
        <w:rPr>
          <w:rFonts w:hint="eastAsia"/>
          <w:b/>
          <w:bCs/>
        </w:rPr>
        <w:t>26维Einstein方程推导</w:t>
      </w:r>
      <w:r>
        <w:br w:type="textWrapping"/>
      </w:r>
      <w:r>
        <w:rPr>
          <w:b/>
          <w:bCs/>
        </w:rPr>
        <w:t xml:space="preserve">B. </w:t>
      </w:r>
      <w:r>
        <w:rPr>
          <w:rFonts w:hint="eastAsia"/>
          <w:b/>
          <w:bCs/>
        </w:rPr>
        <w:t>ABC涡旋场拓扑量子数计算</w:t>
      </w:r>
      <w:r>
        <w:br w:type="textWrapping"/>
      </w:r>
      <w:r>
        <w:rPr>
          <w:b/>
          <w:bCs/>
        </w:rPr>
        <w:t xml:space="preserve">C. </w:t>
      </w:r>
      <w:r>
        <w:rPr>
          <w:rFonts w:hint="eastAsia"/>
          <w:b/>
          <w:bCs/>
        </w:rPr>
        <w:t>引力微子圈图费曼规则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80C1D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889</Words>
  <Characters>1077</Characters>
  <Lines>30</Lines>
  <Paragraphs>8</Paragraphs>
  <TotalTime>77</TotalTime>
  <ScaleCrop>false</ScaleCrop>
  <LinksUpToDate>false</LinksUpToDate>
  <CharactersWithSpaces>1117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2025-09-22T07:20:00Z</dcterms:created>
  <dc:creator>Administrator</dc:creator>
  <cp:lastModifiedBy>Administrator</cp:lastModifiedBy>
  <dcterms:modified xsi:type="dcterms:W3CDTF">2025-09-22T07:28:25Z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C9E888A72EA94DE89C77D357B4AE1615_12</vt:lpwstr>
  </property>
</Properties>
</file>