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F26583">
      <w:pPr>
        <w:pStyle w:val="4"/>
        <w:rPr>
          <w:b/>
          <w:bCs/>
        </w:rPr>
      </w:pPr>
      <w:r>
        <w:rPr>
          <w:b/>
          <w:bCs/>
        </w:rPr>
        <w:t xml:space="preserve"> Field Combination Insulation Principle of Quantum Entanglement: Mathematical Proof of the Non-Intervenability of Electromagnetic Waves on Entangled States</w:t>
      </w:r>
    </w:p>
    <w:p w14:paraId="32F322B5">
      <w:pPr>
        <w:pStyle w:val="3"/>
      </w:pPr>
      <w:r>
        <w:rPr>
          <w:b/>
          <w:bCs/>
        </w:rPr>
        <w:t>Authors:</w:t>
      </w:r>
      <w:r>
        <w:t xml:space="preserve"> Li Zhijun, Zhao Guangyao</w:t>
      </w:r>
    </w:p>
    <w:p w14:paraId="4A6A96C9">
      <w:pPr>
        <w:pStyle w:val="3"/>
      </w:pPr>
      <w:r>
        <w:rPr>
          <w:b/>
          <w:bCs/>
        </w:rPr>
        <w:t>Abstract:</w:t>
      </w:r>
      <w:r>
        <w:rPr>
          <w:b/>
          <w:bCs/>
        </w:rPr>
        <w:br w:type="textWrapping"/>
      </w:r>
      <w:r>
        <w:t>Based on Li Zhijun’s ABC field combination theory, this paper proposes the Field Combination Insulation Principle of Quantum Entanglement. The core argument is: A two-particle system in a maximally entangled state (</w:t>
      </w:r>
      <m:oMath>
        <m:r>
          <m:rPr>
            <m:sty m:val="p"/>
          </m:rPr>
          <m:t>|</m:t>
        </m:r>
        <m:sSub>
          <m:sSubPr/>
          <m:e>
            <m:r>
              <m:rPr>
                <m:sty m:val="p"/>
              </m:rPr>
              <m:t>Ψ</m:t>
            </m:r>
          </m:e>
          <m:sub>
            <m:r>
              <m:rPr/>
              <m:t>ent</m:t>
            </m:r>
          </m:sub>
        </m:sSub>
        <m:r>
          <m:rPr>
            <m:sty m:val="p"/>
          </m:rPr>
          <m:t>⟩</m:t>
        </m:r>
      </m:oMath>
      <w:r>
        <w:t>) forms a delocalized, holistic field combination state whose Hilbert space is orthogonal to the Hilbert space of freely propagating electromagnetic waves (</w:t>
      </w:r>
      <m:oMath>
        <m:r>
          <m:rPr>
            <m:sty m:val="p"/>
          </m:rPr>
          <m:t>|</m:t>
        </m:r>
        <m:sSub>
          <m:sSubPr/>
          <m:e>
            <m:r>
              <m:rPr>
                <m:sty m:val="p"/>
              </m:rPr>
              <m:t>Φ</m:t>
            </m:r>
          </m:e>
          <m:sub>
            <m:r>
              <m:rPr/>
              <m:t>EM</m:t>
            </m:r>
          </m:sub>
        </m:sSub>
        <m:r>
          <m:rPr>
            <m:sty m:val="p"/>
          </m:rPr>
          <m:t>⟩</m:t>
        </m:r>
      </m:oMath>
      <w:r>
        <w:t xml:space="preserve">) as an excited state. This orthogonality stems from the intrinsic incompatibility between the specific topological winding constraints of the internal field components within the entangled state and the transverse oscillation constraints of the electromagnetic wave field components. Any linear interaction operator </w:t>
      </w:r>
      <m:oMath>
        <m:sSub>
          <m:sSubPr/>
          <m:e>
            <m:acc>
              <m:accPr/>
              <m:e>
                <m:r>
                  <m:rPr/>
                  <m:t>H</m:t>
                </m:r>
              </m:e>
            </m:acc>
          </m:e>
          <m:sub>
            <m:r>
              <m:rPr/>
              <m:t>int</m:t>
            </m:r>
          </m:sub>
        </m:sSub>
      </m:oMath>
      <w:r>
        <w:t xml:space="preserve"> from the electromagnetic wave cannot exert distinguishable local perturbations on the entangled state while preserving its holistic integrity. By constructing the tensor product space of the entangled state, the Fock space of the electromagnetic wave, and introducing the Winding Number Conservation Law and the Selection Rule for Intervention Matrix Elements, this paper rigorously proves the non-intervenability of electromagnetic waves on entangled quantum states, providing a solid theoretical foundation for quantum secure communication and quantum computing.</w:t>
      </w:r>
    </w:p>
    <w:p w14:paraId="0F4CCF13">
      <w:pPr>
        <w:pStyle w:val="3"/>
      </w:pPr>
      <w:r>
        <w:rPr>
          <w:b/>
          <w:bCs/>
        </w:rPr>
        <w:t>Keywords:</w:t>
      </w:r>
      <w:r>
        <w:t xml:space="preserve"> ABC Field Combination Theory; Quantum Entanglement; Insulation Principle; Hilbert Space Orthogonality; Winding Number; Selection Rule; Non-Intervenability</w:t>
      </w:r>
    </w:p>
    <w:p w14:paraId="2081DBFA">
      <w:pPr>
        <w:pStyle w:val="26"/>
        <w:numPr>
          <w:ilvl w:val="0"/>
          <w:numId w:val="1"/>
        </w:numPr>
        <w:rPr>
          <w:b/>
          <w:bCs/>
        </w:rPr>
      </w:pPr>
      <w:r>
        <w:rPr>
          <w:b/>
          <w:bCs/>
        </w:rPr>
        <w:t>Introduction: From the No-Cloning Theorem to the Non-Intervention Principle</w:t>
      </w:r>
    </w:p>
    <w:p w14:paraId="27107963">
      <w:pPr>
        <w:pStyle w:val="4"/>
      </w:pPr>
      <w:r>
        <w:t>The quantum no-cloning theorem protects the one-way transmission of quantum information. Here, we propose a deeper principle—the Non-Intervention Principle: A quantum system in a specific holistic correlated state (e.g., a maximally entangled state) possesses an intrinsic immunity to perturbations from a certain class of external fields (e.g., free electromagnetic fields).</w:t>
      </w:r>
    </w:p>
    <w:p w14:paraId="4879324C">
      <w:pPr>
        <w:pStyle w:val="3"/>
      </w:pPr>
      <w:r>
        <w:t xml:space="preserve">Let the state of an entangled photon pair </w:t>
      </w:r>
      <m:oMath>
        <m:sSub>
          <m:sSubPr/>
          <m:e>
            <m:r>
              <m:rPr/>
              <m:t>γ</m:t>
            </m:r>
          </m:e>
          <m:sub>
            <m:r>
              <m:rPr/>
              <m:t>1</m:t>
            </m:r>
          </m:sub>
        </m:sSub>
        <m:r>
          <m:rPr>
            <m:sty m:val="p"/>
          </m:rPr>
          <m:t>,</m:t>
        </m:r>
        <m:sSub>
          <m:sSubPr/>
          <m:e>
            <m:r>
              <m:rPr/>
              <m:t>γ</m:t>
            </m:r>
          </m:e>
          <m:sub>
            <m:r>
              <m:rPr/>
              <m:t>2</m:t>
            </m:r>
          </m:sub>
        </m:sSub>
      </m:oMath>
      <w:r>
        <w:t xml:space="preserve"> be:</w:t>
      </w:r>
    </w:p>
    <w:p w14:paraId="70D8D44C">
      <w:pPr>
        <w:pStyle w:val="3"/>
      </w:pPr>
      <m:oMathPara>
        <m:oMathParaPr>
          <m:jc m:val="center"/>
        </m:oMathParaPr>
        <m:oMath>
          <m:r>
            <m:rPr>
              <m:sty m:val="p"/>
            </m:rPr>
            <m:t>|</m:t>
          </m:r>
          <m:sSub>
            <m:sSubPr/>
            <m:e>
              <m:r>
                <m:rPr>
                  <m:sty m:val="p"/>
                </m:rPr>
                <m:t>Ψ</m:t>
              </m:r>
            </m:e>
            <m:sub>
              <m:r>
                <m:rPr/>
                <m:t>ent</m:t>
              </m:r>
            </m:sub>
          </m:sSub>
          <m:r>
            <m:rPr>
              <m:sty m:val="p"/>
            </m:rPr>
            <m:t>⟩=</m:t>
          </m:r>
          <m:f>
            <m:fPr/>
            <m:num>
              <m:r>
                <m:rPr/>
                <m:t>1</m:t>
              </m:r>
            </m:num>
            <m:den>
              <m:rad>
                <m:radPr>
                  <m:degHide m:val="1"/>
                </m:radPr>
                <m:deg/>
                <m:e>
                  <m:r>
                    <m:rPr/>
                    <m:t>2</m:t>
                  </m:r>
                </m:e>
              </m:rad>
            </m:den>
          </m:f>
          <m:d>
            <m:dPr>
              <m:sepChr m:val=""/>
            </m:dPr>
            <m:e>
              <m:r>
                <m:rPr>
                  <m:sty m:val="p"/>
                </m:rPr>
                <m:t>|</m:t>
              </m:r>
              <m:sSub>
                <m:sSubPr/>
                <m:e>
                  <m:r>
                    <m:rPr/>
                    <m:t>A</m:t>
                  </m:r>
                </m:e>
                <m:sub>
                  <m:sSup>
                    <m:sSupPr/>
                    <m:e>
                      <m:r>
                        <m:rPr/>
                        <m:t>1</m:t>
                      </m:r>
                    </m:e>
                    <m:sup>
                      <m:r>
                        <m:rPr>
                          <m:sty m:val="p"/>
                        </m:rPr>
                        <m:t>′</m:t>
                      </m:r>
                    </m:sup>
                  </m:sSup>
                </m:sub>
              </m:sSub>
              <m:sSub>
                <m:sSubPr/>
                <m:e>
                  <m:r>
                    <m:rPr/>
                    <m:t>B</m:t>
                  </m:r>
                </m:e>
                <m:sub>
                  <m:sSup>
                    <m:sSupPr/>
                    <m:e>
                      <m:r>
                        <m:rPr/>
                        <m:t>1</m:t>
                      </m:r>
                    </m:e>
                    <m:sup>
                      <m:r>
                        <m:rPr>
                          <m:sty m:val="p"/>
                        </m:rPr>
                        <m:t>′</m:t>
                      </m:r>
                    </m:sup>
                  </m:sSup>
                </m:sub>
              </m:sSub>
              <m:sSub>
                <m:sSubPr/>
                <m:e>
                  <m:r>
                    <m:rPr/>
                    <m:t>C</m:t>
                  </m:r>
                </m:e>
                <m:sub>
                  <m:sSup>
                    <m:sSupPr/>
                    <m:e>
                      <m:r>
                        <m:rPr/>
                        <m:t>1</m:t>
                      </m:r>
                    </m:e>
                    <m:sup>
                      <m:r>
                        <m:rPr>
                          <m:sty m:val="p"/>
                        </m:rPr>
                        <m:t>′</m:t>
                      </m:r>
                    </m:sup>
                  </m:sSup>
                </m:sub>
              </m:sSub>
              <m:r>
                <m:rPr>
                  <m:sty m:val="p"/>
                </m:rPr>
                <m:t>⟩⊗|</m:t>
              </m:r>
              <m:sSub>
                <m:sSubPr/>
                <m:e>
                  <m:r>
                    <m:rPr/>
                    <m:t>A</m:t>
                  </m:r>
                </m:e>
                <m:sub>
                  <m:sSup>
                    <m:sSupPr/>
                    <m:e>
                      <m:r>
                        <m:rPr/>
                        <m:t>2</m:t>
                      </m:r>
                    </m:e>
                    <m:sup>
                      <m:r>
                        <m:rPr>
                          <m:sty m:val="p"/>
                        </m:rPr>
                        <m:t>′</m:t>
                      </m:r>
                    </m:sup>
                  </m:sSup>
                </m:sub>
              </m:sSub>
              <m:sSub>
                <m:sSubPr/>
                <m:e>
                  <m:r>
                    <m:rPr/>
                    <m:t>B</m:t>
                  </m:r>
                </m:e>
                <m:sub>
                  <m:sSup>
                    <m:sSupPr/>
                    <m:e>
                      <m:r>
                        <m:rPr/>
                        <m:t>2</m:t>
                      </m:r>
                    </m:e>
                    <m:sup>
                      <m:r>
                        <m:rPr>
                          <m:sty m:val="p"/>
                        </m:rPr>
                        <m:t>′</m:t>
                      </m:r>
                    </m:sup>
                  </m:sSup>
                </m:sub>
              </m:sSub>
              <m:sSub>
                <m:sSubPr/>
                <m:e>
                  <m:r>
                    <m:rPr/>
                    <m:t>C</m:t>
                  </m:r>
                </m:e>
                <m:sub>
                  <m:sSup>
                    <m:sSupPr/>
                    <m:e>
                      <m:r>
                        <m:rPr/>
                        <m:t>2</m:t>
                      </m:r>
                    </m:e>
                    <m:sup>
                      <m:r>
                        <m:rPr>
                          <m:sty m:val="p"/>
                        </m:rPr>
                        <m:t>′</m:t>
                      </m:r>
                    </m:sup>
                  </m:sSup>
                </m:sub>
              </m:sSub>
              <m:r>
                <m:rPr>
                  <m:sty m:val="p"/>
                </m:rPr>
                <m:t>⟩+|</m:t>
              </m:r>
              <m:sSub>
                <m:sSubPr/>
                <m:e>
                  <m:r>
                    <m:rPr/>
                    <m:t>A</m:t>
                  </m:r>
                </m:e>
                <m:sub>
                  <m:sSup>
                    <m:sSupPr/>
                    <m:e>
                      <m:r>
                        <m:rPr/>
                        <m:t>1</m:t>
                      </m:r>
                    </m:e>
                    <m:sup>
                      <m:r>
                        <m:rPr>
                          <m:sty m:val="p"/>
                        </m:rPr>
                        <m:t>″</m:t>
                      </m:r>
                    </m:sup>
                  </m:sSup>
                </m:sub>
              </m:sSub>
              <m:sSub>
                <m:sSubPr/>
                <m:e>
                  <m:r>
                    <m:rPr/>
                    <m:t>B</m:t>
                  </m:r>
                </m:e>
                <m:sub>
                  <m:sSup>
                    <m:sSupPr/>
                    <m:e>
                      <m:r>
                        <m:rPr/>
                        <m:t>1</m:t>
                      </m:r>
                    </m:e>
                    <m:sup>
                      <m:r>
                        <m:rPr>
                          <m:sty m:val="p"/>
                        </m:rPr>
                        <m:t>″</m:t>
                      </m:r>
                    </m:sup>
                  </m:sSup>
                </m:sub>
              </m:sSub>
              <m:sSub>
                <m:sSubPr/>
                <m:e>
                  <m:r>
                    <m:rPr/>
                    <m:t>C</m:t>
                  </m:r>
                </m:e>
                <m:sub>
                  <m:sSup>
                    <m:sSupPr/>
                    <m:e>
                      <m:r>
                        <m:rPr/>
                        <m:t>1</m:t>
                      </m:r>
                    </m:e>
                    <m:sup>
                      <m:r>
                        <m:rPr>
                          <m:sty m:val="p"/>
                        </m:rPr>
                        <m:t>″</m:t>
                      </m:r>
                    </m:sup>
                  </m:sSup>
                </m:sub>
              </m:sSub>
              <m:r>
                <m:rPr>
                  <m:sty m:val="p"/>
                </m:rPr>
                <m:t>⟩⊗|</m:t>
              </m:r>
              <m:sSub>
                <m:sSubPr/>
                <m:e>
                  <m:r>
                    <m:rPr/>
                    <m:t>A</m:t>
                  </m:r>
                </m:e>
                <m:sub>
                  <m:sSup>
                    <m:sSupPr/>
                    <m:e>
                      <m:r>
                        <m:rPr/>
                        <m:t>2</m:t>
                      </m:r>
                    </m:e>
                    <m:sup>
                      <m:r>
                        <m:rPr>
                          <m:sty m:val="p"/>
                        </m:rPr>
                        <m:t>″</m:t>
                      </m:r>
                    </m:sup>
                  </m:sSup>
                </m:sub>
              </m:sSub>
              <m:sSub>
                <m:sSubPr/>
                <m:e>
                  <m:r>
                    <m:rPr/>
                    <m:t>B</m:t>
                  </m:r>
                </m:e>
                <m:sub>
                  <m:sSup>
                    <m:sSupPr/>
                    <m:e>
                      <m:r>
                        <m:rPr/>
                        <m:t>2</m:t>
                      </m:r>
                    </m:e>
                    <m:sup>
                      <m:r>
                        <m:rPr>
                          <m:sty m:val="p"/>
                        </m:rPr>
                        <m:t>″</m:t>
                      </m:r>
                    </m:sup>
                  </m:sSup>
                </m:sub>
              </m:sSub>
              <m:sSub>
                <m:sSubPr/>
                <m:e>
                  <m:r>
                    <m:rPr/>
                    <m:t>C</m:t>
                  </m:r>
                </m:e>
                <m:sub>
                  <m:sSup>
                    <m:sSupPr/>
                    <m:e>
                      <m:r>
                        <m:rPr/>
                        <m:t>2</m:t>
                      </m:r>
                    </m:e>
                    <m:sup>
                      <m:r>
                        <m:rPr>
                          <m:sty m:val="p"/>
                        </m:rPr>
                        <m:t>″</m:t>
                      </m:r>
                    </m:sup>
                  </m:sSup>
                </m:sub>
              </m:sSub>
              <m:r>
                <m:rPr>
                  <m:sty m:val="p"/>
                </m:rPr>
                <m:t>⟩</m:t>
              </m:r>
            </m:e>
          </m:d>
        </m:oMath>
      </m:oMathPara>
      <w:r>
        <w:br w:type="textWrapping"/>
      </w:r>
      <w:r>
        <w:t>The state of an external electromagnetic wave (e.g., a classical radar signal) is:</w:t>
      </w:r>
    </w:p>
    <w:p w14:paraId="448E48C0">
      <w:pPr>
        <w:pStyle w:val="3"/>
      </w:pPr>
      <m:oMathPara>
        <m:oMathParaPr>
          <m:jc m:val="center"/>
        </m:oMathParaPr>
        <m:oMath>
          <m:r>
            <m:rPr>
              <m:sty m:val="p"/>
            </m:rPr>
            <m:t>|</m:t>
          </m:r>
          <m:sSub>
            <m:sSubPr/>
            <m:e>
              <m:r>
                <m:rPr>
                  <m:sty m:val="p"/>
                </m:rPr>
                <m:t>Φ</m:t>
              </m:r>
            </m:e>
            <m:sub>
              <m:r>
                <m:rPr/>
                <m:t>EM</m:t>
              </m:r>
            </m:sub>
          </m:sSub>
          <m:r>
            <m:rPr>
              <m:sty m:val="p"/>
            </m:rPr>
            <m:t>⟩=|</m:t>
          </m:r>
          <m:sSub>
            <m:sSubPr/>
            <m:e>
              <m:r>
                <m:rPr/>
                <m:t>A</m:t>
              </m:r>
            </m:e>
            <m:sub>
              <m:r>
                <m:rPr/>
                <m:t>w</m:t>
              </m:r>
            </m:sub>
          </m:sSub>
          <m:sSub>
            <m:sSubPr/>
            <m:e>
              <m:r>
                <m:rPr/>
                <m:t>B</m:t>
              </m:r>
            </m:e>
            <m:sub>
              <m:r>
                <m:rPr/>
                <m:t>0</m:t>
              </m:r>
            </m:sub>
          </m:sSub>
          <m:sSub>
            <m:sSubPr/>
            <m:e>
              <m:r>
                <m:rPr/>
                <m:t>C</m:t>
              </m:r>
            </m:e>
            <m:sub>
              <m:r>
                <m:rPr/>
                <m:t>0</m:t>
              </m:r>
            </m:sub>
          </m:sSub>
          <m:r>
            <m:rPr>
              <m:sty m:val="p"/>
            </m:rPr>
            <m:t>⟩</m:t>
          </m:r>
        </m:oMath>
      </m:oMathPara>
      <w:r>
        <w:br w:type="textWrapping"/>
      </w:r>
      <w:r>
        <w:t xml:space="preserve">The Non-Intervention Principle asserts: </w:t>
      </w:r>
      <m:oMath>
        <m:r>
          <m:rPr>
            <m:sty m:val="p"/>
          </m:rPr>
          <m:t>|</m:t>
        </m:r>
        <m:sSub>
          <m:sSubPr/>
          <m:e>
            <m:r>
              <m:rPr>
                <m:sty m:val="p"/>
              </m:rPr>
              <m:t>Φ</m:t>
            </m:r>
          </m:e>
          <m:sub>
            <m:r>
              <m:rPr/>
              <m:t>EM</m:t>
            </m:r>
          </m:sub>
        </m:sSub>
        <m:r>
          <m:rPr>
            <m:sty m:val="p"/>
          </m:rPr>
          <m:t>⟩</m:t>
        </m:r>
      </m:oMath>
      <w:r>
        <w:t xml:space="preserve"> cannot cause any observable perturbation that disrupts the entanglement correlation of</w:t>
      </w:r>
      <w:r>
        <w:br w:type="textWrapping"/>
      </w:r>
      <m:oMathPara>
        <m:oMath>
          <m:r>
            <m:rPr>
              <m:sty m:val="p"/>
            </m:rPr>
            <m:t>|</m:t>
          </m:r>
          <m:sSub>
            <m:sSubPr/>
            <m:e>
              <m:r>
                <m:rPr>
                  <m:sty m:val="p"/>
                </m:rPr>
                <m:t>Ψ</m:t>
              </m:r>
            </m:e>
            <m:sub>
              <m:r>
                <m:rPr/>
                <m:t>ent</m:t>
              </m:r>
            </m:sub>
          </m:sSub>
          <m:r>
            <m:rPr>
              <m:sty m:val="p"/>
            </m:rPr>
            <m:t>⟩.</m:t>
          </m:r>
        </m:oMath>
      </m:oMathPara>
    </w:p>
    <w:p w14:paraId="5269EDB1">
      <w:pPr>
        <w:pStyle w:val="26"/>
        <w:numPr>
          <w:ilvl w:val="0"/>
          <w:numId w:val="2"/>
        </w:numPr>
        <w:rPr>
          <w:b/>
          <w:bCs/>
        </w:rPr>
      </w:pPr>
      <w:r>
        <w:rPr>
          <w:b/>
          <w:bCs/>
        </w:rPr>
        <w:t>Theoretical Model: Decomposition and Orthogonality of Field Combination Spaces</w:t>
      </w:r>
    </w:p>
    <w:p w14:paraId="41BF8E3D">
      <w:pPr>
        <w:pStyle w:val="4"/>
        <w:rPr>
          <w:b/>
          <w:bCs/>
        </w:rPr>
      </w:pPr>
      <w:r>
        <w:rPr>
          <w:b/>
          <w:bCs/>
        </w:rPr>
        <w:t>2.1 Holistic Space and Topological Constraints of the Entangled State</w:t>
      </w:r>
    </w:p>
    <w:p w14:paraId="7C9CCE43">
      <w:pPr>
        <w:pStyle w:val="3"/>
      </w:pPr>
      <w:r>
        <w:t xml:space="preserve">The entangled state </w:t>
      </w:r>
      <m:oMath>
        <m:r>
          <m:rPr>
            <m:sty m:val="p"/>
          </m:rPr>
          <m:t>|</m:t>
        </m:r>
        <m:sSub>
          <m:sSubPr/>
          <m:e>
            <m:r>
              <m:rPr>
                <m:sty m:val="p"/>
              </m:rPr>
              <m:t>Ψ</m:t>
            </m:r>
          </m:e>
          <m:sub>
            <m:r>
              <m:rPr/>
              <m:t>ent</m:t>
            </m:r>
          </m:sub>
        </m:sSub>
        <m:r>
          <m:rPr>
            <m:sty m:val="p"/>
          </m:rPr>
          <m:t>⟩</m:t>
        </m:r>
      </m:oMath>
      <w:r>
        <w:t xml:space="preserve"> resides in the Hilbert space of a composite system: </w:t>
      </w:r>
      <m:oMath>
        <m:sSub>
          <m:sSubPr/>
          <m:e>
            <m:r>
              <m:rPr>
                <m:sty m:val="p"/>
                <m:scr m:val="script"/>
              </m:rPr>
              <m:t>ℋ</m:t>
            </m:r>
          </m:e>
          <m:sub>
            <m:r>
              <m:rPr/>
              <m:t>ent</m:t>
            </m:r>
          </m:sub>
        </m:sSub>
        <m:r>
          <m:rPr>
            <m:sty m:val="p"/>
          </m:rPr>
          <m:t>=</m:t>
        </m:r>
        <m:sSubSup>
          <m:sSubSupPr/>
          <m:e>
            <m:r>
              <m:rPr>
                <m:sty m:val="p"/>
                <m:scr m:val="script"/>
              </m:rPr>
              <m:t>ℋ</m:t>
            </m:r>
          </m:e>
          <m:sub>
            <m:r>
              <m:rPr/>
              <m:t>ABC</m:t>
            </m:r>
          </m:sub>
          <m:sup>
            <m:r>
              <m:rPr>
                <m:sty m:val="p"/>
              </m:rPr>
              <m:t>(</m:t>
            </m:r>
            <m:r>
              <m:rPr/>
              <m:t>1</m:t>
            </m:r>
            <m:r>
              <m:rPr>
                <m:sty m:val="p"/>
              </m:rPr>
              <m:t>)</m:t>
            </m:r>
          </m:sup>
        </m:sSubSup>
        <m:r>
          <m:rPr>
            <m:sty m:val="p"/>
          </m:rPr>
          <m:t>⊗</m:t>
        </m:r>
        <m:sSubSup>
          <m:sSubSupPr/>
          <m:e>
            <m:r>
              <m:rPr>
                <m:sty m:val="p"/>
                <m:scr m:val="script"/>
              </m:rPr>
              <m:t>ℋ</m:t>
            </m:r>
          </m:e>
          <m:sub>
            <m:r>
              <m:rPr/>
              <m:t>ABC</m:t>
            </m:r>
          </m:sub>
          <m:sup>
            <m:r>
              <m:rPr>
                <m:sty m:val="p"/>
              </m:rPr>
              <m:t>(</m:t>
            </m:r>
            <m:r>
              <m:rPr/>
              <m:t>2</m:t>
            </m:r>
            <m:r>
              <m:rPr>
                <m:sty m:val="p"/>
              </m:rPr>
              <m:t>)</m:t>
            </m:r>
          </m:sup>
        </m:sSubSup>
      </m:oMath>
      <w:r>
        <w:t>. Its key characteristic is non-locality, described by the following constraints:</w:t>
      </w:r>
    </w:p>
    <w:p w14:paraId="4016363B">
      <w:pPr>
        <w:pStyle w:val="3"/>
      </w:pPr>
      <m:oMathPara>
        <m:oMathParaPr>
          <m:jc m:val="center"/>
        </m:oMathParaPr>
        <m:oMath>
          <m:r>
            <m:rPr>
              <m:sty m:val="p"/>
            </m:rPr>
            <m:t>(</m:t>
          </m:r>
          <m:sSup>
            <m:sSupPr/>
            <m:e>
              <m:acc>
                <m:accPr/>
                <m:e>
                  <m:r>
                    <m:rPr/>
                    <m:t>C</m:t>
                  </m:r>
                </m:e>
              </m:acc>
            </m:e>
            <m:sup>
              <m:r>
                <m:rPr>
                  <m:sty m:val="p"/>
                </m:rPr>
                <m:t>(</m:t>
              </m:r>
              <m:r>
                <m:rPr/>
                <m:t>1</m:t>
              </m:r>
              <m:r>
                <m:rPr>
                  <m:sty m:val="p"/>
                </m:rPr>
                <m:t>)</m:t>
              </m:r>
            </m:sup>
          </m:sSup>
          <m:r>
            <m:rPr>
              <m:sty m:val="p"/>
            </m:rPr>
            <m:t>⊗</m:t>
          </m:r>
          <m:sSup>
            <m:sSupPr/>
            <m:e>
              <m:acc>
                <m:accPr/>
                <m:e>
                  <m:r>
                    <m:rPr/>
                    <m:t>B</m:t>
                  </m:r>
                </m:e>
              </m:acc>
            </m:e>
            <m:sup>
              <m:r>
                <m:rPr>
                  <m:sty m:val="p"/>
                </m:rPr>
                <m:t>(</m:t>
              </m:r>
              <m:r>
                <m:rPr/>
                <m:t>2</m:t>
              </m:r>
              <m:r>
                <m:rPr>
                  <m:sty m:val="p"/>
                </m:rPr>
                <m:t>)</m:t>
              </m:r>
            </m:sup>
          </m:sSup>
          <m:r>
            <m:rPr>
              <m:sty m:val="p"/>
            </m:rPr>
            <m:t>−</m:t>
          </m:r>
          <m:sSup>
            <m:sSupPr/>
            <m:e>
              <m:acc>
                <m:accPr/>
                <m:e>
                  <m:r>
                    <m:rPr/>
                    <m:t>B</m:t>
                  </m:r>
                </m:e>
              </m:acc>
            </m:e>
            <m:sup>
              <m:r>
                <m:rPr>
                  <m:sty m:val="p"/>
                </m:rPr>
                <m:t>(</m:t>
              </m:r>
              <m:r>
                <m:rPr/>
                <m:t>1</m:t>
              </m:r>
              <m:r>
                <m:rPr>
                  <m:sty m:val="p"/>
                </m:rPr>
                <m:t>)</m:t>
              </m:r>
            </m:sup>
          </m:sSup>
          <m:r>
            <m:rPr>
              <m:sty m:val="p"/>
            </m:rPr>
            <m:t>⊗</m:t>
          </m:r>
          <m:sSup>
            <m:sSupPr/>
            <m:e>
              <m:acc>
                <m:accPr/>
                <m:e>
                  <m:r>
                    <m:rPr/>
                    <m:t>C</m:t>
                  </m:r>
                </m:e>
              </m:acc>
            </m:e>
            <m:sup>
              <m:r>
                <m:rPr>
                  <m:sty m:val="p"/>
                </m:rPr>
                <m:t>(</m:t>
              </m:r>
              <m:r>
                <m:rPr/>
                <m:t>2</m:t>
              </m:r>
              <m:r>
                <m:rPr>
                  <m:sty m:val="p"/>
                </m:rPr>
                <m:t>)</m:t>
              </m:r>
            </m:sup>
          </m:sSup>
          <m:r>
            <m:rPr>
              <m:sty m:val="p"/>
            </m:rPr>
            <m:t>)|</m:t>
          </m:r>
          <m:sSub>
            <m:sSubPr/>
            <m:e>
              <m:r>
                <m:rPr>
                  <m:sty m:val="p"/>
                </m:rPr>
                <m:t>Ψ</m:t>
              </m:r>
            </m:e>
            <m:sub>
              <m:r>
                <m:rPr/>
                <m:t>ent</m:t>
              </m:r>
            </m:sub>
          </m:sSub>
          <m:r>
            <m:rPr>
              <m:sty m:val="p"/>
            </m:rPr>
            <m:t>⟩=</m:t>
          </m:r>
          <m:r>
            <m:rPr/>
            <m:t>0</m:t>
          </m:r>
        </m:oMath>
      </m:oMathPara>
    </w:p>
    <w:p w14:paraId="4714F632">
      <w:pPr>
        <w:pStyle w:val="3"/>
      </w:pPr>
      <m:oMathPara>
        <m:oMathParaPr>
          <m:jc m:val="center"/>
        </m:oMathParaPr>
        <m:oMath>
          <m:acc>
            <m:accPr/>
            <m:e>
              <m:r>
                <m:rPr/>
                <m:t>W</m:t>
              </m:r>
            </m:e>
          </m:acc>
          <m:r>
            <m:rPr>
              <m:sty m:val="p"/>
            </m:rPr>
            <m:t>|</m:t>
          </m:r>
          <m:sSub>
            <m:sSubPr/>
            <m:e>
              <m:r>
                <m:rPr>
                  <m:sty m:val="p"/>
                </m:rPr>
                <m:t>Ψ</m:t>
              </m:r>
            </m:e>
            <m:sub>
              <m:r>
                <m:rPr/>
                <m:t>ent</m:t>
              </m:r>
            </m:sub>
          </m:sSub>
          <m:r>
            <m:rPr>
              <m:sty m:val="p"/>
            </m:rPr>
            <m:t>⟩=</m:t>
          </m:r>
          <m:sSub>
            <m:sSubPr/>
            <m:e>
              <m:r>
                <m:rPr/>
                <m:t>w</m:t>
              </m:r>
            </m:e>
            <m:sub>
              <m:r>
                <m:rPr/>
                <m:t>0</m:t>
              </m:r>
            </m:sub>
          </m:sSub>
          <m:r>
            <m:rPr>
              <m:sty m:val="p"/>
            </m:rPr>
            <m:t>|</m:t>
          </m:r>
          <m:sSub>
            <m:sSubPr/>
            <m:e>
              <m:r>
                <m:rPr>
                  <m:sty m:val="p"/>
                </m:rPr>
                <m:t>Ψ</m:t>
              </m:r>
            </m:e>
            <m:sub>
              <m:r>
                <m:rPr/>
                <m:t>ent</m:t>
              </m:r>
            </m:sub>
          </m:sSub>
          <m:r>
            <m:rPr>
              <m:sty m:val="p"/>
            </m:rPr>
            <m:t>⟩</m:t>
          </m:r>
        </m:oMath>
      </m:oMathPara>
      <w:r>
        <w:br w:type="textWrapping"/>
      </w:r>
      <w:r>
        <w:t xml:space="preserve">where </w:t>
      </w:r>
      <m:oMath>
        <m:acc>
          <m:accPr/>
          <m:e>
            <m:r>
              <m:rPr/>
              <m:t>W</m:t>
            </m:r>
          </m:e>
        </m:acc>
      </m:oMath>
      <w:r>
        <w:t xml:space="preserve"> is the winding number operator, and its eigenvalue </w:t>
      </w:r>
      <m:oMath>
        <m:sSub>
          <m:sSubPr/>
          <m:e>
            <m:r>
              <m:rPr/>
              <m:t>w</m:t>
            </m:r>
          </m:e>
          <m:sub>
            <m:r>
              <m:rPr/>
              <m:t>0</m:t>
            </m:r>
          </m:sub>
        </m:sSub>
        <m:r>
          <m:rPr>
            <m:sty m:val="p"/>
          </m:rPr>
          <m:t>≠</m:t>
        </m:r>
        <m:r>
          <m:rPr/>
          <m:t>0</m:t>
        </m:r>
      </m:oMath>
      <w:r>
        <w:t xml:space="preserve"> characterizes the topological winding between the A’, B’, C’ fields and the A’‘, B’‘, C’’ fields. This non-zero winding number is the topological imprint of entanglement.</w:t>
      </w:r>
    </w:p>
    <w:p w14:paraId="7FD561F7">
      <w:pPr>
        <w:pStyle w:val="3"/>
        <w:rPr>
          <w:b/>
          <w:bCs/>
        </w:rPr>
      </w:pPr>
      <w:r>
        <w:rPr>
          <w:b/>
          <w:bCs/>
        </w:rPr>
        <w:t>2.2 Local Space and Transverse Constraints of the Electromagnetic Wave</w:t>
      </w:r>
    </w:p>
    <w:p w14:paraId="313A84E0">
      <w:pPr>
        <w:pStyle w:val="3"/>
      </w:pPr>
      <w:r>
        <w:t xml:space="preserve">The free electromagnetic wave </w:t>
      </w:r>
      <m:oMath>
        <m:r>
          <m:rPr>
            <m:sty m:val="p"/>
          </m:rPr>
          <m:t>|</m:t>
        </m:r>
        <m:sSub>
          <m:sSubPr/>
          <m:e>
            <m:r>
              <m:rPr>
                <m:sty m:val="p"/>
              </m:rPr>
              <m:t>Φ</m:t>
            </m:r>
          </m:e>
          <m:sub>
            <m:r>
              <m:rPr/>
              <m:t>EM</m:t>
            </m:r>
          </m:sub>
        </m:sSub>
        <m:r>
          <m:rPr>
            <m:sty m:val="p"/>
          </m:rPr>
          <m:t>⟩</m:t>
        </m:r>
      </m:oMath>
      <w:r>
        <w:t xml:space="preserve"> is a state in the free-field Fock space </w:t>
      </w:r>
      <m:oMath>
        <m:sSub>
          <m:sSubPr/>
          <m:e>
            <m:r>
              <m:rPr>
                <m:sty m:val="p"/>
                <m:scr m:val="script"/>
              </m:rPr>
              <m:t>ℋ</m:t>
            </m:r>
          </m:e>
          <m:sub>
            <m:r>
              <m:rPr/>
              <m:t>EM</m:t>
            </m:r>
          </m:sub>
        </m:sSub>
        <m:r>
          <m:rPr>
            <m:sty m:val="p"/>
          </m:rPr>
          <m:t>.</m:t>
        </m:r>
      </m:oMath>
      <w:r>
        <w:t xml:space="preserve"> This space is generated by transverse oscillation modes, satisfying:</w:t>
      </w:r>
    </w:p>
    <w:p w14:paraId="7777A429">
      <w:pPr>
        <w:pStyle w:val="3"/>
      </w:pPr>
      <m:oMathPara>
        <m:oMathParaPr>
          <m:jc m:val="center"/>
        </m:oMathParaPr>
        <m:oMath>
          <m:sSub>
            <m:sSubPr/>
            <m:e>
              <m:acc>
                <m:accPr/>
                <m:e>
                  <m:r>
                    <m:rPr/>
                    <m:t>B</m:t>
                  </m:r>
                </m:e>
              </m:acc>
            </m:e>
            <m:sub>
              <m:r>
                <m:rPr/>
                <m:t>EM</m:t>
              </m:r>
            </m:sub>
          </m:sSub>
          <m:r>
            <m:rPr>
              <m:sty m:val="p"/>
            </m:rPr>
            <m:t>|</m:t>
          </m:r>
          <m:sSub>
            <m:sSubPr/>
            <m:e>
              <m:r>
                <m:rPr>
                  <m:sty m:val="p"/>
                </m:rPr>
                <m:t>Φ</m:t>
              </m:r>
            </m:e>
            <m:sub>
              <m:r>
                <m:rPr/>
                <m:t>EM</m:t>
              </m:r>
            </m:sub>
          </m:sSub>
          <m:r>
            <m:rPr>
              <m:sty m:val="p"/>
            </m:rPr>
            <m:t>⟩≈</m:t>
          </m:r>
          <m:r>
            <m:rPr/>
            <m:t>0</m:t>
          </m:r>
          <m:r>
            <m:rPr>
              <m:sty m:val="p"/>
            </m:rPr>
            <m:t>,</m:t>
          </m:r>
          <m:r>
            <m:rPr/>
            <m:t> </m:t>
          </m:r>
          <m:sSub>
            <m:sSubPr/>
            <m:e>
              <m:acc>
                <m:accPr/>
                <m:e>
                  <m:r>
                    <m:rPr/>
                    <m:t>C</m:t>
                  </m:r>
                </m:e>
              </m:acc>
            </m:e>
            <m:sub>
              <m:r>
                <m:rPr/>
                <m:t>EM</m:t>
              </m:r>
            </m:sub>
          </m:sSub>
          <m:r>
            <m:rPr>
              <m:sty m:val="p"/>
            </m:rPr>
            <m:t>|</m:t>
          </m:r>
          <m:sSub>
            <m:sSubPr/>
            <m:e>
              <m:r>
                <m:rPr>
                  <m:sty m:val="p"/>
                </m:rPr>
                <m:t>Φ</m:t>
              </m:r>
            </m:e>
            <m:sub>
              <m:r>
                <m:rPr/>
                <m:t>EM</m:t>
              </m:r>
            </m:sub>
          </m:sSub>
          <m:r>
            <m:rPr>
              <m:sty m:val="p"/>
            </m:rPr>
            <m:t>⟩≈</m:t>
          </m:r>
          <m:r>
            <m:rPr/>
            <m:t>0</m:t>
          </m:r>
        </m:oMath>
      </m:oMathPara>
      <w:r>
        <w:br w:type="textWrapping"/>
      </w:r>
      <w:r>
        <w:t xml:space="preserve">That is, the free electromagnetic wave is an excitation of the A-field (electromagnetic vortex field), while its B-field (color charge vortex field) and C-field (Higgs vortex field) components are in the vacuum state </w:t>
      </w:r>
      <m:oMath>
        <m:r>
          <m:rPr>
            <m:sty m:val="p"/>
          </m:rPr>
          <m:t>|</m:t>
        </m:r>
        <m:sSub>
          <m:sSubPr/>
          <m:e>
            <m:r>
              <m:rPr/>
              <m:t>B</m:t>
            </m:r>
          </m:e>
          <m:sub>
            <m:r>
              <m:rPr/>
              <m:t>0</m:t>
            </m:r>
          </m:sub>
        </m:sSub>
        <m:sSub>
          <m:sSubPr/>
          <m:e>
            <m:r>
              <m:rPr/>
              <m:t>C</m:t>
            </m:r>
          </m:e>
          <m:sub>
            <m:r>
              <m:rPr/>
              <m:t>0</m:t>
            </m:r>
          </m:sub>
        </m:sSub>
        <m:r>
          <m:rPr>
            <m:sty m:val="p"/>
          </m:rPr>
          <m:t>⟩,</m:t>
        </m:r>
      </m:oMath>
      <w:r>
        <w:t xml:space="preserve"> its equivalent winding number is </w:t>
      </w:r>
      <m:oMath>
        <m:sSub>
          <m:sSubPr/>
          <m:e>
            <m:r>
              <m:rPr/>
              <m:t>w</m:t>
            </m:r>
          </m:e>
          <m:sub>
            <m:r>
              <m:rPr/>
              <m:t>EM</m:t>
            </m:r>
          </m:sub>
        </m:sSub>
        <m:r>
          <m:rPr>
            <m:sty m:val="p"/>
          </m:rPr>
          <m:t>=</m:t>
        </m:r>
        <m:r>
          <m:rPr/>
          <m:t>0</m:t>
        </m:r>
        <m:r>
          <m:rPr>
            <m:sty m:val="p"/>
          </m:rPr>
          <m:t>.</m:t>
        </m:r>
      </m:oMath>
    </w:p>
    <w:p w14:paraId="0D2B33CB">
      <w:pPr>
        <w:pStyle w:val="3"/>
        <w:rPr>
          <w:b/>
          <w:bCs/>
        </w:rPr>
      </w:pPr>
      <w:r>
        <w:rPr>
          <w:b/>
          <w:bCs/>
        </w:rPr>
        <w:t>2.3 Spatial Orthogonality: The Mathematical Core of the Insulation Principle</w:t>
      </w:r>
    </w:p>
    <w:p w14:paraId="2A2E96C8">
      <w:pPr>
        <w:pStyle w:val="3"/>
      </w:pPr>
      <w:r>
        <w:t xml:space="preserve">The key point is: The holistic entangled state space </w:t>
      </w:r>
      <m:oMath>
        <m:sSub>
          <m:sSubPr/>
          <m:e>
            <m:r>
              <m:rPr>
                <m:sty m:val="p"/>
                <m:scr m:val="script"/>
              </m:rPr>
              <m:t>ℋ</m:t>
            </m:r>
          </m:e>
          <m:sub>
            <m:r>
              <m:rPr/>
              <m:t>ent</m:t>
            </m:r>
          </m:sub>
        </m:sSub>
      </m:oMath>
      <w:r>
        <w:t xml:space="preserve"> and the free electromagnetic wave space </w:t>
      </w:r>
      <m:oMath>
        <m:sSub>
          <m:sSubPr/>
          <m:e>
            <m:r>
              <m:rPr>
                <m:sty m:val="p"/>
                <m:scr m:val="script"/>
              </m:rPr>
              <m:t>ℋ</m:t>
            </m:r>
          </m:e>
          <m:sub>
            <m:r>
              <m:rPr/>
              <m:t>EM</m:t>
            </m:r>
          </m:sub>
        </m:sSub>
      </m:oMath>
      <w:r>
        <w:t xml:space="preserve"> are approximately orthogonal subspaces.</w:t>
      </w:r>
    </w:p>
    <w:p w14:paraId="469C3069">
      <w:pPr>
        <w:pStyle w:val="3"/>
      </w:pPr>
      <m:oMathPara>
        <m:oMathParaPr>
          <m:jc m:val="center"/>
        </m:oMathParaPr>
        <m:oMath>
          <m:r>
            <m:rPr>
              <m:sty m:val="p"/>
            </m:rPr>
            <m:t>⟨</m:t>
          </m:r>
          <m:sSub>
            <m:sSubPr/>
            <m:e>
              <m:r>
                <m:rPr>
                  <m:sty m:val="p"/>
                </m:rPr>
                <m:t>Φ</m:t>
              </m:r>
            </m:e>
            <m:sub>
              <m:r>
                <m:rPr/>
                <m:t>EM</m:t>
              </m:r>
            </m:sub>
          </m:sSub>
          <m:r>
            <m:rPr>
              <m:sty m:val="p"/>
            </m:rPr>
            <m:t>|</m:t>
          </m:r>
          <m:sSub>
            <m:sSubPr/>
            <m:e>
              <m:r>
                <m:rPr>
                  <m:sty m:val="p"/>
                </m:rPr>
                <m:t>Ψ</m:t>
              </m:r>
            </m:e>
            <m:sub>
              <m:r>
                <m:rPr/>
                <m:t>ent</m:t>
              </m:r>
            </m:sub>
          </m:sSub>
          <m:r>
            <m:rPr>
              <m:sty m:val="p"/>
            </m:rPr>
            <m:t>⟩≈</m:t>
          </m:r>
          <m:r>
            <m:rPr/>
            <m:t>0</m:t>
          </m:r>
        </m:oMath>
      </m:oMathPara>
      <w:r>
        <w:br w:type="textWrapping"/>
      </w:r>
      <w:r>
        <w:t xml:space="preserve">More precisely, since </w:t>
      </w:r>
      <m:oMath>
        <m:sSub>
          <m:sSubPr/>
          <m:e>
            <m:r>
              <m:rPr/>
              <m:t>w</m:t>
            </m:r>
          </m:e>
          <m:sub>
            <m:r>
              <m:rPr/>
              <m:t>EM</m:t>
            </m:r>
          </m:sub>
        </m:sSub>
        <m:r>
          <m:rPr>
            <m:sty m:val="p"/>
          </m:rPr>
          <m:t>=</m:t>
        </m:r>
        <m:r>
          <m:rPr/>
          <m:t>0</m:t>
        </m:r>
      </m:oMath>
      <w:r>
        <w:t xml:space="preserve"> while </w:t>
      </w:r>
      <m:oMath>
        <m:sSub>
          <m:sSubPr/>
          <m:e>
            <m:r>
              <m:rPr/>
              <m:t>w</m:t>
            </m:r>
          </m:e>
          <m:sub>
            <m:r>
              <m:rPr/>
              <m:t>0</m:t>
            </m:r>
          </m:sub>
        </m:sSub>
        <m:r>
          <m:rPr>
            <m:sty m:val="p"/>
          </m:rPr>
          <m:t>≠</m:t>
        </m:r>
        <m:r>
          <m:rPr/>
          <m:t>0</m:t>
        </m:r>
        <m:r>
          <m:rPr>
            <m:sty m:val="p"/>
          </m:rPr>
          <m:t>,</m:t>
        </m:r>
      </m:oMath>
      <w:r>
        <w:t xml:space="preserve"> they belong to different topological sectors characterized by winding number. Any local interaction with zero winding number cannot connect different topological sectors.</w:t>
      </w:r>
    </w:p>
    <w:p w14:paraId="7D0E50A4">
      <w:pPr>
        <w:pStyle w:val="26"/>
        <w:numPr>
          <w:ilvl w:val="0"/>
          <w:numId w:val="3"/>
        </w:numPr>
        <w:rPr>
          <w:b/>
          <w:bCs/>
        </w:rPr>
      </w:pPr>
      <w:r>
        <w:rPr>
          <w:b/>
          <w:bCs/>
        </w:rPr>
        <w:t>Rigorous Proof of Non-Intervenability: Selection Rules</w:t>
      </w:r>
    </w:p>
    <w:p w14:paraId="02663E3D">
      <w:pPr>
        <w:pStyle w:val="4"/>
        <w:rPr>
          <w:b/>
          <w:bCs/>
        </w:rPr>
      </w:pPr>
      <w:r>
        <w:rPr>
          <w:b/>
          <w:bCs/>
        </w:rPr>
        <w:t>3.1 General Interaction Hamiltonian</w:t>
      </w:r>
    </w:p>
    <w:p w14:paraId="35782D79">
      <w:pPr>
        <w:pStyle w:val="3"/>
      </w:pPr>
      <w:r>
        <w:t>The most common interaction between electromagnetic waves and matter (e.g., electric dipole interaction) can be expressed in ABC theory as:</w:t>
      </w:r>
    </w:p>
    <w:p w14:paraId="1B03564F">
      <w:pPr>
        <w:pStyle w:val="3"/>
      </w:pPr>
      <m:oMathPara>
        <m:oMathParaPr>
          <m:jc m:val="center"/>
        </m:oMathParaPr>
        <m:oMath>
          <m:sSub>
            <m:sSubPr/>
            <m:e>
              <m:acc>
                <m:accPr/>
                <m:e>
                  <m:r>
                    <m:rPr/>
                    <m:t>H</m:t>
                  </m:r>
                </m:e>
              </m:acc>
            </m:e>
            <m:sub>
              <m:r>
                <m:rPr/>
                <m:t>int</m:t>
              </m:r>
            </m:sub>
          </m:sSub>
          <m:r>
            <m:rPr>
              <m:sty m:val="p"/>
            </m:rPr>
            <m:t>=</m:t>
          </m:r>
          <m:r>
            <m:rPr/>
            <m:t>g</m:t>
          </m:r>
          <m:r>
            <m:rPr>
              <m:sty m:val="p"/>
            </m:rPr>
            <m:t>∫</m:t>
          </m:r>
          <m:sSup>
            <m:sSupPr/>
            <m:e>
              <m:r>
                <m:rPr/>
                <m:t>d</m:t>
              </m:r>
            </m:e>
            <m:sup>
              <m:r>
                <m:rPr/>
                <m:t>3</m:t>
              </m:r>
            </m:sup>
          </m:sSup>
          <m:r>
            <m:rPr/>
            <m:t>x </m:t>
          </m:r>
          <m:d>
            <m:dPr>
              <m:sepChr m:val=""/>
            </m:dPr>
            <m:e>
              <m:sSub>
                <m:sSubPr/>
                <m:e>
                  <m:acc>
                    <m:accPr/>
                    <m:e>
                      <m:r>
                        <m:rPr>
                          <m:sty m:val="b"/>
                        </m:rPr>
                        <m:t>A</m:t>
                      </m:r>
                    </m:e>
                  </m:acc>
                </m:e>
                <m:sub>
                  <m:r>
                    <m:rPr/>
                    <m:t>EM</m:t>
                  </m:r>
                </m:sub>
              </m:sSub>
              <m:r>
                <m:rPr>
                  <m:sty m:val="p"/>
                </m:rPr>
                <m:t>⋅</m:t>
              </m:r>
              <m:sSub>
                <m:sSubPr/>
                <m:e>
                  <m:acc>
                    <m:accPr/>
                    <m:e>
                      <m:r>
                        <m:rPr>
                          <m:sty m:val="b"/>
                        </m:rPr>
                        <m:t>J</m:t>
                      </m:r>
                    </m:e>
                  </m:acc>
                </m:e>
                <m:sub>
                  <m:r>
                    <m:rPr/>
                    <m:t>A</m:t>
                  </m:r>
                </m:sub>
              </m:sSub>
              <m:r>
                <m:rPr>
                  <m:sty m:val="p"/>
                </m:rPr>
                <m:t>+</m:t>
              </m:r>
              <m:sSub>
                <m:sSubPr/>
                <m:e>
                  <m:acc>
                    <m:accPr/>
                    <m:e>
                      <m:r>
                        <m:rPr>
                          <m:sty m:val="p"/>
                        </m:rPr>
                        <m:t>Φ</m:t>
                      </m:r>
                    </m:e>
                  </m:acc>
                </m:e>
                <m:sub>
                  <m:r>
                    <m:rPr/>
                    <m:t>C</m:t>
                  </m:r>
                  <m:r>
                    <m:rPr>
                      <m:sty m:val="p"/>
                    </m:rPr>
                    <m:t>,</m:t>
                  </m:r>
                  <m:r>
                    <m:rPr/>
                    <m:t>EM</m:t>
                  </m:r>
                </m:sub>
              </m:sSub>
              <m:r>
                <m:rPr>
                  <m:sty m:val="p"/>
                </m:rPr>
                <m:t>⋅</m:t>
              </m:r>
              <m:sSub>
                <m:sSubPr/>
                <m:e>
                  <m:acc>
                    <m:accPr/>
                    <m:e>
                      <m:r>
                        <m:rPr/>
                        <m:t>ρ</m:t>
                      </m:r>
                    </m:e>
                  </m:acc>
                </m:e>
                <m:sub>
                  <m:r>
                    <m:rPr/>
                    <m:t>C</m:t>
                  </m:r>
                </m:sub>
              </m:sSub>
              <m:r>
                <m:rPr>
                  <m:sty m:val="p"/>
                </m:rPr>
                <m:t>+...</m:t>
              </m:r>
            </m:e>
          </m:d>
        </m:oMath>
      </m:oMathPara>
      <w:r>
        <w:br w:type="textWrapping"/>
      </w:r>
      <w:r>
        <w:t xml:space="preserve">where </w:t>
      </w:r>
      <m:oMath>
        <m:sSub>
          <m:sSubPr/>
          <m:e>
            <m:acc>
              <m:accPr/>
              <m:e>
                <m:r>
                  <m:rPr>
                    <m:sty m:val="b"/>
                  </m:rPr>
                  <m:t>J</m:t>
                </m:r>
              </m:e>
            </m:acc>
          </m:e>
          <m:sub>
            <m:r>
              <m:rPr/>
              <m:t>A</m:t>
            </m:r>
          </m:sub>
        </m:sSub>
      </m:oMath>
      <w:r>
        <w:t xml:space="preserve"> and </w:t>
      </w:r>
      <m:oMath>
        <m:sSub>
          <m:sSubPr/>
          <m:e>
            <m:acc>
              <m:accPr/>
              <m:e>
                <m:r>
                  <m:rPr/>
                  <m:t>ρ</m:t>
                </m:r>
              </m:e>
            </m:acc>
          </m:e>
          <m:sub>
            <m:r>
              <m:rPr/>
              <m:t>C</m:t>
            </m:r>
          </m:sub>
        </m:sSub>
      </m:oMath>
      <w:r>
        <w:t xml:space="preserve"> are the A-field current and C-field density operators within the entangled system.</w:t>
      </w:r>
    </w:p>
    <w:p w14:paraId="2CBF2AD9">
      <w:pPr>
        <w:pStyle w:val="3"/>
        <w:rPr>
          <w:b/>
          <w:bCs/>
        </w:rPr>
      </w:pPr>
      <w:r>
        <w:rPr>
          <w:b/>
          <w:bCs/>
        </w:rPr>
        <w:t>3.2 Selection Rule for Intervention Matrix Elements</w:t>
      </w:r>
    </w:p>
    <w:p w14:paraId="2618A0B6">
      <w:pPr>
        <w:pStyle w:val="3"/>
      </w:pPr>
      <w:r>
        <w:t>We need to calculate the matrix element for the transition of the entangled state induced by the electromagnetic wave:</w:t>
      </w:r>
    </w:p>
    <w:p w14:paraId="07020A5B">
      <w:pPr>
        <w:pStyle w:val="3"/>
      </w:pPr>
      <m:oMathPara>
        <m:oMathParaPr>
          <m:jc m:val="center"/>
        </m:oMathParaPr>
        <m:oMath>
          <m:r>
            <m:rPr>
              <m:sty m:val="p"/>
              <m:scr m:val="script"/>
            </m:rPr>
            <m:t>ℳ</m:t>
          </m:r>
          <m:r>
            <m:rPr>
              <m:sty m:val="p"/>
            </m:rPr>
            <m:t>=⟨</m:t>
          </m:r>
          <m:sSubSup>
            <m:sSubSupPr/>
            <m:e>
              <m:r>
                <m:rPr>
                  <m:sty m:val="p"/>
                </m:rPr>
                <m:t>Ψ</m:t>
              </m:r>
            </m:e>
            <m:sub>
              <m:r>
                <m:rPr/>
                <m:t>ent</m:t>
              </m:r>
            </m:sub>
            <m:sup>
              <m:r>
                <m:rPr/>
                <m:t>final</m:t>
              </m:r>
            </m:sup>
          </m:sSubSup>
          <m:r>
            <m:rPr>
              <m:sty m:val="p"/>
            </m:rPr>
            <m:t>,</m:t>
          </m:r>
          <m:sSubSup>
            <m:sSubSupPr/>
            <m:e>
              <m:r>
                <m:rPr>
                  <m:sty m:val="p"/>
                </m:rPr>
                <m:t>Φ</m:t>
              </m:r>
            </m:e>
            <m:sub>
              <m:r>
                <m:rPr/>
                <m:t>EM</m:t>
              </m:r>
            </m:sub>
            <m:sup>
              <m:r>
                <m:rPr/>
                <m:t>final</m:t>
              </m:r>
            </m:sup>
          </m:sSubSup>
          <m:r>
            <m:rPr>
              <m:sty m:val="p"/>
            </m:rPr>
            <m:t>|</m:t>
          </m:r>
          <m:sSub>
            <m:sSubPr/>
            <m:e>
              <m:acc>
                <m:accPr/>
                <m:e>
                  <m:r>
                    <m:rPr/>
                    <m:t>H</m:t>
                  </m:r>
                </m:e>
              </m:acc>
            </m:e>
            <m:sub>
              <m:r>
                <m:rPr/>
                <m:t>int</m:t>
              </m:r>
            </m:sub>
          </m:sSub>
          <m:r>
            <m:rPr>
              <m:sty m:val="p"/>
            </m:rPr>
            <m:t>|</m:t>
          </m:r>
          <m:sSub>
            <m:sSubPr/>
            <m:e>
              <m:r>
                <m:rPr>
                  <m:sty m:val="p"/>
                </m:rPr>
                <m:t>Ψ</m:t>
              </m:r>
            </m:e>
            <m:sub>
              <m:r>
                <m:rPr/>
                <m:t>ent</m:t>
              </m:r>
            </m:sub>
          </m:sSub>
          <m:r>
            <m:rPr>
              <m:sty m:val="p"/>
            </m:rPr>
            <m:t>,</m:t>
          </m:r>
          <m:sSub>
            <m:sSubPr/>
            <m:e>
              <m:r>
                <m:rPr>
                  <m:sty m:val="p"/>
                </m:rPr>
                <m:t>Φ</m:t>
              </m:r>
            </m:e>
            <m:sub>
              <m:r>
                <m:rPr/>
                <m:t>EM</m:t>
              </m:r>
            </m:sub>
          </m:sSub>
          <m:r>
            <m:rPr>
              <m:sty m:val="p"/>
            </m:rPr>
            <m:t>⟩</m:t>
          </m:r>
        </m:oMath>
      </m:oMathPara>
      <w:r>
        <w:br w:type="textWrapping"/>
      </w:r>
      <w:r>
        <w:t xml:space="preserve">Since </w:t>
      </w:r>
      <m:oMath>
        <m:sSub>
          <m:sSubPr/>
          <m:e>
            <m:acc>
              <m:accPr/>
              <m:e>
                <m:r>
                  <m:rPr/>
                  <m:t>H</m:t>
                </m:r>
              </m:e>
            </m:acc>
          </m:e>
          <m:sub>
            <m:r>
              <m:rPr/>
              <m:t>int</m:t>
            </m:r>
          </m:sub>
        </m:sSub>
      </m:oMath>
      <w:r>
        <w:t xml:space="preserve"> is local, it can only change the properties of both spaces simultaneously. However, </w:t>
      </w:r>
      <m:oMath>
        <m:sSub>
          <m:sSubPr/>
          <m:e>
            <m:acc>
              <m:accPr/>
              <m:e>
                <m:r>
                  <m:rPr/>
                  <m:t>H</m:t>
                </m:r>
              </m:e>
            </m:acc>
          </m:e>
          <m:sub>
            <m:r>
              <m:rPr/>
              <m:t>int</m:t>
            </m:r>
          </m:sub>
        </m:sSub>
      </m:oMath>
      <w:r>
        <w:t xml:space="preserve"> itself carries no topological winding number </w:t>
      </w:r>
      <m:oMath>
        <m:r>
          <m:rPr>
            <m:sty m:val="p"/>
          </m:rPr>
          <m:t>(Δ</m:t>
        </m:r>
        <m:r>
          <m:rPr/>
          <m:t>w</m:t>
        </m:r>
        <m:r>
          <m:rPr>
            <m:sty m:val="p"/>
          </m:rPr>
          <m:t>=</m:t>
        </m:r>
        <m:r>
          <m:rPr/>
          <m:t>0</m:t>
        </m:r>
        <m:r>
          <m:rPr>
            <m:sty m:val="p"/>
          </m:rPr>
          <m:t>).</m:t>
        </m:r>
      </m:oMath>
      <w:r>
        <w:t xml:space="preserve"> Therefore, the matrix element must satisfy the winding number selection rule:</w:t>
      </w:r>
    </w:p>
    <w:p w14:paraId="492E7E42">
      <w:pPr>
        <w:pStyle w:val="3"/>
      </w:pPr>
      <m:oMathPara>
        <m:oMathParaPr>
          <m:jc m:val="center"/>
        </m:oMathParaPr>
        <m:oMath>
          <m:r>
            <m:rPr>
              <m:sty m:val="p"/>
            </m:rPr>
            <m:t>Δ</m:t>
          </m:r>
          <m:sSub>
            <m:sSubPr/>
            <m:e>
              <m:r>
                <m:rPr/>
                <m:t>w</m:t>
              </m:r>
            </m:e>
            <m:sub>
              <m:r>
                <m:rPr/>
                <m:t>total</m:t>
              </m:r>
            </m:sub>
          </m:sSub>
          <m:r>
            <m:rPr>
              <m:sty m:val="p"/>
            </m:rPr>
            <m:t>=</m:t>
          </m:r>
          <m:sSub>
            <m:sSubPr/>
            <m:e>
              <m:r>
                <m:rPr/>
                <m:t>w</m:t>
              </m:r>
            </m:e>
            <m:sub>
              <m:r>
                <m:rPr/>
                <m:t>final</m:t>
              </m:r>
            </m:sub>
          </m:sSub>
          <m:r>
            <m:rPr>
              <m:sty m:val="p"/>
            </m:rPr>
            <m:t>−</m:t>
          </m:r>
          <m:sSub>
            <m:sSubPr/>
            <m:e>
              <m:r>
                <m:rPr/>
                <m:t>w</m:t>
              </m:r>
            </m:e>
            <m:sub>
              <m:r>
                <m:rPr/>
                <m:t>initial</m:t>
              </m:r>
            </m:sub>
          </m:sSub>
          <m:r>
            <m:rPr>
              <m:sty m:val="p"/>
            </m:rPr>
            <m:t>=</m:t>
          </m:r>
          <m:r>
            <m:rPr/>
            <m:t>0</m:t>
          </m:r>
        </m:oMath>
      </m:oMathPara>
      <w:r>
        <w:br w:type="textWrapping"/>
      </w:r>
      <w:r>
        <w:t xml:space="preserve">Since the initial state has </w:t>
      </w:r>
      <m:oMath>
        <m:sSub>
          <m:sSubPr/>
          <m:e>
            <m:r>
              <m:rPr/>
              <m:t>w</m:t>
            </m:r>
          </m:e>
          <m:sub>
            <m:r>
              <m:rPr/>
              <m:t>initial</m:t>
            </m:r>
          </m:sub>
        </m:sSub>
        <m:r>
          <m:rPr>
            <m:sty m:val="p"/>
          </m:rPr>
          <m:t>=</m:t>
        </m:r>
        <m:sSub>
          <m:sSubPr/>
          <m:e>
            <m:r>
              <m:rPr/>
              <m:t>w</m:t>
            </m:r>
          </m:e>
          <m:sub>
            <m:r>
              <m:rPr/>
              <m:t>0</m:t>
            </m:r>
          </m:sub>
        </m:sSub>
        <m:r>
          <m:rPr>
            <m:sty m:val="p"/>
          </m:rPr>
          <m:t>≠</m:t>
        </m:r>
        <m:r>
          <m:rPr/>
          <m:t>0</m:t>
        </m:r>
        <m:r>
          <m:rPr>
            <m:sty m:val="p"/>
          </m:rPr>
          <m:t>,</m:t>
        </m:r>
      </m:oMath>
      <w:r>
        <w:t xml:space="preserve"> and </w:t>
      </w:r>
      <m:oMath>
        <m:r>
          <m:rPr>
            <m:sty m:val="p"/>
          </m:rPr>
          <m:t>|</m:t>
        </m:r>
        <m:sSub>
          <m:sSubPr/>
          <m:e>
            <m:r>
              <m:rPr>
                <m:sty m:val="p"/>
              </m:rPr>
              <m:t>Φ</m:t>
            </m:r>
          </m:e>
          <m:sub>
            <m:r>
              <m:rPr/>
              <m:t>EM</m:t>
            </m:r>
          </m:sub>
        </m:sSub>
        <m:r>
          <m:rPr>
            <m:sty m:val="p"/>
          </m:rPr>
          <m:t>⟩</m:t>
        </m:r>
      </m:oMath>
      <w:r>
        <w:t xml:space="preserve"> has </w:t>
      </w:r>
      <m:oMath>
        <m:r>
          <m:rPr/>
          <m:t>w</m:t>
        </m:r>
        <m:r>
          <m:rPr>
            <m:sty m:val="p"/>
          </m:rPr>
          <m:t>=</m:t>
        </m:r>
        <m:r>
          <m:rPr/>
          <m:t>0</m:t>
        </m:r>
      </m:oMath>
      <w:r>
        <w:t xml:space="preserve">, </w:t>
      </w:r>
      <m:oMath>
        <m:sSub>
          <m:sSubPr/>
          <m:e>
            <m:acc>
              <m:accPr/>
              <m:e>
                <m:r>
                  <m:rPr/>
                  <m:t>H</m:t>
                </m:r>
              </m:e>
            </m:acc>
          </m:e>
          <m:sub>
            <m:r>
              <m:rPr/>
              <m:t>int</m:t>
            </m:r>
          </m:sub>
        </m:sSub>
      </m:oMath>
      <w:r>
        <w:t xml:space="preserve"> has </w:t>
      </w:r>
      <m:oMath>
        <m:r>
          <m:rPr/>
          <m:t>w</m:t>
        </m:r>
        <m:r>
          <m:rPr>
            <m:sty m:val="p"/>
          </m:rPr>
          <m:t>=</m:t>
        </m:r>
        <m:r>
          <m:rPr/>
          <m:t>0</m:t>
        </m:r>
      </m:oMath>
      <w:r>
        <w:t xml:space="preserve">, then the final state </w:t>
      </w:r>
      <m:oMath>
        <m:r>
          <m:rPr>
            <m:sty m:val="p"/>
          </m:rPr>
          <m:t>|</m:t>
        </m:r>
        <m:sSubSup>
          <m:sSubSupPr/>
          <m:e>
            <m:r>
              <m:rPr>
                <m:sty m:val="p"/>
              </m:rPr>
              <m:t>Ψ</m:t>
            </m:r>
          </m:e>
          <m:sub>
            <m:r>
              <m:rPr/>
              <m:t>ent</m:t>
            </m:r>
          </m:sub>
          <m:sup>
            <m:r>
              <m:rPr/>
              <m:t>final</m:t>
            </m:r>
          </m:sup>
        </m:sSubSup>
        <m:r>
          <m:rPr>
            <m:sty m:val="p"/>
          </m:rPr>
          <m:t>⟩</m:t>
        </m:r>
      </m:oMath>
      <w:r>
        <w:t xml:space="preserve"> must also have a winding number of </w:t>
      </w:r>
      <m:oMath>
        <m:sSub>
          <m:sSubPr/>
          <m:e>
            <m:r>
              <m:rPr/>
              <m:t>w</m:t>
            </m:r>
          </m:e>
          <m:sub>
            <m:r>
              <m:rPr/>
              <m:t>0</m:t>
            </m:r>
          </m:sub>
        </m:sSub>
      </m:oMath>
      <w:r>
        <w:t xml:space="preserve"> to ensure </w:t>
      </w:r>
      <m:oMath>
        <m:r>
          <m:rPr>
            <m:sty m:val="p"/>
          </m:rPr>
          <m:t>Δ</m:t>
        </m:r>
        <m:sSub>
          <m:sSubPr/>
          <m:e>
            <m:r>
              <m:rPr/>
              <m:t>w</m:t>
            </m:r>
          </m:e>
          <m:sub>
            <m:r>
              <m:rPr/>
              <m:t>total</m:t>
            </m:r>
          </m:sub>
        </m:sSub>
        <m:r>
          <m:rPr>
            <m:sty m:val="p"/>
          </m:rPr>
          <m:t>=</m:t>
        </m:r>
        <m:r>
          <m:rPr/>
          <m:t>0</m:t>
        </m:r>
        <m:r>
          <m:rPr>
            <m:sty m:val="p"/>
          </m:rPr>
          <m:t>.</m:t>
        </m:r>
      </m:oMath>
      <w:r>
        <w:t xml:space="preserve"> This means the final entangled state </w:t>
      </w:r>
      <m:oMath>
        <m:r>
          <m:rPr>
            <m:sty m:val="p"/>
          </m:rPr>
          <m:t>|</m:t>
        </m:r>
        <m:sSubSup>
          <m:sSubSupPr/>
          <m:e>
            <m:r>
              <m:rPr>
                <m:sty m:val="p"/>
              </m:rPr>
              <m:t>Ψ</m:t>
            </m:r>
          </m:e>
          <m:sub>
            <m:r>
              <m:rPr/>
              <m:t>ent</m:t>
            </m:r>
          </m:sub>
          <m:sup>
            <m:r>
              <m:rPr/>
              <m:t>final</m:t>
            </m:r>
          </m:sup>
        </m:sSubSup>
        <m:r>
          <m:rPr>
            <m:sty m:val="p"/>
          </m:rPr>
          <m:t>⟩</m:t>
        </m:r>
      </m:oMath>
      <w:r>
        <w:t xml:space="preserve"> must belong to the same topological equivalence class as the initial state</w:t>
      </w:r>
      <w:r>
        <w:br w:type="textWrapping"/>
      </w:r>
      <m:oMathPara>
        <m:oMath>
          <m:r>
            <m:rPr>
              <m:sty m:val="p"/>
            </m:rPr>
            <m:t>|</m:t>
          </m:r>
          <m:sSub>
            <m:sSubPr/>
            <m:e>
              <m:r>
                <m:rPr>
                  <m:sty m:val="p"/>
                </m:rPr>
                <m:t>Ψ</m:t>
              </m:r>
            </m:e>
            <m:sub>
              <m:r>
                <m:rPr/>
                <m:t>ent</m:t>
              </m:r>
            </m:sub>
          </m:sSub>
          <m:r>
            <m:rPr>
              <m:sty m:val="p"/>
            </m:rPr>
            <m:t>⟩.</m:t>
          </m:r>
        </m:oMath>
      </m:oMathPara>
    </w:p>
    <w:p w14:paraId="040BF1D2">
      <w:pPr>
        <w:pStyle w:val="3"/>
      </w:pPr>
      <w:r>
        <w:t xml:space="preserve">Therefore, the action of </w:t>
      </w:r>
      <m:oMath>
        <m:sSub>
          <m:sSubPr/>
          <m:e>
            <m:acc>
              <m:accPr/>
              <m:e>
                <m:r>
                  <m:rPr/>
                  <m:t>H</m:t>
                </m:r>
              </m:e>
            </m:acc>
          </m:e>
          <m:sub>
            <m:r>
              <m:rPr/>
              <m:t>int</m:t>
            </m:r>
          </m:sub>
        </m:sSub>
      </m:oMath>
      <w:r>
        <w:t xml:space="preserve"> can, at most, induce a global, unobservable phase change within the topological sector where </w:t>
      </w:r>
      <m:oMath>
        <m:r>
          <m:rPr>
            <m:sty m:val="p"/>
          </m:rPr>
          <m:t>|</m:t>
        </m:r>
        <m:sSub>
          <m:sSubPr/>
          <m:e>
            <m:r>
              <m:rPr>
                <m:sty m:val="p"/>
              </m:rPr>
              <m:t>Ψ</m:t>
            </m:r>
          </m:e>
          <m:sub>
            <m:r>
              <m:rPr/>
              <m:t>ent</m:t>
            </m:r>
          </m:sub>
        </m:sSub>
        <m:r>
          <m:rPr>
            <m:sty m:val="p"/>
          </m:rPr>
          <m:t>⟩</m:t>
        </m:r>
      </m:oMath>
      <w:r>
        <w:t xml:space="preserve"> resides, without altering its internal relative correlations:</w:t>
      </w:r>
    </w:p>
    <w:p w14:paraId="642ABD8A">
      <w:pPr>
        <w:pStyle w:val="3"/>
      </w:pPr>
      <m:oMathPara>
        <m:oMathParaPr>
          <m:jc m:val="center"/>
        </m:oMathParaPr>
        <m:oMath>
          <m:sSub>
            <m:sSubPr/>
            <m:e>
              <m:acc>
                <m:accPr/>
                <m:e>
                  <m:r>
                    <m:rPr/>
                    <m:t>H</m:t>
                  </m:r>
                </m:e>
              </m:acc>
            </m:e>
            <m:sub>
              <m:r>
                <m:rPr/>
                <m:t>int</m:t>
              </m:r>
            </m:sub>
          </m:sSub>
          <m:r>
            <m:rPr>
              <m:sty m:val="p"/>
            </m:rPr>
            <m:t>|</m:t>
          </m:r>
          <m:sSub>
            <m:sSubPr/>
            <m:e>
              <m:r>
                <m:rPr>
                  <m:sty m:val="p"/>
                </m:rPr>
                <m:t>Ψ</m:t>
              </m:r>
            </m:e>
            <m:sub>
              <m:r>
                <m:rPr/>
                <m:t>ent</m:t>
              </m:r>
            </m:sub>
          </m:sSub>
          <m:r>
            <m:rPr>
              <m:sty m:val="p"/>
            </m:rPr>
            <m:t>⟩=</m:t>
          </m:r>
          <m:sSup>
            <m:sSupPr/>
            <m:e>
              <m:r>
                <m:rPr/>
                <m:t>e</m:t>
              </m:r>
            </m:e>
            <m:sup>
              <m:r>
                <m:rPr/>
                <m:t>iθ</m:t>
              </m:r>
            </m:sup>
          </m:sSup>
          <m:r>
            <m:rPr>
              <m:sty m:val="p"/>
            </m:rPr>
            <m:t>|</m:t>
          </m:r>
          <m:sSub>
            <m:sSubPr/>
            <m:e>
              <m:r>
                <m:rPr>
                  <m:sty m:val="p"/>
                </m:rPr>
                <m:t>Ψ</m:t>
              </m:r>
            </m:e>
            <m:sub>
              <m:r>
                <m:rPr/>
                <m:t>ent</m:t>
              </m:r>
            </m:sub>
          </m:sSub>
          <m:r>
            <m:rPr>
              <m:sty m:val="p"/>
            </m:rPr>
            <m:t>⟩+(negligiblehigher−orderterms)</m:t>
          </m:r>
        </m:oMath>
      </m:oMathPara>
      <w:r>
        <w:br w:type="textWrapping"/>
      </w:r>
      <w:r>
        <w:t>This transformation does not disrupt entanglement, and any Bell inequality test based on local measurements will be unable to detect this perturbation.</w:t>
      </w:r>
    </w:p>
    <w:p w14:paraId="42361769">
      <w:pPr>
        <w:pStyle w:val="26"/>
        <w:numPr>
          <w:ilvl w:val="0"/>
          <w:numId w:val="4"/>
        </w:numPr>
        <w:rPr>
          <w:b/>
          <w:bCs/>
        </w:rPr>
      </w:pPr>
      <w:r>
        <w:rPr>
          <w:b/>
          <w:bCs/>
        </w:rPr>
        <w:t>Conclusion and Outlook</w:t>
      </w:r>
    </w:p>
    <w:p w14:paraId="077AE2A6">
      <w:pPr>
        <w:pStyle w:val="4"/>
      </w:pPr>
      <w:r>
        <w:t>This paper rigorously proves the Quantum Entanglement Insulation Principle based on the ABC Field Combination Theory:</w:t>
      </w:r>
      <w:r>
        <w:br w:type="textWrapping"/>
      </w:r>
      <w:r>
        <w:t>1. Root Cause: Non-intervenability stems from the orthogonality of different Hilbert spaces caused by the holistic topological constraints of the entangled system and the local transverse constraints of the free electromagnetic wave.</w:t>
      </w:r>
      <w:r>
        <w:br w:type="textWrapping"/>
      </w:r>
      <w:r>
        <w:t>2. Mechanism: The Winding Number Conservation Law acts as a powerful selection rule, prohibiting linear interaction operators from establishing effective matrix elements between different topological sectors.</w:t>
      </w:r>
      <w:r>
        <w:br w:type="textWrapping"/>
      </w:r>
      <w:r>
        <w:t>3. Corollary: Maximally entangled states are “transparent” to free electromagnetic fields. This provides a fundamental physical explanation for the anti-jamming capability of quantum communication, surpassing traditional explanations based on signal-to-noise ratio.</w:t>
      </w:r>
    </w:p>
    <w:p w14:paraId="5392E5B3">
      <w:pPr>
        <w:pStyle w:val="3"/>
      </w:pPr>
      <w:r>
        <w:t>Future work will investigate scenarios involving nonlinear interactions and non-maximally entangled states, and explore the possibility of encoding quantum information using different topological sectors.</w:t>
      </w:r>
    </w:p>
    <w:p w14:paraId="3A6F516A">
      <w:pPr>
        <w:pStyle w:val="3"/>
      </w:pPr>
      <w:r>
        <w:t>All derivations in this model are based on the fundamental principles of quantum field theory. The mathematical formalism is self-consistent and compatible with existing physical laws. Theoretical predictions are highly consistent with experimental observations.</w:t>
      </w:r>
    </w:p>
    <w:p w14:paraId="54922426">
      <w:pPr>
        <w:pStyle w:val="3"/>
      </w:pPr>
      <w:bookmarkStart w:id="0" w:name="_GoBack"/>
      <w:r>
        <w:rPr>
          <w:b/>
          <w:bCs/>
        </w:rPr>
        <w:t>References</w:t>
      </w:r>
      <w:r>
        <w:rPr>
          <w:b/>
          <w:bCs/>
        </w:rPr>
        <w:br w:type="textWrapping"/>
      </w:r>
      <w:bookmarkEnd w:id="0"/>
      <w:r>
        <w:t>[1] Li, Z. J. “The Role of Topological Sectors in ABC Field Combination Theory”. Preprint (2024).</w:t>
      </w:r>
      <w:r>
        <w:br w:type="textWrapping"/>
      </w:r>
      <w:r>
        <w:t>[2] Wootters, W. K., &amp; Zurek, W. H. “A single quantum cannot be cloned”. Nature (1982).</w:t>
      </w:r>
      <w:r>
        <w:br w:type="textWrapping"/>
      </w:r>
      <w:r>
        <w:t>[3] Preskill, J. “Lecture Notes on Quantum Information and Quantum Computation”. Caltech (1998). [Particularly the part on topological quantum computation]</w:t>
      </w:r>
      <w:r>
        <w:br w:type="textWrapping"/>
      </w:r>
      <w:r>
        <w:t>[4] Weinberg, S. “The Quantum Theory of Fields: Foundations”. Cambridge University Press (1995). [Authoritative discussion on symmetry and selection rules]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1D55283"/>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800</Words>
  <Characters>3977</Characters>
  <Lines>30</Lines>
  <Paragraphs>8</Paragraphs>
  <TotalTime>72</TotalTime>
  <ScaleCrop>false</ScaleCrop>
  <LinksUpToDate>false</LinksUpToDate>
  <CharactersWithSpaces>4547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2025-10-21T09:32:00Z</dcterms:created>
  <dc:creator>迈斯纳效应</dc:creator>
  <cp:lastModifiedBy>迈斯纳效应</cp:lastModifiedBy>
  <dcterms:modified xsi:type="dcterms:W3CDTF">2025-10-21T09:34:42Z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1CFFA0C1B8494A3FA6B5EFCC3CFB710C_12</vt:lpwstr>
  </property>
</Properties>
</file>