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A781A">
      <w:pPr>
        <w:pStyle w:val="4"/>
        <w:rPr>
          <w:b/>
          <w:bCs/>
        </w:rPr>
      </w:pPr>
      <w:r>
        <w:t xml:space="preserve"> </w:t>
      </w:r>
      <w:r>
        <w:rPr>
          <w:b/>
          <w:bCs/>
        </w:rPr>
        <w:t>Modification of Maxwell’s Equations: A Proca Field Theory Extension Based on Non-Zero Photon Rest Mass</w:t>
      </w:r>
    </w:p>
    <w:p w14:paraId="10BBF5AB">
      <w:pPr>
        <w:pStyle w:val="3"/>
      </w:pPr>
      <w:r>
        <w:rPr>
          <w:b/>
          <w:bCs/>
        </w:rPr>
        <w:t>Authors:</w:t>
      </w:r>
      <w:r>
        <w:t xml:space="preserve"> Li Zhijun, Zhao Guangyao</w:t>
      </w:r>
    </w:p>
    <w:p w14:paraId="5BF86184">
      <w:pPr>
        <w:pStyle w:val="3"/>
      </w:pPr>
      <w:r>
        <w:rPr>
          <w:b/>
          <w:bCs/>
        </w:rPr>
        <w:t>Abstract:</w:t>
      </w:r>
      <w:r>
        <w:rPr>
          <w:b/>
          <w:bCs/>
        </w:rPr>
        <w:br w:type="textWrapping"/>
      </w:r>
      <w:r>
        <w:t>Based on the physical fact that the experimental upper limit on the photon rest mass (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48</m:t>
            </m:r>
          </m:sup>
        </m:sSup>
        <m:r>
          <m:rPr>
            <m:sty m:val="p"/>
          </m:rPr>
          <m:t>kg</m:t>
        </m:r>
      </m:oMath>
      <w:r>
        <w:t xml:space="preserve">) is non-zero, this paper proposes a fundamental modification to the classical Maxwell’s equations. The core argument is: Maxwell’s equations are a zero-mass approximation for the case where the photon rest mass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→</m:t>
        </m:r>
        <m:r>
          <m:rPr/>
          <m:t>0</m:t>
        </m:r>
      </m:oMath>
      <w:r>
        <w:t xml:space="preserve">; their more general form is the Proca equations, which describe photons with non-zero rest mass. By introducing a residual mass term </w:t>
      </w:r>
      <m:oMath>
        <m:sSubSup>
          <m:sSubSupPr/>
          <m:e>
            <m:r>
              <m:rPr/>
              <m:t>μ</m:t>
            </m:r>
          </m:e>
          <m:sub>
            <m:r>
              <m:rPr/>
              <m:t>γ</m:t>
            </m:r>
          </m:sub>
          <m:sup>
            <m:r>
              <m:rPr/>
              <m:t>2</m:t>
            </m:r>
          </m:sup>
        </m:sSubSup>
        <m:sSup>
          <m:sSupPr/>
          <m:e>
            <m:r>
              <m:rPr/>
              <m:t>A</m:t>
            </m:r>
          </m:e>
          <m:sup>
            <m:r>
              <m:rPr/>
              <m:t>μ</m:t>
            </m:r>
          </m:sup>
        </m:sSup>
        <m:r>
          <m:rPr>
            <m:sty m:val="p"/>
          </m:rPr>
          <m:t>,</m:t>
        </m:r>
      </m:oMath>
      <w:r>
        <w:t xml:space="preserve"> derived from Li Zhijun’s ABC field combination theory, where </w:t>
      </w:r>
      <m:oMath>
        <m:sSub>
          <m:sSubPr/>
          <m:e>
            <m:r>
              <m:rPr/>
              <m:t>μ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r>
          <m:rPr/>
          <m:t>c</m:t>
        </m:r>
        <m:r>
          <m:rPr>
            <m:sty m:val="p"/>
          </m:rPr>
          <m:t>/ℏ,</m:t>
        </m:r>
      </m:oMath>
      <w:r>
        <w:t xml:space="preserve"> we construct a modified electromagnetic field Lagrangian. This modification term is directly linked to the residual coupling energy 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</m:oMath>
      <w:r>
        <w:t xml:space="preserve"> of the C-field (Higgs field) within the photon’s field-combination state, i.e., </w:t>
      </w:r>
      <m:oMath>
        <m:sSubSup>
          <m:sSubSupPr/>
          <m:e>
            <m:r>
              <m:rPr/>
              <m:t>μ</m:t>
            </m:r>
          </m:e>
          <m:sub>
            <m:r>
              <m:rPr/>
              <m:t>γ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∝</m:t>
        </m:r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.</m:t>
        </m:r>
      </m:oMath>
      <w:r>
        <w:t xml:space="preserve"> The modified equations naturally predict the existence of a photon rest mass and perfectly reduce to the classical Maxwell’s equations in the limit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→</m:t>
        </m:r>
        <m:r>
          <m:rPr/>
          <m:t>0</m:t>
        </m:r>
        <m:r>
          <m:rPr>
            <m:sty m:val="p"/>
          </m:rPr>
          <m:t>.</m:t>
        </m:r>
      </m:oMath>
      <w:r>
        <w:t xml:space="preserve"> This work provides a new framework for unifying the mathematical form of electromagnetic theory with the physical reality of quantum field theory.</w:t>
      </w:r>
    </w:p>
    <w:p w14:paraId="02399AD0">
      <w:pPr>
        <w:pStyle w:val="3"/>
      </w:pPr>
      <w:r>
        <w:rPr>
          <w:b/>
          <w:bCs/>
        </w:rPr>
        <w:t>Keywords:</w:t>
      </w:r>
      <w:r>
        <w:t xml:space="preserve"> Modification of Maxwell’s equations; Proca equation; Photon rest mass; ABC field combination theory; Gauge symmetry breaking</w:t>
      </w:r>
    </w:p>
    <w:p w14:paraId="200FB6A9">
      <w:pPr>
        <w:pStyle w:val="2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Introduction: From Perfect Symmetry to Physical Reality</w:t>
      </w:r>
    </w:p>
    <w:p w14:paraId="719EBD8B">
      <w:pPr>
        <w:pStyle w:val="4"/>
      </w:pPr>
      <w:r>
        <w:t xml:space="preserve">Classical Maxwell’s equations are built upon the assumption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=</m:t>
        </m:r>
        <m:r>
          <m:rPr/>
          <m:t>0</m:t>
        </m:r>
        <m:r>
          <m:rPr>
            <m:sty m:val="p"/>
          </m:rPr>
          <m:t>,</m:t>
        </m:r>
      </m:oMath>
      <w:r>
        <w:t xml:space="preserve"> implying perfect U(1) gauge symmetry for the electromagnetic field. However, any physical theory should be an effective approximation of a more fundamental theory at some energy scale. The experimental upper limit on the photon rest mass suggests that electromagnetic theory might contain a tiny, yet non-zero, symmetry-breaking term. Based on Li Zhijun’s ABC field combination theory, the infinitely small but non-zero C-field component 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</m:oMath>
      <w:r>
        <w:t xml:space="preserve"> within the photon state </w:t>
      </w:r>
      <m:oMath>
        <m:r>
          <m:rPr>
            <m:sty m:val="p"/>
          </m:rPr>
          <m:t>|</m:t>
        </m:r>
        <m:r>
          <m:rPr/>
          <m:t>γ</m:t>
        </m:r>
        <m:r>
          <m:rPr>
            <m:sty m:val="p"/>
          </m:rPr>
          <m:t>⟩=|</m:t>
        </m:r>
        <m:sSub>
          <m:sSubPr/>
          <m:e>
            <m:r>
              <m:rPr>
                <m:sty m:val="b"/>
              </m:rPr>
              <m:t>A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b"/>
              </m:rPr>
              <m:t>B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⊗</m:t>
        </m:r>
        <m:sSub>
          <m:sSubPr/>
          <m:e>
            <m:r>
              <m:rPr>
                <m:sty m:val="b"/>
              </m:rPr>
              <m:t>C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⟩</m:t>
        </m:r>
      </m:oMath>
      <w:r>
        <w:t xml:space="preserve"> provides a natural physical origin for this symmetry breaking.</w:t>
      </w:r>
    </w:p>
    <w:p w14:paraId="046DC87F">
      <w:pPr>
        <w:pStyle w:val="26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Theoretical Model: Modified Lagrangian and Equations of Motion</w:t>
      </w:r>
    </w:p>
    <w:p w14:paraId="47DDF9D8">
      <w:pPr>
        <w:pStyle w:val="4"/>
        <w:rPr>
          <w:b/>
          <w:bCs/>
        </w:rPr>
      </w:pPr>
      <w:r>
        <w:rPr>
          <w:b/>
          <w:bCs/>
        </w:rPr>
        <w:t>2.1 Modified Electromagnetic Field Lagrangian</w:t>
      </w:r>
    </w:p>
    <w:p w14:paraId="00402379">
      <w:pPr>
        <w:pStyle w:val="3"/>
      </w:pPr>
      <w:r>
        <w:t>The most general relativistic Lagrangian for the electromagnetic field is the Proca Lagrangian, which takes the form:</w:t>
      </w:r>
    </w:p>
    <w:p w14:paraId="7BD05033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ℒ</m:t>
          </m:r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  <m:sSub>
                <m:sSubPr/>
                <m:e>
                  <m:r>
                    <m:rPr/>
                    <m:t>μ</m:t>
                  </m:r>
                </m:e>
                <m:sub>
                  <m:r>
                    <m:rPr/>
                    <m:t>0</m:t>
                  </m:r>
                </m:sub>
              </m:sSub>
            </m:den>
          </m:f>
          <m:sSub>
            <m:sSubPr/>
            <m:e>
              <m:r>
                <m:rPr/>
                <m:t>F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F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+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Sup>
            <m:sSubSupPr/>
            <m:e>
              <m:r>
                <m:rPr/>
                <m:t>μ</m:t>
              </m:r>
            </m:e>
            <m:sub>
              <m:r>
                <m:rPr/>
                <m:t>γ</m:t>
              </m:r>
            </m:sub>
            <m:sup>
              <m:r>
                <m:rPr/>
                <m:t>2</m:t>
              </m:r>
            </m:sup>
          </m:sSubSup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−</m:t>
          </m:r>
          <m:sSub>
            <m:sSubPr/>
            <m:e>
              <m:r>
                <m:rPr/>
                <m:t>J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</m:oMath>
      </m:oMathPara>
      <w:r>
        <w:br w:type="textWrapping"/>
      </w:r>
      <w:r>
        <w:t xml:space="preserve">Here, the key modification term is the mass term </w:t>
      </w:r>
      <m:oMath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sSubSup>
          <m:sSubSupPr/>
          <m:e>
            <m:r>
              <m:rPr/>
              <m:t>μ</m:t>
            </m:r>
          </m:e>
          <m:sub>
            <m:r>
              <m:rPr/>
              <m:t>γ</m:t>
            </m:r>
          </m:sub>
          <m:sup>
            <m:r>
              <m:rPr/>
              <m:t>2</m:t>
            </m:r>
          </m:sup>
        </m:sSubSup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  <m:sSup>
          <m:sSupPr/>
          <m:e>
            <m:r>
              <m:rPr/>
              <m:t>A</m:t>
            </m:r>
          </m:e>
          <m:sup>
            <m:r>
              <m:rPr/>
              <m:t>μ</m:t>
            </m:r>
          </m:sup>
        </m:sSup>
        <m:r>
          <m:rPr>
            <m:sty m:val="p"/>
          </m:rPr>
          <m:t>.</m:t>
        </m:r>
      </m:oMath>
      <w:r>
        <w:t xml:space="preserve"> Where:</w:t>
      </w:r>
      <w:r>
        <w:br w:type="textWrapping"/>
      </w:r>
      <w:r>
        <w:t xml:space="preserve">* </w:t>
      </w:r>
      <m:oMath>
        <m:sSub>
          <m:sSubPr/>
          <m:e>
            <m:r>
              <m:rPr/>
              <m:t>F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−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ν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</m:oMath>
      <w:r>
        <w:t xml:space="preserve"> is the electromagnetic field strength tensor.</w:t>
      </w:r>
      <w:r>
        <w:br w:type="textWrapping"/>
      </w:r>
      <w:r>
        <w:t xml:space="preserve">* </w:t>
      </w:r>
      <m:oMath>
        <m:sSub>
          <m:sSubPr/>
          <m:e>
            <m:r>
              <m:rPr/>
              <m:t>μ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=</m:t>
        </m:r>
        <m:f>
          <m:fPr/>
          <m:num>
            <m:sSub>
              <m:sSubPr/>
              <m:e>
                <m:r>
                  <m:rPr/>
                  <m:t>m</m:t>
                </m:r>
              </m:e>
              <m:sub>
                <m:r>
                  <m:rPr/>
                  <m:t>γ</m:t>
                </m:r>
              </m:sub>
            </m:sSub>
            <m:r>
              <m:rPr/>
              <m:t>c</m:t>
            </m:r>
          </m:num>
          <m:den>
            <m:r>
              <m:rPr>
                <m:sty m:val="p"/>
              </m:rPr>
              <m:t>ℏ</m:t>
            </m:r>
          </m:den>
        </m:f>
      </m:oMath>
      <w:r>
        <w:t xml:space="preserve"> is the photon’s Compton wavenumber; its reciprocal is the Compton wavelength, characterizing the quantum mechanical scale of a massive photon.</w:t>
      </w:r>
      <w:r>
        <w:br w:type="textWrapping"/>
      </w:r>
      <w:r>
        <w:t xml:space="preserve">* This term directly breaks the U(1) gauge symmetry </w:t>
      </w:r>
      <m:oMath>
        <m:r>
          <m:rPr>
            <m:sty m:val="p"/>
          </m:rPr>
          <m:t>(</m:t>
        </m:r>
        <m:r>
          <m:rPr/>
          <m:t>δ</m:t>
        </m:r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Λ),</m:t>
        </m:r>
      </m:oMath>
      <w:r>
        <w:t xml:space="preserve"> as the mass term is not invariant under gauge transformation.</w:t>
      </w:r>
    </w:p>
    <w:p w14:paraId="73273FAC">
      <w:pPr>
        <w:pStyle w:val="3"/>
        <w:rPr>
          <w:b/>
          <w:bCs/>
        </w:rPr>
      </w:pPr>
      <w:r>
        <w:rPr>
          <w:b/>
          <w:bCs/>
        </w:rPr>
        <w:t>2.2 Modified Maxwell’s Equations (Proca Equations)</w:t>
      </w:r>
    </w:p>
    <w:p w14:paraId="4B94325A">
      <w:pPr>
        <w:pStyle w:val="3"/>
      </w:pPr>
      <w:r>
        <w:t>Applying the Euler-Lagrange equations to the above Lagrangian yields the modified Maxwell’s equations:</w:t>
      </w:r>
    </w:p>
    <w:p w14:paraId="7CED643A">
      <w:pPr>
        <w:numPr>
          <w:ilvl w:val="0"/>
          <w:numId w:val="3"/>
        </w:numPr>
      </w:pPr>
      <w:r>
        <w:t>Inhomogeneous Equations (with sources)</w:t>
      </w:r>
    </w:p>
    <w:p w14:paraId="385321EA">
      <w:pPr>
        <w:pStyle w:val="3"/>
      </w:pPr>
      <m:oMathPara>
        <m:oMathParaPr>
          <m:jc m:val="center"/>
        </m:oMathParaPr>
        <m:oMath>
          <m:eqArr>
            <m:eqArrPr/>
            <m:e>
              <m:r>
                <m:rPr>
                  <m:sty m:val="p"/>
                </m:rPr>
                <m:t>∇⋅</m:t>
              </m:r>
              <m:r>
                <m:rPr>
                  <m:sty m:val="b"/>
                </m:rPr>
                <m:t>E</m:t>
              </m:r>
              <m:r>
                <m:rPr/>
                <m:t>&amp;</m:t>
              </m:r>
              <m:r>
                <m:rPr>
                  <m:sty m:val="p"/>
                </m:rPr>
                <m:t>=</m:t>
              </m:r>
              <m:f>
                <m:fPr/>
                <m:num>
                  <m:r>
                    <m:rPr/>
                    <m:t>ρ</m:t>
                  </m:r>
                </m:num>
                <m:den>
                  <m:sSub>
                    <m:sSubPr/>
                    <m:e>
                      <m:r>
                        <m:rPr/>
                        <m:t>ϵ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sSubSup>
                <m:sSubSupPr/>
                <m:e>
                  <m:r>
                    <m:rPr/>
                    <m:t>μ</m:t>
                  </m:r>
                </m:e>
                <m:sub>
                  <m:r>
                    <m:rPr/>
                    <m:t>γ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/>
                <m:t>V</m:t>
              </m:r>
            </m:e>
            <m:e>
              <m:r>
                <m:rPr>
                  <m:sty m:val="p"/>
                </m:rPr>
                <m:t>∇×</m:t>
              </m:r>
              <m:r>
                <m:rPr>
                  <m:sty m:val="b"/>
                </m:rPr>
                <m:t>B</m:t>
              </m:r>
              <m:r>
                <m:rPr/>
                <m:t>&amp;</m:t>
              </m:r>
              <m:r>
                <m:rPr>
                  <m:sty m:val="p"/>
                </m:rPr>
                <m:t>=</m:t>
              </m:r>
              <m:sSub>
                <m:sSubPr/>
                <m:e>
                  <m:r>
                    <m:rPr/>
                    <m:t>μ</m:t>
                  </m:r>
                </m:e>
                <m:sub>
                  <m:r>
                    <m:rPr/>
                    <m:t>0</m:t>
                  </m:r>
                </m:sub>
              </m:sSub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μ</m:t>
                  </m:r>
                </m:e>
                <m:sub>
                  <m:r>
                    <m:rPr/>
                    <m:t>0</m:t>
                  </m:r>
                </m:sub>
              </m:sSub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0</m:t>
                  </m:r>
                </m:sub>
              </m:sSub>
              <m:f>
                <m:fPr/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ty m:val="b"/>
                    </m:rPr>
                    <m:t>E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rPr/>
                    <m:t>t</m:t>
                  </m:r>
                </m:den>
              </m:f>
              <m:r>
                <m:rPr>
                  <m:sty m:val="p"/>
                </m:rPr>
                <m:t>−</m:t>
              </m:r>
              <m:sSubSup>
                <m:sSubSupPr/>
                <m:e>
                  <m:r>
                    <m:rPr/>
                    <m:t>μ</m:t>
                  </m:r>
                </m:e>
                <m:sub>
                  <m:r>
                    <m:rPr/>
                    <m:t>γ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b"/>
                </m:rPr>
                <m:t>A</m:t>
              </m:r>
            </m:e>
          </m:eqArr>
        </m:oMath>
      </m:oMathPara>
    </w:p>
    <w:p w14:paraId="49F4B227">
      <w:pPr>
        <w:numPr>
          <w:ilvl w:val="0"/>
          <w:numId w:val="3"/>
        </w:numPr>
      </w:pPr>
      <w:r>
        <w:t>Homogeneous Equations (source-free) (Remain unchanged)</w:t>
      </w:r>
    </w:p>
    <w:p w14:paraId="73A338A3">
      <w:pPr>
        <w:pStyle w:val="3"/>
      </w:pPr>
      <m:oMathPara>
        <m:oMathParaPr>
          <m:jc m:val="center"/>
        </m:oMathParaPr>
        <m:oMath>
          <m:eqArr>
            <m:eqArrPr/>
            <m:e>
              <m:r>
                <m:rPr>
                  <m:sty m:val="p"/>
                </m:rPr>
                <m:t>∇⋅</m:t>
              </m:r>
              <m:r>
                <m:rPr>
                  <m:sty m:val="b"/>
                </m:rPr>
                <m:t>B</m:t>
              </m:r>
              <m:r>
                <m:rPr/>
                <m:t>&amp;</m:t>
              </m:r>
              <m:r>
                <m:rPr>
                  <m:sty m:val="p"/>
                </m:rPr>
                <m:t>=</m:t>
              </m:r>
              <m:r>
                <m:rPr/>
                <m:t>0</m:t>
              </m:r>
            </m:e>
            <m:e>
              <m:r>
                <m:rPr>
                  <m:sty m:val="p"/>
                </m:rPr>
                <m:t>∇×</m:t>
              </m:r>
              <m:r>
                <m:rPr>
                  <m:sty m:val="b"/>
                </m:rPr>
                <m:t>E</m:t>
              </m:r>
              <m:r>
                <m:rPr/>
                <m:t>&amp;</m:t>
              </m:r>
              <m:r>
                <m:rPr>
                  <m:sty m:val="p"/>
                </m:rPr>
                <m:t>=−</m:t>
              </m:r>
              <m:f>
                <m:fPr/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ty m:val="b"/>
                    </m:rPr>
                    <m:t>B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rPr/>
                    <m:t>t</m:t>
                  </m:r>
                </m:den>
              </m:f>
            </m:e>
          </m:eqArr>
        </m:oMath>
      </m:oMathPara>
    </w:p>
    <w:p w14:paraId="41E5ECB9">
      <w:pPr>
        <w:numPr>
          <w:ilvl w:val="0"/>
          <w:numId w:val="3"/>
        </w:numPr>
      </w:pPr>
      <w:r>
        <w:t>Lorenz Condition: Due to the presence of the mass term, the Lorenz condition is no longer an arbitrary gauge choice but a constraint that must be satisfied, derived from the equations of motion:</w:t>
      </w:r>
    </w:p>
    <w:p w14:paraId="4AF35A7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=</m:t>
          </m:r>
          <m:r>
            <m:rPr/>
            <m:t>0</m:t>
          </m:r>
        </m:oMath>
      </m:oMathPara>
      <w:r>
        <w:br w:type="textWrapping"/>
      </w:r>
      <w:r>
        <w:t>This eliminates gauge freedom and determines the physical polarization states.</w:t>
      </w:r>
    </w:p>
    <w:p w14:paraId="14050411">
      <w:pPr>
        <w:pStyle w:val="4"/>
        <w:rPr>
          <w:b/>
          <w:bCs/>
        </w:rPr>
      </w:pPr>
      <w:r>
        <w:rPr>
          <w:b/>
          <w:bCs/>
        </w:rPr>
        <w:t>2.3 Connection to the ABC Field Combination Theory</w:t>
      </w:r>
    </w:p>
    <w:p w14:paraId="68FBC7F1">
      <w:pPr>
        <w:pStyle w:val="3"/>
      </w:pPr>
      <w:r>
        <w:t xml:space="preserve">In the ABC theory, the photon’s rest mass originates from its residual coupling to the C-field (Higgs field):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</m:t>
        </m:r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.</m:t>
        </m:r>
      </m:oMath>
      <w:r>
        <w:t xml:space="preserve"> Therefore, the Proca mass term can be written as:</w:t>
      </w:r>
    </w:p>
    <w:p w14:paraId="37F6626C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Sup>
            <m:sSubSupPr/>
            <m:e>
              <m:r>
                <m:rPr/>
                <m:t>μ</m:t>
              </m:r>
            </m:e>
            <m:sub>
              <m:r>
                <m:rPr/>
                <m:t>γ</m:t>
              </m:r>
            </m:sub>
            <m:sup>
              <m:r>
                <m:rPr/>
                <m:t>2</m:t>
              </m:r>
            </m:sup>
          </m:sSubSup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p>
            <m:sSupPr/>
            <m:e>
              <m:d>
                <m:dPr>
                  <m:sepChr m:val=""/>
                </m:dPr>
                <m:e>
                  <m:f>
                    <m:fPr/>
                    <m:num>
                      <m:sSub>
                        <m:sSubPr/>
                        <m:e>
                          <m:r>
                            <m:rPr/>
                            <m:t>E</m:t>
                          </m:r>
                        </m:e>
                        <m:sub>
                          <m:r>
                            <m:rPr/>
                            <m:t>C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ℏ</m:t>
                      </m:r>
                      <m:r>
                        <m:rPr/>
                        <m:t>c</m:t>
                      </m:r>
                    </m:den>
                  </m:f>
                </m:e>
              </m:d>
            </m:e>
            <m:sup>
              <m:r>
                <m:rPr/>
                <m:t>2</m:t>
              </m:r>
            </m:sup>
          </m:sSup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A</m:t>
              </m:r>
            </m:e>
            <m:sup>
              <m:r>
                <m:rPr/>
                <m:t>μ</m:t>
              </m:r>
            </m:sup>
          </m:sSup>
        </m:oMath>
      </m:oMathPara>
      <w:r>
        <w:br w:type="textWrapping"/>
      </w:r>
      <w:r>
        <w:t xml:space="preserve">This equation directly links the modification term to the intrinsic property of the photon’s field-combination state (the C-field energy level </w:t>
      </w:r>
      <m:oMath>
        <m:sSub>
          <m:sSubPr/>
          <m:e>
            <m:r>
              <m:rPr/>
              <m:t>E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),</m:t>
        </m:r>
      </m:oMath>
      <w:r>
        <w:t xml:space="preserve"> providing a profound physical interpretation for the Proca equation.</w:t>
      </w:r>
    </w:p>
    <w:p w14:paraId="13ED8C9F">
      <w:pPr>
        <w:pStyle w:val="26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Physical Implications and Observable Effects</w:t>
      </w:r>
    </w:p>
    <w:p w14:paraId="65607C8F">
      <w:pPr>
        <w:pStyle w:val="4"/>
      </w:pPr>
      <w:r>
        <w:t xml:space="preserve">The modified equations predict several physical effects different from classical theory, which vanish when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→</m:t>
        </m:r>
        <m:r>
          <m:rPr/>
          <m:t>0</m:t>
        </m:r>
      </m:oMath>
      <w:r>
        <w:t>:</w:t>
      </w:r>
    </w:p>
    <w:p w14:paraId="2AFCD94B">
      <w:pPr>
        <w:numPr>
          <w:ilvl w:val="0"/>
          <w:numId w:val="5"/>
        </w:numPr>
      </w:pPr>
      <w:r>
        <w:t xml:space="preserve">Yukawa Potential for Electrostatics: The potential generated by a stationary point charge satisfies </w:t>
      </w:r>
      <m:oMath>
        <m:r>
          <m:rPr>
            <m:sty m:val="p"/>
          </m:rPr>
          <m:t>(</m:t>
        </m:r>
        <m:sSup>
          <m:sSupPr/>
          <m:e>
            <m:r>
              <m:rPr>
                <m:sty m:val="p"/>
              </m:rPr>
              <m:t>∇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−</m:t>
        </m:r>
        <m:sSubSup>
          <m:sSubSupPr/>
          <m:e>
            <m:r>
              <m:rPr/>
              <m:t>μ</m:t>
            </m:r>
          </m:e>
          <m:sub>
            <m:r>
              <m:rPr/>
              <m:t>γ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)</m:t>
        </m:r>
        <m:r>
          <m:rPr/>
          <m:t>V</m:t>
        </m:r>
        <m:r>
          <m:rPr>
            <m:sty m:val="p"/>
          </m:rPr>
          <m:t>=−</m:t>
        </m:r>
        <m:r>
          <m:rPr/>
          <m:t>ρ</m:t>
        </m:r>
        <m:r>
          <m:rPr>
            <m:sty m:val="p"/>
          </m:rPr>
          <m:t>/</m:t>
        </m:r>
        <m:sSub>
          <m:sSubPr/>
          <m:e>
            <m:r>
              <m:rPr/>
              <m:t>ϵ</m:t>
            </m:r>
          </m:e>
          <m:sub>
            <m:r>
              <m:rPr/>
              <m:t>0</m:t>
            </m:r>
          </m:sub>
        </m:sSub>
      </m:oMath>
      <w:r>
        <w:t>, whose solution is the Yukawa potential:</w:t>
      </w:r>
    </w:p>
    <w:p w14:paraId="67D3FEA2">
      <w:pPr>
        <w:pStyle w:val="3"/>
      </w:pPr>
      <m:oMathPara>
        <m:oMathParaPr>
          <m:jc m:val="center"/>
        </m:oMathParaPr>
        <m:oMath>
          <m:r>
            <m:rPr/>
            <m:t>V</m:t>
          </m:r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4π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0</m:t>
                  </m:r>
                </m:sub>
              </m:sSub>
            </m:den>
          </m:f>
          <m:f>
            <m:fPr/>
            <m:num>
              <m:r>
                <m:rPr/>
                <m:t>q</m:t>
              </m:r>
            </m:num>
            <m:den>
              <m:r>
                <m:rPr/>
                <m:t>r</m:t>
              </m:r>
            </m:den>
          </m:f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μ</m:t>
                  </m:r>
                </m:e>
                <m:sub>
                  <m:r>
                    <m:rPr/>
                    <m:t>γ</m:t>
                  </m:r>
                </m:sub>
              </m:sSub>
              <m:r>
                <m:rPr/>
                <m:t>r</m:t>
              </m:r>
            </m:sup>
          </m:sSup>
        </m:oMath>
      </m:oMathPara>
      <w:r>
        <w:br w:type="textWrapping"/>
      </w:r>
      <w:r>
        <w:t>This implies that the electrostatic field experiences exponential attenuation at large distances, requiring a modification of Coulomb’s law.</w:t>
      </w:r>
    </w:p>
    <w:p w14:paraId="57ABF618">
      <w:pPr>
        <w:numPr>
          <w:ilvl w:val="0"/>
          <w:numId w:val="5"/>
        </w:numPr>
      </w:pPr>
      <w:r>
        <w:t>Dispersion Relation in Vacuum: The dispersion relation for electromagnetic wave propagation in vacuum becomes:</w:t>
      </w:r>
    </w:p>
    <w:p w14:paraId="6C373BB5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sSubSup>
            <m:sSubSupPr/>
            <m:e>
              <m:r>
                <m:rPr/>
                <m:t>μ</m:t>
              </m:r>
            </m:e>
            <m:sub>
              <m:r>
                <m:rPr/>
                <m:t>γ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/>
                <m:t>c</m:t>
              </m:r>
            </m:e>
            <m:sup>
              <m:r>
                <m:rPr/>
                <m:t>4</m:t>
              </m:r>
            </m:sup>
          </m:sSup>
        </m:oMath>
      </m:oMathPara>
      <w:r>
        <w:br w:type="textWrapping"/>
      </w:r>
      <w:r>
        <w:t xml:space="preserve">This means light waves of different frequencies have different phase velocities </w:t>
      </w:r>
      <m:oMath>
        <m:sSub>
          <m:sSubPr/>
          <m:e>
            <m:r>
              <m:rPr/>
              <m:t>v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=</m:t>
        </m:r>
        <m:r>
          <m:rPr/>
          <m:t>ω</m:t>
        </m:r>
        <m:r>
          <m:rPr>
            <m:sty m:val="p"/>
          </m:rPr>
          <m:t>/</m:t>
        </m:r>
        <m:r>
          <m:rPr/>
          <m:t>k</m:t>
        </m:r>
        <m:r>
          <m:rPr>
            <m:sty m:val="p"/>
          </m:rPr>
          <m:t>&gt;</m:t>
        </m:r>
        <m:r>
          <m:rPr/>
          <m:t>c</m:t>
        </m:r>
      </m:oMath>
      <w:r>
        <w:t xml:space="preserve"> in vacuum, although the group velocity </w:t>
      </w:r>
      <m:oMath>
        <m:sSub>
          <m:sSubPr/>
          <m:e>
            <m:r>
              <m:rPr/>
              <m:t>v</m:t>
            </m:r>
          </m:e>
          <m:sub>
            <m:r>
              <m:rPr/>
              <m:t>g</m:t>
            </m:r>
          </m:sub>
        </m:sSub>
        <m:r>
          <m:rPr>
            <m:sty m:val="p"/>
          </m:rPr>
          <m:t>=</m:t>
        </m:r>
        <m:r>
          <m:rPr/>
          <m:t>dω</m:t>
        </m:r>
        <m:r>
          <m:rPr>
            <m:sty m:val="p"/>
          </m:rPr>
          <m:t>/</m:t>
        </m:r>
        <m:r>
          <m:rPr/>
          <m:t>dk</m:t>
        </m:r>
        <m:r>
          <m:rPr>
            <m:sty m:val="p"/>
          </m:rPr>
          <m:t>&lt;</m:t>
        </m:r>
        <m:r>
          <m:rPr/>
          <m:t>c</m:t>
        </m:r>
      </m:oMath>
      <w:r>
        <w:t xml:space="preserve"> remains the speed of information transfer. This could lead to observable dispersion effects for starlight over long propagation distances.</w:t>
      </w:r>
    </w:p>
    <w:p w14:paraId="5539A7EC">
      <w:pPr>
        <w:numPr>
          <w:ilvl w:val="0"/>
          <w:numId w:val="5"/>
        </w:numPr>
      </w:pPr>
      <w:r>
        <w:t xml:space="preserve">Additional Polarization State: Because the Lorenz condition </w:t>
      </w:r>
      <m:oMath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p>
          <m:sSupPr/>
          <m:e>
            <m:r>
              <m:rPr/>
              <m:t>A</m:t>
            </m:r>
          </m:e>
          <m:sup>
            <m:r>
              <m:rPr/>
              <m:t>μ</m:t>
            </m:r>
          </m:sup>
        </m:sSup>
        <m:r>
          <m:rPr>
            <m:sty m:val="p"/>
          </m:rPr>
          <m:t>=</m:t>
        </m:r>
        <m:r>
          <m:rPr/>
          <m:t>0</m:t>
        </m:r>
      </m:oMath>
      <w:r>
        <w:t xml:space="preserve"> becomes mandatory, the photon transitions from a transverse wave (2 polarization states) to a massive vector particle with 3 independent polarization states (2 transverse + 1 longitudinal).</w:t>
      </w:r>
    </w:p>
    <w:p w14:paraId="7F9C3680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Conclusion: Significance of the Modification and the Status of Classical Theory</w:t>
      </w:r>
    </w:p>
    <w:p w14:paraId="11C83858">
      <w:pPr>
        <w:pStyle w:val="4"/>
      </w:pPr>
      <w:r>
        <w:t>By introducing a mass term related to the intrinsic properties of the photon’s field-combination state, this paper successfully modifies Maxwell’s equations into the more general Proca form:</w:t>
      </w:r>
      <w:r>
        <w:br w:type="textWrapping"/>
      </w:r>
      <w:r>
        <w:t>1. Mathematical Rigor: The modified equation set is self-consistent, relativistic, and incorporates the physical possibility of a non-zero photon rest mass.</w:t>
      </w:r>
      <w:r>
        <w:br w:type="textWrapping"/>
      </w:r>
      <w:r>
        <w:t xml:space="preserve">2. Physical Profundity: It deeply unifies the mathematical formulation of electromagnetic theory with the physical picture of quantum field theory (ABC theory). The modification term </w:t>
      </w:r>
      <m:oMath>
        <m:sSubSup>
          <m:sSubSupPr/>
          <m:e>
            <m:r>
              <m:rPr/>
              <m:t>μ</m:t>
            </m:r>
          </m:e>
          <m:sub>
            <m:r>
              <m:rPr/>
              <m:t>γ</m:t>
            </m:r>
          </m:sub>
          <m:sup>
            <m:r>
              <m:rPr/>
              <m:t>2</m:t>
            </m:r>
          </m:sup>
        </m:sSubSup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  <m:sSup>
          <m:sSupPr/>
          <m:e>
            <m:r>
              <m:rPr/>
              <m:t>A</m:t>
            </m:r>
          </m:e>
          <m:sup>
            <m:r>
              <m:rPr/>
              <m:t>μ</m:t>
            </m:r>
          </m:sup>
        </m:sSup>
      </m:oMath>
      <w:r>
        <w:t xml:space="preserve"> is no longer an ad hoc addition but physical evidence for the existence of the C-field component within the photon as a field-combination state.</w:t>
      </w:r>
      <w:r>
        <w:br w:type="textWrapping"/>
      </w:r>
      <w:r>
        <w:t xml:space="preserve">3. Status of Classical Theory: Given the extremely small value of </w:t>
      </w:r>
      <m:oMath>
        <m:sSub>
          <m:sSubPr/>
          <m:e>
            <m:r>
              <m:rPr/>
              <m:t>m</m:t>
            </m:r>
          </m:e>
          <m:sub>
            <m:r>
              <m:rPr/>
              <m:t>γ</m:t>
            </m:r>
          </m:sub>
        </m:sSub>
      </m:oMath>
      <w:r>
        <w:t xml:space="preserve"> (Compton wavelength </w:t>
      </w:r>
      <m:oMath>
        <m:sSubSup>
          <m:sSubSupPr/>
          <m:e>
            <m:r>
              <m:rPr/>
              <m:t>μ</m:t>
            </m:r>
          </m:e>
          <m:sub>
            <m:r>
              <m:rPr/>
              <m:t>γ</m:t>
            </m:r>
          </m:sub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bSup>
        <m:r>
          <m:rPr>
            <m:sty m:val="p"/>
          </m:rPr>
          <m:t>&gt;</m:t>
        </m:r>
        <m:sSup>
          <m:sSupPr/>
          <m:e>
            <m:r>
              <m:rPr/>
              <m:t>10</m:t>
            </m:r>
          </m:e>
          <m:sup>
            <m:r>
              <m:rPr/>
              <m:t>10</m:t>
            </m:r>
          </m:sup>
        </m:sSup>
      </m:oMath>
      <w:r>
        <w:t xml:space="preserve"> light-years, far exceeding cosmic scales), the approximation </w:t>
      </w:r>
      <m:oMath>
        <m:sSub>
          <m:sSubPr/>
          <m:e>
            <m:r>
              <m:rPr/>
              <m:t>μ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→</m:t>
        </m:r>
        <m:r>
          <m:rPr/>
          <m:t>0</m:t>
        </m:r>
      </m:oMath>
      <w:r>
        <w:t xml:space="preserve"> remains exceptionally accurate for all macroscopic and most microscopic experiments conducted to date. Therefore, classical Maxwell’s equations continue to be a great and highly accurate effective theory for describing electromagnetic interactions.</w:t>
      </w:r>
    </w:p>
    <w:p w14:paraId="570036A4">
      <w:pPr>
        <w:pStyle w:val="3"/>
      </w:pPr>
      <w:r>
        <w:t>This modification model provides a rigorous theoretical framework for testing the photon rest mass in ultra-high precision experiments or on cosmological scales. It is also an important application of the ABC field combination theory, establishing a strict theoretical basis for exploring the photon rest mass.</w:t>
      </w:r>
    </w:p>
    <w:p w14:paraId="7D669170">
      <w:pPr>
        <w:pStyle w:val="3"/>
      </w:pPr>
      <w:bookmarkStart w:id="0" w:name="_GoBack"/>
      <w:r>
        <w:rPr>
          <w:b/>
          <w:bCs/>
        </w:rPr>
        <w:t>References</w:t>
      </w:r>
      <w:r>
        <w:rPr>
          <w:b/>
          <w:bCs/>
        </w:rPr>
        <w:br w:type="textWrapping"/>
      </w:r>
      <w:bookmarkEnd w:id="0"/>
      <w:r>
        <w:t>[1] Li, Z.J. “On the ABC Field Combination Theory and the Non-Zero Photon Mass”. Preprint (2023)</w:t>
      </w:r>
      <w:r>
        <w:br w:type="textWrapping"/>
      </w:r>
      <w:r>
        <w:t>[2] Proca, A. “Sur la théorie ondulatoire des électrons positifs et négatifs”. J. Phys. Radium (1936)</w:t>
      </w:r>
      <w:r>
        <w:br w:type="textWrapping"/>
      </w:r>
      <w:r>
        <w:t>[3] Jackson, J. D. Classical Electrodynamics (3rd ed.). Wiley (1999). [Chapter 12.8: Proca Equation]</w:t>
      </w:r>
      <w:r>
        <w:br w:type="textWrapping"/>
      </w:r>
      <w:r>
        <w:t>[4] Tu, L. C. et al. “New Experimental Limit on the Photon Rest Mass”. Phys. Rev. D (2005)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30B853B8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630</Words>
  <Characters>2983</Characters>
  <Lines>30</Lines>
  <Paragraphs>8</Paragraphs>
  <TotalTime>72</TotalTime>
  <ScaleCrop>false</ScaleCrop>
  <LinksUpToDate>false</LinksUpToDate>
  <CharactersWithSpaces>3450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2025-10-22T07:22:00Z</dcterms:created>
  <dc:creator>迈斯纳效应</dc:creator>
  <cp:lastModifiedBy>迈斯纳效应</cp:lastModifiedBy>
  <dcterms:modified xsi:type="dcterms:W3CDTF">2025-10-22T07:25:16Z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D398EFCE8D2445CFB7EFEB45DFDD347C_12</vt:lpwstr>
  </property>
</Properties>
</file>