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D5E19">
      <w:pPr>
        <w:pStyle w:val="4"/>
      </w:pPr>
      <w:r>
        <w:t xml:space="preserve"> </w:t>
      </w:r>
      <w:r>
        <w:rPr>
          <w:b/>
          <w:bCs/>
        </w:rPr>
        <w:t>The Coherent Superposition Law of Quark-Gluon Color-Charge Colorless State Wavefunctions in Hadrons</w:t>
      </w:r>
    </w:p>
    <w:p w14:paraId="1FB2AFC3">
      <w:pPr>
        <w:pStyle w:val="3"/>
      </w:pPr>
      <w:r>
        <w:rPr>
          <w:b/>
          <w:bCs/>
        </w:rPr>
        <w:t xml:space="preserve">Authors: </w:t>
      </w:r>
      <w:r>
        <w:t>Li Zhijun, Zhao Guangyao</w:t>
      </w:r>
    </w:p>
    <w:p w14:paraId="6A3D031F">
      <w:pPr>
        <w:pStyle w:val="3"/>
      </w:pPr>
      <w:r>
        <w:rPr>
          <w:b/>
          <w:bCs/>
        </w:rPr>
        <w:t>Abstract:</w:t>
      </w:r>
      <w:r>
        <w:br w:type="textWrapping"/>
      </w:r>
      <w:r>
        <w:t xml:space="preserve">This paper aims to reveal the wave-dynamic coherent superposition laws followed by the internal quark and gluon field-combination wavefunctions of hadrons (protons, neutrons) when forming overall color neutrality. The core argument is: The color neutrality of hadrons results from the color-charge wavefunctions of the quark and gluon fields undergoing coherent superposition in specific patterns, achieving constructive interference (forming stable wave packets) and destructive interference (canceling color-charge expectation values), ultimately resulting in a stable wave packet with an overall wavefunction color-charge expectation value of zero. This paper constructs the coherent superposition operator </w:t>
      </w:r>
      <m:oMath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C</m:t>
                </m:r>
              </m:e>
            </m:acc>
          </m:e>
          <m:sub>
            <m:r>
              <m:rPr>
                <m:sty m:val="p"/>
              </m:rPr>
              <m:t>[</m:t>
            </m:r>
            <m:r>
              <m:rPr/>
              <m:t>0</m:t>
            </m:r>
            <m:r>
              <m:rPr>
                <m:sty m:val="p"/>
              </m:rPr>
              <m:t>]</m:t>
            </m:r>
          </m:sub>
        </m:sSub>
      </m:oMath>
      <w:r>
        <w:t xml:space="preserve"> for color-charge wavefunctions and proves that its eigenstates satisfy the color singlet condition </w:t>
      </w:r>
      <m:oMath>
        <m:d>
          <m:dPr>
            <m:begChr m:val="⟨"/>
            <m:sepChr m:val=""/>
            <m:endChr m:val="⟩"/>
          </m:dPr>
          <m:e>
            <m:sSup>
              <m:sSupPr/>
              <m:e>
                <m:acc>
                  <m:accPr/>
                  <m:e>
                    <m:r>
                      <m:rPr/>
                      <m:t>Q</m:t>
                    </m:r>
                  </m:e>
                </m:acc>
              </m:e>
              <m:sup>
                <m:r>
                  <m:rPr>
                    <m:sty m:val="p"/>
                  </m:rPr>
                  <m:t>color</m:t>
                </m:r>
              </m:sup>
            </m:sSup>
          </m:e>
        </m:d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.</m:t>
        </m:r>
      </m:oMath>
      <w:r>
        <w:t xml:space="preserve"> By analyzing the specific wavefunction configurations of the proton (uud) and neutron (udd), the necessary phase matching condition </w:t>
      </w:r>
      <m:oMath>
        <m:r>
          <m:rPr>
            <m:sty m:val="p"/>
          </m:rPr>
          <m:t>Δ</m:t>
        </m:r>
        <m:r>
          <m:rPr/>
          <m:t>ϕ</m:t>
        </m:r>
        <m:r>
          <m:rPr>
            <m:sty m:val="p"/>
          </m:rPr>
          <m:t>=</m:t>
        </m:r>
        <m:r>
          <m:rPr/>
          <m:t>2nπ</m:t>
        </m:r>
      </m:oMath>
      <w:r>
        <w:t xml:space="preserve"> and amplitude matching condition </w:t>
      </w:r>
      <m:oMath>
        <m:r>
          <m:rPr>
            <m:sty m:val="p"/>
          </m:rPr>
          <m:t>∑</m:t>
        </m:r>
        <m:sSubSup>
          <m:sSubSupPr/>
          <m:e>
            <m:r>
              <m:rPr/>
              <m:t>c</m:t>
            </m:r>
          </m:e>
          <m:sub>
            <m:r>
              <m:rPr/>
              <m:t>i</m:t>
            </m:r>
          </m:sub>
          <m:sup>
            <m:r>
              <m:rPr/>
              <m:t>2</m:t>
            </m:r>
          </m:sup>
        </m:sSubSup>
        <m:sSub>
          <m:sSubPr/>
          <m:e>
            <m:r>
              <m:rPr/>
              <m:t>λ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t xml:space="preserve"> for their color-charge wavefunction coherent superposition are derived. This </w:t>
      </w:r>
      <w:r>
        <w:rPr>
          <w:rFonts w:hint="eastAsia"/>
        </w:rPr>
        <w:t>work彻底</w:t>
      </w:r>
      <w:r>
        <w:t xml:space="preserve"> (thoroughly) transforms the problem of hadron structure into a problem of wavefunction interference and superposition, providing a new wave-dynamic perspective for understanding color confinement.</w:t>
      </w:r>
    </w:p>
    <w:p w14:paraId="40A8F36A">
      <w:pPr>
        <w:pStyle w:val="3"/>
      </w:pPr>
      <w:r>
        <w:t>Keywords: ABC field-composition theory; Color singlet; Wavefunction coherent superposition; Phase matching; Amplitude matching; Color-charge operator expectation value</w:t>
      </w:r>
    </w:p>
    <w:p w14:paraId="293B4A8F">
      <w:pPr>
        <w:pStyle w:val="2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Introduction: Color Neutrality as a Problem of Wavefunction Coherent Superposition</w:t>
      </w:r>
    </w:p>
    <w:p w14:paraId="2AE03584">
      <w:pPr>
        <w:pStyle w:val="4"/>
      </w:pPr>
      <w:r>
        <w:t xml:space="preserve">The color neutrality of hadrons (e.g., protons, neutrons) is the cornerstone of Quantum Chromodynamics (QCD). Traditional theory regards it as a zero sum of color charges. This paper proposes a more fundamental wave-dynamic viewpoint: The color neutrality of a hadron is the inevitable result of the coherent superposition of the color-charge wavefunctions </w:t>
      </w:r>
      <m:oMath>
        <m:sSub>
          <m:sSubPr/>
          <m:e>
            <m:r>
              <m:rPr/>
              <m:t>ψ</m:t>
            </m:r>
          </m:e>
          <m:sub>
            <m:r>
              <m:rPr/>
              <m:t>B</m:t>
            </m:r>
          </m:sub>
        </m:sSub>
      </m:oMath>
      <w:r>
        <w:t xml:space="preserve"> of its internal quark and gluon field combinations in specific patterns, achieving constructive interference (forming stable wave packets) and destructive interference (canceling the color-charge expectation value).</w:t>
      </w:r>
    </w:p>
    <w:p w14:paraId="64BDE825">
      <w:pPr>
        <w:pStyle w:val="2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Theoretical Framework: Coherent Superposition Theory of Color-Charge Wavefunctions</w:t>
      </w:r>
    </w:p>
    <w:p w14:paraId="02946BEE">
      <w:pPr>
        <w:pStyle w:val="4"/>
        <w:rPr>
          <w:b/>
          <w:bCs/>
        </w:rPr>
      </w:pPr>
      <w:r>
        <w:rPr>
          <w:b/>
          <w:bCs/>
        </w:rPr>
        <w:t>2.1 Mathematical Formulation of Color-Charge Wavefunctions and Color-Charge Operators</w:t>
      </w:r>
    </w:p>
    <w:p w14:paraId="22DD8033">
      <w:pPr>
        <w:pStyle w:val="3"/>
      </w:pPr>
      <w:r>
        <w:t xml:space="preserve">Let </w:t>
      </w:r>
      <m:oMath>
        <m:sSub>
          <m:sSubPr/>
          <m:e>
            <m:r>
              <m:rPr/>
              <m:t>ψ</m:t>
            </m:r>
          </m:e>
          <m:sub>
            <m:r>
              <m:rPr/>
              <m:t>B</m:t>
            </m:r>
          </m:sub>
        </m:sSub>
      </m:oMath>
      <w:r>
        <w:t xml:space="preserve"> be the color-charge wavefunction of a field combination; it is a vector in the representation space of the SU(3) color group. The color-charge operators </w:t>
      </w:r>
      <m:oMath>
        <m:sSup>
          <m:sSupPr/>
          <m:e>
            <m:acc>
              <m:accPr/>
              <m:e>
                <m:r>
                  <m:rPr/>
                  <m:t>Q</m:t>
                </m:r>
              </m:e>
            </m:acc>
          </m:e>
          <m:sup>
            <m:r>
              <m:rPr/>
              <m:t>a</m:t>
            </m:r>
          </m:sup>
        </m:sSup>
        <m:r>
          <m:rPr>
            <m:sty m:val="p"/>
          </m:rPr>
          <m:t>(</m:t>
        </m:r>
        <m:r>
          <m:rPr/>
          <m:t>a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,...,</m:t>
        </m:r>
        <m:r>
          <m:rPr/>
          <m:t>8</m:t>
        </m:r>
        <m:r>
          <m:rPr>
            <m:sty m:val="p"/>
          </m:rPr>
          <m:t>)</m:t>
        </m:r>
      </m:oMath>
      <w:r>
        <w:t xml:space="preserve"> act upon it. Color neutrality requires its expectation value to be zero:</w:t>
      </w:r>
    </w:p>
    <w:p w14:paraId="30931E6E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sSup>
            <m:sSupPr/>
            <m:e>
              <m:acc>
                <m:accPr/>
                <m:e>
                  <m:r>
                    <m:rPr/>
                    <m:t>Q</m:t>
                  </m:r>
                </m:e>
              </m:acc>
            </m:e>
            <m:sup>
              <m:r>
                <m:rPr/>
                <m:t>a</m:t>
              </m:r>
            </m:sup>
          </m:sSup>
          <m:r>
            <m:rPr>
              <m:sty m:val="p"/>
            </m:rPr>
            <m:t>⟩=⟨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B</m:t>
              </m:r>
            </m:sub>
          </m:sSub>
          <m:sSup>
            <m:sSupPr/>
            <m:e>
              <m:acc>
                <m:accPr/>
                <m:e>
                  <m:r>
                    <m:rPr/>
                    <m:t>Q</m:t>
                  </m:r>
                </m:e>
              </m:acc>
            </m:e>
            <m:sup>
              <m:r>
                <m:rPr/>
                <m:t>a</m:t>
              </m:r>
            </m:sup>
          </m:sSup>
          <m:sSub>
            <m:sSubPr/>
            <m:e>
              <m:r>
                <m:rPr/>
                <m:t>ψ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⟩=</m:t>
          </m:r>
          <m:r>
            <m:rPr/>
            <m:t>0</m:t>
          </m:r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∀</m:t>
          </m:r>
          <m:r>
            <m:rPr/>
            <m:t>a</m:t>
          </m:r>
        </m:oMath>
      </m:oMathPara>
      <w:r>
        <w:br w:type="textWrapping"/>
      </w:r>
      <w:r>
        <w:t xml:space="preserve">This condition is equivalent to </w:t>
      </w:r>
      <m:oMath>
        <m:sSub>
          <m:sSubPr/>
          <m:e>
            <m:r>
              <m:rPr/>
              <m:t>ψ</m:t>
            </m:r>
          </m:e>
          <m:sub>
            <m:r>
              <m:rPr/>
              <m:t>B</m:t>
            </m:r>
          </m:sub>
        </m:sSub>
      </m:oMath>
      <w:r>
        <w:t xml:space="preserve"> being in the singlet representation of the SU(3) group.</w:t>
      </w:r>
    </w:p>
    <w:p w14:paraId="457EE187">
      <w:pPr>
        <w:pStyle w:val="3"/>
        <w:rPr>
          <w:b/>
          <w:bCs/>
        </w:rPr>
      </w:pPr>
      <w:r>
        <w:rPr>
          <w:b/>
          <w:bCs/>
        </w:rPr>
        <w:t>2.2 Coherent Superposition Operator and Color Singlet Condition</w:t>
      </w:r>
    </w:p>
    <w:p w14:paraId="5DDB7B6A">
      <w:pPr>
        <w:pStyle w:val="3"/>
      </w:pPr>
      <w:r>
        <w:t xml:space="preserve">Define the coherent superposition operator </w:t>
      </w:r>
      <m:oMath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C</m:t>
                </m:r>
              </m:e>
            </m:acc>
          </m:e>
          <m:sub>
            <m:r>
              <m:rPr>
                <m:sty m:val="p"/>
              </m:rPr>
              <m:t>[</m:t>
            </m:r>
            <m:r>
              <m:rPr/>
              <m:t>0</m:t>
            </m:r>
            <m:r>
              <m:rPr>
                <m:sty m:val="p"/>
              </m:rPr>
              <m:t>]</m:t>
            </m:r>
          </m:sub>
        </m:sSub>
        <m:r>
          <m:rPr>
            <m:sty m:val="p"/>
          </m:rPr>
          <m:t>.</m:t>
        </m:r>
      </m:oMath>
      <w:r>
        <w:t xml:space="preserve"> Its action is to combine multiple color-charge wavefunctions </w:t>
      </w:r>
      <m:oMath>
        <m:sSubSup>
          <m:sSubSupPr/>
          <m:e>
            <m:r>
              <m:rPr/>
              <m:t>ψ</m:t>
            </m:r>
          </m:e>
          <m:sub>
            <m:r>
              <m:rPr/>
              <m:t>B</m:t>
            </m:r>
          </m:sub>
          <m:sup>
            <m:r>
              <m:rPr>
                <m:sty m:val="p"/>
              </m:rPr>
              <m:t>(</m:t>
            </m:r>
            <m:r>
              <m:rPr/>
              <m:t>i</m:t>
            </m:r>
            <m:r>
              <m:rPr>
                <m:sty m:val="p"/>
              </m:rPr>
              <m:t>)</m:t>
            </m:r>
          </m:sup>
        </m:sSubSup>
      </m:oMath>
      <w:r>
        <w:t xml:space="preserve"> into an overall color-neutral wavefunction:</w:t>
      </w:r>
    </w:p>
    <w:p w14:paraId="1FCC7113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  <m:sup>
              <m:r>
                <m:rPr>
                  <m:sty m:val="p"/>
                </m:rPr>
                <m:t>total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</m:acc>
            </m:e>
            <m:sub>
              <m:r>
                <m:rPr>
                  <m:sty m:val="p"/>
                </m:rPr>
                <m:t>[</m:t>
              </m:r>
              <m:r>
                <m:rPr/>
                <m:t>0</m:t>
              </m:r>
              <m:r>
                <m:rPr>
                  <m:sty m:val="p"/>
                </m:rPr>
                <m:t>]</m:t>
              </m:r>
            </m:sub>
          </m:sSub>
          <m:d>
            <m:dPr>
              <m:sepChr m:val=""/>
            </m:dPr>
            <m:e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1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2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⊗⋯⊗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n</m:t>
                  </m:r>
                  <m:r>
                    <m:rPr>
                      <m:sty m:val="p"/>
                    </m:rPr>
                    <m:t>)</m:t>
                  </m:r>
                </m:sup>
              </m:sSubSup>
            </m:e>
          </m:d>
        </m:oMath>
      </m:oMathPara>
      <w:r>
        <w:br w:type="textWrapping"/>
      </w:r>
      <w:r>
        <w:t xml:space="preserve">where </w:t>
      </w:r>
      <m:oMath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C</m:t>
                </m:r>
              </m:e>
            </m:acc>
          </m:e>
          <m:sub>
            <m:r>
              <m:rPr>
                <m:sty m:val="p"/>
              </m:rPr>
              <m:t>[</m:t>
            </m:r>
            <m:r>
              <m:rPr/>
              <m:t>0</m:t>
            </m:r>
            <m:r>
              <m:rPr>
                <m:sty m:val="p"/>
              </m:rPr>
              <m:t>]</m:t>
            </m:r>
          </m:sub>
        </m:sSub>
      </m:oMath>
      <w:r>
        <w:t xml:space="preserve"> incorporates projection and phase adjustment:</w:t>
      </w:r>
    </w:p>
    <w:p w14:paraId="03B33C29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</m:acc>
            </m:e>
            <m:sub>
              <m:r>
                <m:rPr>
                  <m:sty m:val="p"/>
                </m:rPr>
                <m:t>[</m:t>
              </m:r>
              <m:r>
                <m:rPr/>
                <m:t>0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  <m:scr m:val="script"/>
            </m:rPr>
            <m:t>N</m:t>
          </m:r>
          <m:nary>
            <m:naryPr>
              <m:chr m:val="∑"/>
              <m:limLoc m:val="undOvr"/>
              <m:supHide m:val="1"/>
            </m:naryPr>
            <m:sub>
              <m:r>
                <m:rPr>
                  <m:sty m:val="p"/>
                </m:rPr>
                <m:t>paths</m:t>
              </m:r>
            </m:sub>
            <m:sup>
              <m:r>
                <m:rPr/>
                <m:t>​</m:t>
              </m:r>
            </m:sup>
            <m:e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</m:t>
                  </m:r>
                  <m:sSub>
                    <m:sSubPr/>
                    <m:e>
                      <m:r>
                        <m:rPr/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m:t>path</m:t>
                      </m:r>
                    </m:sub>
                  </m:sSub>
                </m:sup>
              </m:sSup>
            </m:e>
          </m:nary>
          <m:sSub>
            <m:sSubPr/>
            <m:e>
              <m:acc>
                <m:accPr/>
                <m:e>
                  <m:r>
                    <m:rPr/>
                    <m:t>P</m:t>
                  </m:r>
                </m:e>
              </m:acc>
            </m:e>
            <m:sub>
              <m:r>
                <m:rPr>
                  <m:sty m:val="p"/>
                </m:rPr>
                <m:t>path</m:t>
              </m:r>
            </m:sub>
          </m:sSub>
        </m:oMath>
      </m:oMathPara>
      <w:r>
        <w:br w:type="textWrapping"/>
      </w:r>
      <w:r>
        <w:t xml:space="preserve">Here, </w:t>
      </w:r>
      <m:oMath>
        <m:sSub>
          <m:sSubPr/>
          <m:e>
            <m:acc>
              <m:accPr/>
              <m:e>
                <m:r>
                  <m:rPr/>
                  <m:t>P</m:t>
                </m:r>
              </m:e>
            </m:acc>
          </m:e>
          <m:sub>
            <m:r>
              <m:rPr>
                <m:sty m:val="p"/>
              </m:rPr>
              <m:t>path</m:t>
            </m:r>
          </m:sub>
        </m:sSub>
      </m:oMath>
      <w:r>
        <w:t xml:space="preserve"> is the operator projecting onto a specific color channel, and </w:t>
      </w:r>
      <m:oMath>
        <m:sSup>
          <m:sSupPr/>
          <m:e>
            <m:r>
              <m:rPr/>
              <m:t>e</m:t>
            </m:r>
          </m:e>
          <m:sup>
            <m:r>
              <m:rPr/>
              <m:t>i</m:t>
            </m:r>
            <m:sSub>
              <m:sSubPr/>
              <m:e>
                <m:r>
                  <m:rPr/>
                  <m:t>ϕ</m:t>
                </m:r>
              </m:e>
              <m:sub>
                <m:r>
                  <m:rPr>
                    <m:sty m:val="p"/>
                  </m:rPr>
                  <m:t>path</m:t>
                </m:r>
              </m:sub>
            </m:sSub>
          </m:sup>
        </m:sSup>
      </m:oMath>
      <w:r>
        <w:t xml:space="preserve"> is the phase factor ensuring constructive interference in that channel. The necessary and sufficient condition for </w:t>
      </w:r>
      <m:oMath>
        <m:sSubSup>
          <m:sSubSupPr/>
          <m:e>
            <m:r>
              <m:rPr>
                <m:sty m:val="p"/>
              </m:rPr>
              <m:t>Ψ</m:t>
            </m:r>
          </m:e>
          <m:sub>
            <m:r>
              <m:rPr/>
              <m:t>B</m:t>
            </m:r>
          </m:sub>
          <m:sup>
            <m:r>
              <m:rPr>
                <m:sty m:val="p"/>
              </m:rPr>
              <m:t>total</m:t>
            </m:r>
          </m:sup>
        </m:sSubSup>
      </m:oMath>
      <w:r>
        <w:t xml:space="preserve"> to be a color singlet is:</w:t>
      </w:r>
    </w:p>
    <w:p w14:paraId="51A70FC0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</m:acc>
            </m:e>
            <m:sub>
              <m:r>
                <m:rPr>
                  <m:sty m:val="p"/>
                </m:rPr>
                <m:t>[</m:t>
              </m:r>
              <m:r>
                <m:rPr/>
                <m:t>0</m:t>
              </m:r>
              <m:r>
                <m:rPr>
                  <m:sty m:val="p"/>
                </m:rPr>
                <m:t>]</m:t>
              </m:r>
            </m:sub>
          </m:sSub>
          <m:sSubSup>
            <m:sSubSup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  <m:sup>
              <m:r>
                <m:rPr>
                  <m:sty m:val="p"/>
                </m:rPr>
                <m:t>total</m:t>
              </m:r>
            </m:sup>
          </m:sSubSup>
          <m:r>
            <m:rPr>
              <m:sty m:val="p"/>
            </m:rPr>
            <m:t>=</m:t>
          </m:r>
          <m:sSubSup>
            <m:sSubSup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  <m:sup>
              <m:r>
                <m:rPr>
                  <m:sty m:val="p"/>
                </m:rPr>
                <m:t>total</m:t>
              </m:r>
            </m:sup>
          </m:sSubSup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and</m:t>
          </m:r>
          <m:r>
            <m:rPr/>
            <m:t> </m:t>
          </m:r>
          <m:r>
            <m:rPr>
              <m:sty m:val="p"/>
            </m:rPr>
            <m:t>⟨</m:t>
          </m:r>
          <m:sSup>
            <m:sSupPr/>
            <m:e>
              <m:acc>
                <m:accPr/>
                <m:e>
                  <m:r>
                    <m:rPr/>
                    <m:t>Q</m:t>
                  </m:r>
                </m:e>
              </m:acc>
            </m:e>
            <m:sup>
              <m:r>
                <m:rPr/>
                <m:t>a</m:t>
              </m:r>
            </m:sup>
          </m:sSup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sty m:val="p"/>
                </m:rPr>
                <m:t>total</m:t>
              </m:r>
            </m:sub>
          </m:sSub>
          <m:r>
            <m:rPr>
              <m:sty m:val="p"/>
            </m:rPr>
            <m:t>=</m:t>
          </m:r>
          <m:r>
            <m:rPr/>
            <m:t>0</m:t>
          </m:r>
        </m:oMath>
      </m:oMathPara>
    </w:p>
    <w:p w14:paraId="25E4B0DA">
      <w:pPr>
        <w:pStyle w:val="4"/>
        <w:rPr>
          <w:b/>
          <w:bCs/>
        </w:rPr>
      </w:pPr>
      <w:r>
        <w:rPr>
          <w:b/>
          <w:bCs/>
        </w:rPr>
        <w:t>2.3 General Conditions for Coherent Superposition</w:t>
      </w:r>
    </w:p>
    <w:p w14:paraId="7AA1F804">
      <w:pPr>
        <w:pStyle w:val="3"/>
      </w:pPr>
      <w:r>
        <w:t xml:space="preserve">To achieve </w:t>
      </w:r>
      <m:oMath>
        <m:d>
          <m:dPr>
            <m:begChr m:val="⟨"/>
            <m:sepChr m:val=""/>
            <m:endChr m:val="⟩"/>
          </m:dPr>
          <m:e>
            <m:sSup>
              <m:sSupPr/>
              <m:e>
                <m:acc>
                  <m:accPr/>
                  <m:e>
                    <m:r>
                      <m:rPr/>
                      <m:t>Q</m:t>
                    </m:r>
                  </m:e>
                </m:acc>
              </m:e>
              <m:sup>
                <m:r>
                  <m:rPr/>
                  <m:t>a</m:t>
                </m:r>
              </m:sup>
            </m:sSup>
          </m:e>
        </m:d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</m:oMath>
      <w:r>
        <w:t xml:space="preserve"> the superposing wavefunctions must satisfy:</w:t>
      </w:r>
    </w:p>
    <w:p w14:paraId="514C26A8">
      <w:pPr>
        <w:numPr>
          <w:ilvl w:val="0"/>
          <w:numId w:val="3"/>
        </w:numPr>
      </w:pPr>
      <w:r>
        <w:t>Amplitude Matching Condition:</w:t>
      </w:r>
    </w:p>
    <w:p w14:paraId="13748F81">
      <w:pPr>
        <w:pStyle w:val="3"/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</m:e>
          </m:nary>
          <m:sSubSup>
            <m:sSubSupPr/>
            <m:e>
              <m:r>
                <m:rPr/>
                <m:t>λ</m:t>
              </m:r>
            </m:e>
            <m:sub>
              <m:r>
                <m:rPr/>
                <m:t>i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=</m:t>
          </m:r>
          <m:r>
            <m:rPr/>
            <m:t>0</m:t>
          </m:r>
          <m:r>
            <m:rPr>
              <m:sty m:val="p"/>
            </m:rPr>
            <m:t>,</m:t>
          </m:r>
          <m:r>
            <m:rPr/>
            <m:t> </m:t>
          </m:r>
          <m:r>
            <m:rPr>
              <m:sty m:val="p"/>
            </m:rPr>
            <m:t>∀</m:t>
          </m:r>
          <m:r>
            <m:rPr/>
            <m:t>a</m:t>
          </m:r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c</m:t>
            </m:r>
          </m:e>
          <m:sub>
            <m:r>
              <m:rPr/>
              <m:t>i</m:t>
            </m:r>
          </m:sub>
        </m:sSub>
      </m:oMath>
      <w:r>
        <w:t xml:space="preserve"> are the superposition coefficients, and </w:t>
      </w:r>
      <m:oMath>
        <m:sSubSup>
          <m:sSubSupPr/>
          <m:e>
            <m:r>
              <m:rPr/>
              <m:t>λ</m:t>
            </m:r>
          </m:e>
          <m:sub>
            <m:r>
              <m:rPr/>
              <m:t>i</m:t>
            </m:r>
          </m:sub>
          <m:sup>
            <m:r>
              <m:rPr/>
              <m:t>a</m:t>
            </m:r>
          </m:sup>
        </m:sSubSup>
      </m:oMath>
      <w:r>
        <w:t xml:space="preserve"> is the eigenvalue of the i-th component on the color group generator.</w:t>
      </w:r>
    </w:p>
    <w:p w14:paraId="3BEEA243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Phase Matching Condition:</w:t>
      </w:r>
    </w:p>
    <w:p w14:paraId="730A3017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ϕ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+⋯+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=</m:t>
          </m:r>
          <m:r>
            <m:rPr/>
            <m:t>2πk</m:t>
          </m:r>
          <m:r>
            <m:rPr>
              <m:sty m:val="p"/>
            </m:rPr>
            <m:t>,</m:t>
          </m:r>
          <m:r>
            <m:rPr/>
            <m:t> k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  <w:r>
        <w:br w:type="textWrapping"/>
      </w:r>
      <w:r>
        <w:t>This condition ensures the wavefunctions interfere constructively at the superposition point, forming a stable wave packet.</w:t>
      </w:r>
    </w:p>
    <w:p w14:paraId="186DAEB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Application: Coherent Superposition Modes of Protons and Neutrons</w:t>
      </w:r>
    </w:p>
    <w:p w14:paraId="6F4FBFCE">
      <w:pPr>
        <w:pStyle w:val="4"/>
        <w:rPr>
          <w:b/>
          <w:bCs/>
        </w:rPr>
      </w:pPr>
      <w:r>
        <w:rPr>
          <w:b/>
          <w:bCs/>
        </w:rPr>
        <w:t>3.1 Coherent Superposition Mode of the Proton (uud)</w:t>
      </w:r>
    </w:p>
    <w:p w14:paraId="62409E3E">
      <w:pPr>
        <w:pStyle w:val="3"/>
      </w:pPr>
      <w:r>
        <w:t>The color-charge wavefunction of the proton is a coherent superposition of three quark wavefunctions:</w:t>
      </w:r>
    </w:p>
    <w:p w14:paraId="3A278C4F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  <m:sup>
              <m:r>
                <m:rPr/>
                <m:t>p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</m:acc>
            </m:e>
            <m:sub>
              <m:r>
                <m:rPr>
                  <m:sty m:val="p"/>
                </m:rPr>
                <m:t>[</m:t>
              </m:r>
              <m:r>
                <m:rPr/>
                <m:t>0</m:t>
              </m:r>
              <m:r>
                <m:rPr>
                  <m:sty m:val="p"/>
                </m:rPr>
                <m:t>]</m:t>
              </m:r>
            </m:sub>
          </m:sSub>
          <m:d>
            <m:dPr>
              <m:sepChr m:val=""/>
            </m:dPr>
            <m:e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sSub>
                    <m:sSubPr/>
                    <m:e>
                      <m:r>
                        <m:rPr/>
                        <m:t>u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sSub>
                    <m:sSubPr/>
                    <m:e>
                      <m:r>
                        <m:rPr/>
                        <m:t>u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r>
                    <m:rPr/>
                    <m:t>d</m:t>
                  </m:r>
                </m:sup>
              </m:sSubSup>
            </m:e>
          </m:d>
        </m:oMath>
      </m:oMathPara>
      <w:r>
        <w:br w:type="textWrapping"/>
      </w:r>
      <w:r>
        <w:t>Its coherent superposition path is:</w:t>
      </w:r>
    </w:p>
    <w:p w14:paraId="38B8F218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  <m:sup>
              <m:r>
                <m:rPr/>
                <m:t>p</m:t>
              </m:r>
            </m:sup>
          </m:sSub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3</m:t>
                  </m:r>
                </m:e>
              </m:rad>
            </m:den>
          </m:f>
          <m:d>
            <m:dPr>
              <m:sepChr m:val=""/>
            </m:dPr>
            <m:e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</m:t>
                  </m:r>
                  <m:sSub>
                    <m:sSubPr/>
                    <m:e>
                      <m:r>
                        <m:rPr/>
                        <m:t>ϕ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p>
              </m:sSup>
              <m:r>
                <m:rPr/>
                <m:t>rg</m:t>
              </m:r>
              <m:r>
                <m:rPr>
                  <m:sty m:val="p"/>
                </m:rPr>
                <m:t>⟩⊗</m:t>
              </m:r>
              <m:r>
                <m:rPr/>
                <m:t>g</m:t>
              </m:r>
              <m:acc>
                <m:accPr>
                  <m:chr m:val="‾"/>
                </m:accPr>
                <m:e>
                  <m:r>
                    <m:rPr/>
                    <m:t>b</m:t>
                  </m:r>
                </m:e>
              </m:acc>
              <m:r>
                <m:rPr>
                  <m:sty m:val="p"/>
                </m:rPr>
                <m:t>⟩⊗</m:t>
              </m:r>
              <m:acc>
                <m:accPr>
                  <m:chr m:val="‾"/>
                </m:accPr>
                <m:e>
                  <m:r>
                    <m:rPr/>
                    <m:t>b</m:t>
                  </m:r>
                </m:e>
              </m:acc>
              <m:r>
                <m:rPr>
                  <m:sty m:val="p"/>
                </m:rPr>
                <m:t>⟩+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</m:t>
                  </m:r>
                  <m:sSub>
                    <m:sSubPr/>
                    <m:e>
                      <m:r>
                        <m:rPr/>
                        <m:t>ϕ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p>
              </m:sSup>
              <m:r>
                <m:rPr/>
                <m:t>gb</m:t>
              </m:r>
              <m:r>
                <m:rPr>
                  <m:sty m:val="p"/>
                </m:rPr>
                <m:t>⟩⊗</m:t>
              </m:r>
              <m:r>
                <m:rPr/>
                <m:t>b</m:t>
              </m:r>
              <m:acc>
                <m:accPr>
                  <m:chr m:val="‾"/>
                </m:accPr>
                <m:e>
                  <m:r>
                    <m:rPr/>
                    <m:t>r</m:t>
                  </m:r>
                </m:e>
              </m:acc>
              <m:r>
                <m:rPr>
                  <m:sty m:val="p"/>
                </m:rPr>
                <m:t>⟩⊗</m:t>
              </m:r>
              <m:acc>
                <m:accPr>
                  <m:chr m:val="‾"/>
                </m:accPr>
                <m:e>
                  <m:r>
                    <m:rPr/>
                    <m:t>r</m:t>
                  </m:r>
                </m:e>
              </m:acc>
              <m:r>
                <m:rPr>
                  <m:sty m:val="p"/>
                </m:rPr>
                <m:t>⟩+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</m:t>
                  </m:r>
                  <m:sSub>
                    <m:sSubPr/>
                    <m:e>
                      <m:r>
                        <m:rPr/>
                        <m:t>ϕ</m:t>
                      </m:r>
                    </m:e>
                    <m:sub>
                      <m:r>
                        <m:rPr/>
                        <m:t>3</m:t>
                      </m:r>
                    </m:sub>
                  </m:sSub>
                </m:sup>
              </m:sSup>
              <m:r>
                <m:rPr/>
                <m:t>br</m:t>
              </m:r>
              <m:r>
                <m:rPr>
                  <m:sty m:val="p"/>
                </m:rPr>
                <m:t>⟩⊗</m:t>
              </m:r>
              <m:r>
                <m:rPr/>
                <m:t>r</m:t>
              </m:r>
              <m:acc>
                <m:accPr>
                  <m:chr m:val="‾"/>
                </m:accPr>
                <m:e>
                  <m:r>
                    <m:rPr/>
                    <m:t>g</m:t>
                  </m:r>
                </m:e>
              </m:acc>
              <m:r>
                <m:rPr>
                  <m:sty m:val="p"/>
                </m:rPr>
                <m:t>⟩⊗</m:t>
              </m:r>
              <m:acc>
                <m:accPr>
                  <m:chr m:val="‾"/>
                </m:accPr>
                <m:e>
                  <m:r>
                    <m:rPr/>
                    <m:t>g</m:t>
                  </m:r>
                </m:e>
              </m:acc>
              <m:r>
                <m:rPr>
                  <m:sty m:val="p"/>
                </m:rPr>
                <m:t>⟩</m:t>
              </m:r>
            </m:e>
          </m:d>
        </m:oMath>
      </m:oMathPara>
      <w:r>
        <w:br w:type="textWrapping"/>
      </w:r>
      <w:r>
        <w:t xml:space="preserve">* Amplitude Matching: The color-charge eigenvalues of each path satisfy </w:t>
      </w:r>
      <m:oMath>
        <m:sSup>
          <m:sSupPr/>
          <m:e>
            <m:r>
              <m:rPr/>
              <m:t>λ</m:t>
            </m:r>
          </m:e>
          <m:sup>
            <m:r>
              <m:rPr>
                <m:sty m:val="p"/>
              </m:rPr>
              <m:t>[</m:t>
            </m:r>
            <m:r>
              <m:rPr/>
              <m:t>rg</m:t>
            </m:r>
            <m:r>
              <m:rPr>
                <m:sty m:val="p"/>
              </m:rPr>
              <m:t>]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λ</m:t>
            </m:r>
          </m:e>
          <m:sup>
            <m:r>
              <m:rPr>
                <m:sty m:val="p"/>
              </m:rPr>
              <m:t>[</m:t>
            </m:r>
            <m:r>
              <m:rPr/>
              <m:t>g</m:t>
            </m:r>
            <m:acc>
              <m:accPr>
                <m:chr m:val="‾"/>
              </m:accPr>
              <m:e>
                <m:r>
                  <m:rPr/>
                  <m:t>b</m:t>
                </m:r>
              </m:e>
            </m:acc>
            <m:r>
              <m:rPr>
                <m:sty m:val="p"/>
              </m:rPr>
              <m:t>]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λ</m:t>
            </m:r>
          </m:e>
          <m:sup>
            <m:r>
              <m:rPr>
                <m:sty m:val="p"/>
              </m:rPr>
              <m:t>[</m:t>
            </m:r>
            <m:acc>
              <m:accPr>
                <m:chr m:val="‾"/>
              </m:accPr>
              <m:e>
                <m:r>
                  <m:rPr/>
                  <m:t>b</m:t>
                </m:r>
              </m:e>
            </m:acc>
            <m:r>
              <m:rPr>
                <m:sty m:val="p"/>
              </m:rPr>
              <m:t>]</m:t>
            </m:r>
          </m:sup>
        </m:sSup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.</m:t>
        </m:r>
      </m:oMath>
    </w:p>
    <w:p w14:paraId="4FA53EE2">
      <w:pPr>
        <w:numPr>
          <w:ilvl w:val="0"/>
          <w:numId w:val="4"/>
        </w:numPr>
      </w:pPr>
      <w:r>
        <w:t xml:space="preserve">Phase Matching: Requires </w:t>
      </w:r>
      <m:oMath>
        <m:sSub>
          <m:sSubPr/>
          <m:e>
            <m:r>
              <m:rPr/>
              <m:t>ϕ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ϕ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ϕ</m:t>
            </m:r>
          </m:e>
          <m:sub>
            <m:r>
              <m:rPr/>
              <m:t>3</m:t>
            </m:r>
          </m:sub>
        </m:sSub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(</m:t>
        </m:r>
        <m:r>
          <m:rPr/>
          <m:t>or2πk</m:t>
        </m:r>
        <m:r>
          <m:rPr>
            <m:sty m:val="p"/>
          </m:rPr>
          <m:t>)</m:t>
        </m:r>
      </m:oMath>
      <w:r>
        <w:t xml:space="preserve"> to achieve constructive interference in the color singlet channel.</w:t>
      </w:r>
    </w:p>
    <w:p w14:paraId="3862DBA4">
      <w:pPr>
        <w:numPr>
          <w:ilvl w:val="0"/>
          <w:numId w:val="4"/>
        </w:numPr>
      </w:pPr>
      <w:r>
        <w:t xml:space="preserve">Overall Color Neutrality: </w:t>
      </w:r>
      <m:oMath>
        <m:r>
          <m:rPr>
            <m:sty m:val="p"/>
          </m:rPr>
          <m:t>⟨</m:t>
        </m:r>
        <m:sSup>
          <m:sSupPr/>
          <m:e>
            <m:acc>
              <m:accPr/>
              <m:e>
                <m:r>
                  <m:rPr/>
                  <m:t>Q</m:t>
                </m:r>
              </m:e>
            </m:acc>
          </m:e>
          <m:sup>
            <m:r>
              <m:rPr/>
              <m:t>a</m:t>
            </m:r>
          </m:sup>
        </m:sSup>
        <m:sSub>
          <m:sSubPr/>
          <m:e>
            <m:r>
              <m:rPr>
                <m:sty m:val="p"/>
              </m:rPr>
              <m:t>⟩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.</m:t>
        </m:r>
      </m:oMath>
    </w:p>
    <w:p w14:paraId="0C6A19D1">
      <w:pPr>
        <w:pStyle w:val="4"/>
        <w:rPr>
          <w:b/>
          <w:bCs/>
        </w:rPr>
      </w:pPr>
      <w:r>
        <w:rPr>
          <w:b/>
          <w:bCs/>
        </w:rPr>
        <w:t>3.2 Coherent Superposition Mode of the Neutron (udd)</w:t>
      </w:r>
    </w:p>
    <w:p w14:paraId="26765749">
      <w:pPr>
        <w:pStyle w:val="3"/>
      </w:pPr>
      <w:r>
        <w:t>The color-charge wavefunction of the neutron is another coherent superposition path:</w:t>
      </w:r>
    </w:p>
    <w:p w14:paraId="299315F8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  <m:sup>
              <m:r>
                <m:rPr/>
                <m:t>n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</m:acc>
            </m:e>
            <m:sub>
              <m:r>
                <m:rPr>
                  <m:sty m:val="p"/>
                </m:rPr>
                <m:t>[</m:t>
              </m:r>
              <m:r>
                <m:rPr/>
                <m:t>0</m:t>
              </m:r>
              <m:r>
                <m:rPr>
                  <m:sty m:val="p"/>
                </m:rPr>
                <m:t>]</m:t>
              </m:r>
            </m:sub>
          </m:sSub>
          <m:d>
            <m:dPr>
              <m:sepChr m:val=""/>
            </m:dPr>
            <m:e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r>
                    <m:rPr/>
                    <m:t>u</m:t>
                  </m:r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p>
              </m:sSubSup>
            </m:e>
          </m:d>
        </m:oMath>
      </m:oMathPara>
      <w:r>
        <w:br w:type="textWrapping"/>
      </w:r>
      <w:r>
        <w:t>Its coherent superposition path is:</w:t>
      </w:r>
    </w:p>
    <w:p w14:paraId="300DF5B9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  <m:sup>
              <m:r>
                <m:rPr/>
                <m:t>n</m:t>
              </m:r>
            </m:sup>
          </m:sSub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3</m:t>
                  </m:r>
                </m:e>
              </m:rad>
            </m:den>
          </m:f>
          <m:d>
            <m:dPr>
              <m:sepChr m:val=""/>
            </m:dPr>
            <m:e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</m:t>
                  </m:r>
                  <m:sSub>
                    <m:sSubPr/>
                    <m:e>
                      <m:r>
                        <m:rPr/>
                        <m:t>θ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p>
              </m:sSup>
              <m:r>
                <m:rPr/>
                <m:t>rg</m:t>
              </m:r>
              <m:r>
                <m:rPr>
                  <m:sty m:val="p"/>
                </m:rPr>
                <m:t>⟩⊗</m:t>
              </m:r>
              <m:acc>
                <m:accPr>
                  <m:chr m:val="‾"/>
                </m:accPr>
                <m:e>
                  <m:r>
                    <m:rPr/>
                    <m:t>r</m:t>
                  </m:r>
                </m:e>
              </m:acc>
              <m:r>
                <m:rPr>
                  <m:sty m:val="p"/>
                </m:rPr>
                <m:t>⟩⊗</m:t>
              </m:r>
              <m:acc>
                <m:accPr>
                  <m:chr m:val="‾"/>
                </m:accPr>
                <m:e>
                  <m:r>
                    <m:rPr/>
                    <m:t>g</m:t>
                  </m:r>
                </m:e>
              </m:acc>
              <m:r>
                <m:rPr>
                  <m:sty m:val="p"/>
                </m:rPr>
                <m:t>⟩+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</m:t>
                  </m:r>
                  <m:sSub>
                    <m:sSubPr/>
                    <m:e>
                      <m:r>
                        <m:rPr/>
                        <m:t>θ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sup>
              </m:sSup>
              <m:r>
                <m:rPr/>
                <m:t>gb</m:t>
              </m:r>
              <m:r>
                <m:rPr>
                  <m:sty m:val="p"/>
                </m:rPr>
                <m:t>⟩⊗</m:t>
              </m:r>
              <m:acc>
                <m:accPr>
                  <m:chr m:val="‾"/>
                </m:accPr>
                <m:e>
                  <m:r>
                    <m:rPr/>
                    <m:t>g</m:t>
                  </m:r>
                </m:e>
              </m:acc>
              <m:r>
                <m:rPr>
                  <m:sty m:val="p"/>
                </m:rPr>
                <m:t>⟩⊗</m:t>
              </m:r>
              <m:acc>
                <m:accPr>
                  <m:chr m:val="‾"/>
                </m:accPr>
                <m:e>
                  <m:r>
                    <m:rPr/>
                    <m:t>b</m:t>
                  </m:r>
                </m:e>
              </m:acc>
              <m:r>
                <m:rPr>
                  <m:sty m:val="p"/>
                </m:rPr>
                <m:t>⟩+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/>
                    <m:t>i</m:t>
                  </m:r>
                  <m:sSub>
                    <m:sSubPr/>
                    <m:e>
                      <m:r>
                        <m:rPr/>
                        <m:t>θ</m:t>
                      </m:r>
                    </m:e>
                    <m:sub>
                      <m:r>
                        <m:rPr/>
                        <m:t>3</m:t>
                      </m:r>
                    </m:sub>
                  </m:sSub>
                </m:sup>
              </m:sSup>
              <m:r>
                <m:rPr/>
                <m:t>br</m:t>
              </m:r>
              <m:r>
                <m:rPr>
                  <m:sty m:val="p"/>
                </m:rPr>
                <m:t>⟩⊗</m:t>
              </m:r>
              <m:acc>
                <m:accPr>
                  <m:chr m:val="‾"/>
                </m:accPr>
                <m:e>
                  <m:r>
                    <m:rPr/>
                    <m:t>b</m:t>
                  </m:r>
                </m:e>
              </m:acc>
              <m:r>
                <m:rPr>
                  <m:sty m:val="p"/>
                </m:rPr>
                <m:t>⟩⊗</m:t>
              </m:r>
              <m:acc>
                <m:accPr>
                  <m:chr m:val="‾"/>
                </m:accPr>
                <m:e>
                  <m:r>
                    <m:rPr/>
                    <m:t>r</m:t>
                  </m:r>
                </m:e>
              </m:acc>
              <m:r>
                <m:rPr>
                  <m:sty m:val="p"/>
                </m:rPr>
                <m:t>⟩</m:t>
              </m:r>
            </m:e>
          </m:d>
        </m:oMath>
      </m:oMathPara>
      <w:r>
        <w:br w:type="textWrapping"/>
      </w:r>
      <w:r>
        <w:t xml:space="preserve">* Amplitude Matching: Each path satisfies </w:t>
      </w:r>
      <m:oMath>
        <m:sSup>
          <m:sSupPr/>
          <m:e>
            <m:r>
              <m:rPr/>
              <m:t>λ</m:t>
            </m:r>
          </m:e>
          <m:sup>
            <m:r>
              <m:rPr>
                <m:sty m:val="p"/>
              </m:rPr>
              <m:t>[</m:t>
            </m:r>
            <m:r>
              <m:rPr/>
              <m:t>rg</m:t>
            </m:r>
            <m:r>
              <m:rPr>
                <m:sty m:val="p"/>
              </m:rPr>
              <m:t>]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λ</m:t>
            </m:r>
          </m:e>
          <m:sup>
            <m:r>
              <m:rPr>
                <m:sty m:val="p"/>
              </m:rPr>
              <m:t>[</m:t>
            </m:r>
            <m:acc>
              <m:accPr>
                <m:chr m:val="‾"/>
              </m:accPr>
              <m:e>
                <m:r>
                  <m:rPr/>
                  <m:t>r</m:t>
                </m:r>
              </m:e>
            </m:acc>
            <m:r>
              <m:rPr>
                <m:sty m:val="p"/>
              </m:rPr>
              <m:t>]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λ</m:t>
            </m:r>
          </m:e>
          <m:sup>
            <m:r>
              <m:rPr>
                <m:sty m:val="p"/>
              </m:rPr>
              <m:t>[</m:t>
            </m:r>
            <m:acc>
              <m:accPr>
                <m:chr m:val="‾"/>
              </m:accPr>
              <m:e>
                <m:r>
                  <m:rPr/>
                  <m:t>g</m:t>
                </m:r>
              </m:e>
            </m:acc>
            <m:r>
              <m:rPr>
                <m:sty m:val="p"/>
              </m:rPr>
              <m:t>]</m:t>
            </m:r>
          </m:sup>
        </m:sSup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.</m:t>
        </m:r>
      </m:oMath>
    </w:p>
    <w:p w14:paraId="5F959F9F">
      <w:pPr>
        <w:numPr>
          <w:ilvl w:val="0"/>
          <w:numId w:val="4"/>
        </w:numPr>
      </w:pPr>
      <w:r>
        <w:t xml:space="preserve">Phase Matching: Requires </w:t>
      </w:r>
      <m:oMath>
        <m:sSub>
          <m:sSubPr/>
          <m:e>
            <m:r>
              <m:rPr/>
              <m:t>θ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θ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θ</m:t>
            </m:r>
          </m:e>
          <m:sub>
            <m:r>
              <m:rPr/>
              <m:t>3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t xml:space="preserve"> to achieve constructive interference.</w:t>
      </w:r>
    </w:p>
    <w:p w14:paraId="4E6187FB">
      <w:pPr>
        <w:numPr>
          <w:ilvl w:val="0"/>
          <w:numId w:val="4"/>
        </w:numPr>
      </w:pPr>
      <w:r>
        <w:t xml:space="preserve">Overall Color Neutrality: </w:t>
      </w:r>
      <m:oMath>
        <m:r>
          <m:rPr>
            <m:sty m:val="p"/>
          </m:rPr>
          <m:t>⟨</m:t>
        </m:r>
        <m:sSup>
          <m:sSupPr/>
          <m:e>
            <m:acc>
              <m:accPr/>
              <m:e>
                <m:r>
                  <m:rPr/>
                  <m:t>Q</m:t>
                </m:r>
              </m:e>
            </m:acc>
          </m:e>
          <m:sup>
            <m:r>
              <m:rPr/>
              <m:t>a</m:t>
            </m:r>
          </m:sup>
        </m:sSup>
        <m:sSub>
          <m:sSubPr/>
          <m:e>
            <m:r>
              <m:rPr>
                <m:sty m:val="p"/>
              </m:rPr>
              <m:t>⟩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.</m:t>
        </m:r>
      </m:oMath>
    </w:p>
    <w:p w14:paraId="33D84F34">
      <w:pPr>
        <w:pStyle w:val="26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Mathematical Expression: Dynamical Equation of Coherent Superposition</w:t>
      </w:r>
    </w:p>
    <w:p w14:paraId="0962F362">
      <w:pPr>
        <w:pStyle w:val="4"/>
      </w:pPr>
      <w:r>
        <w:t>The coherent superposition of color-charge wavefunctions is described by the following nonlinear Schrödinger equation:</w:t>
      </w:r>
    </w:p>
    <w:p w14:paraId="21AB8B7E">
      <w:pPr>
        <w:pStyle w:val="3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ℏ</m:t>
          </m:r>
          <m:f>
            <m:fPr/>
            <m:num>
              <m:r>
                <m:rPr>
                  <m:sty m:val="p"/>
                </m:rPr>
                <m:t>∂</m:t>
              </m:r>
              <m:sSub>
                <m:sSubPr/>
                <m:e>
                  <m:r>
                    <m:rPr>
                      <m:sty m:val="p"/>
                    </m:rPr>
                    <m:t>Ψ</m:t>
                  </m:r>
                </m:e>
                <m:sub>
                  <m:r>
                    <m:rPr/>
                    <m:t>B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</m:den>
              </m:f>
              <m:sSup>
                <m:sSupPr/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>
                      <m:sty m:val="p"/>
                    </m:rPr>
                    <m:t>conf</m:t>
                  </m:r>
                </m:sub>
              </m:sSub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</m:e>
          </m:d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BB</m:t>
              </m:r>
            </m:sub>
          </m:sSub>
          <m:sSubSup>
            <m:sSubSup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  <m:sup>
              <m:r>
                <m:rPr/>
                <m:t>2</m:t>
              </m:r>
            </m:sup>
          </m:sSubSup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r>
            <m:rPr/>
            <m:t>κ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</m:acc>
            </m:e>
            <m:sub>
              <m:r>
                <m:rPr>
                  <m:sty m:val="p"/>
                </m:rPr>
                <m:t>[</m:t>
              </m:r>
              <m:r>
                <m:rPr/>
                <m:t>0</m:t>
              </m:r>
              <m:r>
                <m:rPr>
                  <m:sty m:val="p"/>
                </m:rPr>
                <m:t>]</m:t>
              </m:r>
            </m:sub>
          </m:sSub>
          <m:d>
            <m:dPr>
              <m:sepChr m:val=""/>
            </m:dPr>
            <m:e>
              <m:sSub>
                <m:sSubPr/>
                <m:e>
                  <m:r>
                    <m:rPr>
                      <m:sty m:val="p"/>
                    </m:rPr>
                    <m:t>Ψ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>
                  <m:sty m:val="p"/>
                </m:rPr>
                <m:t>⊗</m:t>
              </m:r>
              <m:sSub>
                <m:sSubPr/>
                <m:e>
                  <m:r>
                    <m:rPr>
                      <m:sty m:val="p"/>
                    </m:rPr>
                    <m:t>Ψ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>
                  <m:sty m:val="p"/>
                </m:rPr>
                <m:t>⊗</m:t>
              </m:r>
              <m:sSub>
                <m:sSubPr/>
                <m:e>
                  <m:r>
                    <m:rPr>
                      <m:sty m:val="p"/>
                    </m:rPr>
                    <m:t>Ψ</m:t>
                  </m:r>
                </m:e>
                <m:sub>
                  <m:r>
                    <m:rPr/>
                    <m:t>B</m:t>
                  </m:r>
                </m:sub>
              </m:sSub>
            </m:e>
          </m:d>
        </m:oMath>
      </m:oMathPara>
      <w:r>
        <w:br w:type="textWrapping"/>
      </w:r>
      <w:r>
        <w:t>Where:</w:t>
      </w:r>
      <w:r>
        <w:br w:type="textWrapping"/>
      </w:r>
      <w:r>
        <w:t xml:space="preserve">* </w:t>
      </w:r>
      <m:oMath>
        <m:sSub>
          <m:sSubPr/>
          <m:e>
            <m:r>
              <m:rPr/>
              <m:t>g</m:t>
            </m:r>
          </m:e>
          <m:sub>
            <m:r>
              <m:rPr/>
              <m:t>BB</m:t>
            </m:r>
          </m:sub>
        </m:sSub>
        <m:sSubSup>
          <m:sSubSupPr/>
          <m:e>
            <m:r>
              <m:rPr>
                <m:sty m:val="p"/>
              </m:rPr>
              <m:t>Ψ</m:t>
            </m:r>
          </m:e>
          <m:sub>
            <m:r>
              <m:rPr/>
              <m:t>B</m:t>
            </m:r>
          </m:sub>
          <m:sup>
            <m:r>
              <m:rPr/>
              <m:t>2</m:t>
            </m:r>
          </m:sup>
        </m:sSubSup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B</m:t>
            </m:r>
          </m:sub>
        </m:sSub>
      </m:oMath>
      <w:r>
        <w:t xml:space="preserve"> is the nonlinear self-interaction term, which causes the wave packet to self-focus, maintaining its spatial locality.</w:t>
      </w:r>
    </w:p>
    <w:p w14:paraId="65E3B22F">
      <w:pPr>
        <w:pStyle w:val="26"/>
        <w:numPr>
          <w:ilvl w:val="0"/>
          <w:numId w:val="4"/>
        </w:numPr>
      </w:pPr>
      <m:oMath>
        <m:r>
          <m:rPr/>
          <m:t>κ</m:t>
        </m:r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C</m:t>
                </m:r>
              </m:e>
            </m:acc>
          </m:e>
          <m:sub>
            <m:r>
              <m:rPr>
                <m:sty m:val="p"/>
              </m:rPr>
              <m:t>[</m:t>
            </m:r>
            <m:r>
              <m:rPr/>
              <m:t>0</m:t>
            </m:r>
            <m:r>
              <m:rPr>
                <m:sty m:val="p"/>
              </m:rPr>
              <m:t>]</m:t>
            </m:r>
          </m:sub>
        </m:sSub>
        <m:r>
          <m:rPr>
            <m:sty m:val="p"/>
          </m:rPr>
          <m:t>(⋯)</m:t>
        </m:r>
      </m:oMath>
      <w:r>
        <w:t xml:space="preserve"> is the coherent coupling term, which forces the wavefunction to evolve towards the color singlet channel.</w:t>
      </w:r>
    </w:p>
    <w:p w14:paraId="2FA24915">
      <w:pPr>
        <w:pStyle w:val="4"/>
      </w:pPr>
      <w:r>
        <w:t xml:space="preserve">The stable solutions of this equation are the color-charge wavefunctions of the proton or neutron, </w:t>
      </w:r>
      <m:oMath>
        <m:sSubSup>
          <m:sSubSupPr/>
          <m:e>
            <m:r>
              <m:rPr>
                <m:sty m:val="p"/>
              </m:rPr>
              <m:t>Ψ</m:t>
            </m:r>
          </m:e>
          <m:sub>
            <m:r>
              <m:rPr/>
              <m:t>B</m:t>
            </m:r>
          </m:sub>
          <m:sup>
            <m:r>
              <m:rPr/>
              <m:t>p</m:t>
            </m:r>
            <m:r>
              <m:rPr>
                <m:sty m:val="p"/>
              </m:rPr>
              <m:t>/</m:t>
            </m:r>
            <m:r>
              <m:rPr/>
              <m:t>n</m:t>
            </m:r>
          </m:sup>
        </m:sSubSup>
        <m:r>
          <m:rPr>
            <m:sty m:val="p"/>
          </m:rPr>
          <m:t>.</m:t>
        </m:r>
      </m:oMath>
    </w:p>
    <w:p w14:paraId="698B2350">
      <w:pPr>
        <w:pStyle w:val="26"/>
        <w:numPr>
          <w:ilvl w:val="0"/>
          <w:numId w:val="6"/>
        </w:numPr>
      </w:pPr>
      <w:r>
        <w:rPr>
          <w:b/>
          <w:bCs/>
        </w:rPr>
        <w:t>Conclusion</w:t>
      </w:r>
    </w:p>
    <w:p w14:paraId="19121D06">
      <w:pPr>
        <w:pStyle w:val="4"/>
      </w:pPr>
      <w:r>
        <w:t>This paper reveals the wave-dynamic mechanism of hadron color neutrality formation, drawing the following conclusions:</w:t>
      </w:r>
      <w:r>
        <w:br w:type="textWrapping"/>
      </w:r>
      <w:r>
        <w:t>1. Essence of Color Neutrality: The color neutrality of hadrons results from the coherent superposition of quark and gluon color-charge wavefunctions, leading to a color-charge operator expectation value of zero.</w:t>
      </w:r>
      <w:r>
        <w:br w:type="textWrapping"/>
      </w:r>
      <w:r>
        <w:t xml:space="preserve">2. Coherence Conditions: Superposition requires amplitude matching </w:t>
      </w:r>
      <m:oMath>
        <m:r>
          <m:rPr>
            <m:sty m:val="p"/>
          </m:rPr>
          <m:t>∑</m:t>
        </m:r>
        <m:sSub>
          <m:sSubPr/>
          <m:e>
            <m:r>
              <m:rPr/>
              <m:t>c</m:t>
            </m:r>
          </m:e>
          <m:sub>
            <m:r>
              <m:rPr/>
              <m:t>i</m:t>
            </m:r>
          </m:sub>
        </m:sSub>
        <m:sSubSup>
          <m:sSubSupPr/>
          <m:e>
            <m:r>
              <m:rPr/>
              <m:t>λ</m:t>
            </m:r>
          </m:e>
          <m:sub>
            <m:r>
              <m:rPr/>
              <m:t>i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=</m:t>
        </m:r>
        <m:r>
          <m:rPr/>
          <m:t>0</m:t>
        </m:r>
      </m:oMath>
      <w:r>
        <w:t xml:space="preserve"> and phase matching </w:t>
      </w:r>
      <m:oMath>
        <m:r>
          <m:rPr>
            <m:sty m:val="p"/>
          </m:rPr>
          <m:t>Δ</m:t>
        </m:r>
        <m:r>
          <m:rPr/>
          <m:t>ϕ</m:t>
        </m:r>
        <m:r>
          <m:rPr>
            <m:sty m:val="p"/>
          </m:rPr>
          <m:t>=</m:t>
        </m:r>
        <m:r>
          <m:rPr/>
          <m:t>2πk</m:t>
        </m:r>
      </m:oMath>
      <w:r>
        <w:t xml:space="preserve"> to form a stable color singlet wave packet.</w:t>
      </w:r>
      <w:r>
        <w:br w:type="textWrapping"/>
      </w:r>
      <w:r>
        <w:t>3. Dynamical Equation: This process is described by a nonlinear Schrödinger equation with projection terms, whose stable solutions correspond to the specific wavefunction configurations of protons and neutrons.</w:t>
      </w:r>
      <w:r>
        <w:br w:type="textWrapping"/>
      </w:r>
      <w:r>
        <w:t>4. Unified Physical Picture: It transforms the problem of color confinement into a problem of wavefunction interference and stability, providing a new, more fundamental wave-dynamic perspective for understanding hadron structure.</w:t>
      </w:r>
    </w:p>
    <w:p w14:paraId="76C6F124">
      <w:pPr>
        <w:pStyle w:val="3"/>
      </w:pPr>
      <w:bookmarkStart w:id="0" w:name="_GoBack"/>
      <w:r>
        <w:rPr>
          <w:b/>
          <w:bCs/>
        </w:rPr>
        <w:t>References</w:t>
      </w:r>
      <w:r>
        <w:rPr>
          <w:b/>
          <w:bCs/>
        </w:rPr>
        <w:br w:type="textWrapping"/>
      </w:r>
      <w:bookmarkEnd w:id="0"/>
      <w:r>
        <w:t>[1] Li, Z.J. “On the Coherent Superposition Principle of Color Neutrality in Hadrons”. Preprint (2023).</w:t>
      </w:r>
      <w:r>
        <w:br w:type="textWrapping"/>
      </w:r>
      <w:r>
        <w:t>[2] Schiff, L.I. Quantum Mechanics (3rd ed.). McGraw-Hill (1968). [Authority on wavefunction coherence]</w:t>
      </w:r>
      <w:r>
        <w:br w:type="textWrapping"/>
      </w:r>
      <w:r>
        <w:t>[3] Feynman, R.P. “Space-time approach to non-relativistic quantum mechanics”. Rev. Mod. Phys. (1948).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4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BFE263B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528</Words>
  <Characters>3067</Characters>
  <Lines>30</Lines>
  <Paragraphs>8</Paragraphs>
  <TotalTime>72</TotalTime>
  <ScaleCrop>false</ScaleCrop>
  <LinksUpToDate>false</LinksUpToDate>
  <CharactersWithSpaces>3496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2025-10-23T02:16:00Z</dcterms:created>
  <dc:creator>迈斯纳效应</dc:creator>
  <cp:lastModifiedBy>迈斯纳效应</cp:lastModifiedBy>
  <dcterms:modified xsi:type="dcterms:W3CDTF">2025-10-23T02:19:08Z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6A52AF0AABC444C896EC1EF5C339560B_12</vt:lpwstr>
  </property>
</Properties>
</file>