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476DC">
      <w:pPr>
        <w:pStyle w:val="4"/>
      </w:pPr>
      <w:r>
        <w:t xml:space="preserve"> </w:t>
      </w:r>
      <w:r>
        <w:rPr>
          <w:b/>
          <w:bCs/>
        </w:rPr>
        <w:t>The Vacuum Fluctuation Pair-Production Model of Single-Photon Double-Slit Interference: The Mechanism of Decoherence Induced by External Field Observation</w:t>
      </w:r>
    </w:p>
    <w:p w14:paraId="73A6A836">
      <w:pPr>
        <w:pStyle w:val="3"/>
      </w:pPr>
      <w:r>
        <w:rPr>
          <w:b/>
          <w:bCs/>
        </w:rPr>
        <w:t xml:space="preserve">Authors: </w:t>
      </w:r>
      <w:r>
        <w:t>Li Zhijun, Zhao Guangyao</w:t>
      </w:r>
    </w:p>
    <w:p w14:paraId="73A19A18">
      <w:pPr>
        <w:pStyle w:val="3"/>
      </w:pPr>
      <w:r>
        <w:rPr>
          <w:b/>
          <w:bCs/>
        </w:rPr>
        <w:t>Abstract:</w:t>
      </w:r>
      <w:r>
        <w:rPr>
          <w:b/>
          <w:bCs/>
        </w:rPr>
        <w:br w:type="textWrapping"/>
      </w:r>
      <w:r>
        <w:t>This paper proposes a novel theoretical model based on the essential nature of the quantum electrodynamics (QED) vacuum, aiming to interpret the phenomenon of single-photon double-slit interference and its decoherence mechanism under the most pristine conditions (without any nonlinear crystals). The core argument is: The observed single-photon interference pattern originates from a high-energy incident photon (</w:t>
      </w:r>
      <m:oMath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</m:oMath>
      <w:r>
        <w:t>) exciting, via vacuum quantum fluctuations at a spatial point near the double slit, a virtual electron-positron pair (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>). This virtual pair annihilates under the boundary conditions provided by the double slit, reconverting into a pair of real low-energy photons (</w:t>
      </w:r>
      <m:oMath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</m:oMath>
      <w:r>
        <w:t xml:space="preserve">). This photon pair, due to their common spatiotemporal origin, exists in a path-entangled state, and their coincidence counting presents an interference pattern. This paper constructs the effective vertex operator </w:t>
      </w:r>
      <m:oMath>
        <m:sSub>
          <m:sSubPr/>
          <m:e>
            <m:acc>
              <m:accPr/>
              <m:e>
                <m:r>
                  <m:rPr/>
                  <m:t>V</m:t>
                </m:r>
              </m:e>
            </m:acc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∝∫</m:t>
        </m:r>
        <m:sSup>
          <m:sSupPr/>
          <m:e>
            <m:r>
              <m:rPr/>
              <m:t>d</m:t>
            </m:r>
          </m:e>
          <m:sup>
            <m:r>
              <m:rPr/>
              <m:t>4</m:t>
            </m:r>
          </m:sup>
        </m:sSup>
        <m:r>
          <m:rPr/>
          <m:t>x </m:t>
        </m:r>
        <m:sSub>
          <m:sSubPr/>
          <m:e>
            <m:acc>
              <m:accPr/>
              <m:e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Ψ</m:t>
                    </m:r>
                  </m:e>
                </m:bar>
              </m:e>
            </m:acc>
          </m:e>
          <m:sub>
            <m:r>
              <m:rPr/>
              <m:t>e</m:t>
            </m:r>
          </m:sub>
        </m:sSub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e</m:t>
            </m:r>
          </m:sub>
        </m:sSub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p</m:t>
            </m:r>
          </m:sub>
        </m:sSub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1</m:t>
            </m:r>
          </m:sub>
        </m:sSub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2</m:t>
            </m:r>
          </m:sub>
        </m:sSub>
      </m:oMath>
      <w:r>
        <w:t xml:space="preserve"> for this process and proves that it satisfies all conservation laws. The key breakthrough is: Any observation attempting to detect “which slit” injects energy </w:t>
      </w:r>
      <m:oMath>
        <m:r>
          <m:rPr/>
          <m:t>ϵ</m:t>
        </m:r>
      </m:oMath>
      <w:r>
        <w:t xml:space="preserve"> into the system, disrupting the delicate balance of the virtual electron-positron pair (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>), thereby cutting off the production channel of the entangled photon pair and leading to decoherence. This model, for the first time, directly links double-slit interference to the dynamical structure of the vacuum, providing profound insights into the foundations of quantum mechanics rooted in QED.</w:t>
      </w:r>
    </w:p>
    <w:p w14:paraId="009D9C32">
      <w:pPr>
        <w:pStyle w:val="3"/>
      </w:pPr>
      <w:r>
        <w:rPr>
          <w:b/>
          <w:bCs/>
        </w:rPr>
        <w:t xml:space="preserve">Keywords: </w:t>
      </w:r>
      <w:r>
        <w:t>Single-photon interference; Quantum electrodynamics (QED); Vacuum fluctuations; Virtual electron-positron pair; Effective vertex; Path entanglement; Decoherence; External field perturbation</w:t>
      </w:r>
    </w:p>
    <w:p w14:paraId="6D5FEA2A">
      <w:pPr>
        <w:pStyle w:val="2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Introduction: An Interpretation of Double-Slit Interference Returning to the Essence of the Vacuum</w:t>
      </w:r>
    </w:p>
    <w:p w14:paraId="148D8B75">
      <w:pPr>
        <w:pStyle w:val="4"/>
      </w:pPr>
      <w:r>
        <w:t>The single-photon double-slit experiment is a central puzzle of quantum mechanics. Existing theories require the introduction of external media (e.g., nonlinear crystals). This paper aims to explore a more fundamental interpretation: Can interference be explained based solely on the QED vacuum itself? We propose that the root of double-slit interference lies in the fact that the vacuum is not empty but is a dynamic medium filled with virtual particle pairs. Interference results from the interaction between the incident photon and this medium.</w:t>
      </w:r>
    </w:p>
    <w:p w14:paraId="09783792">
      <w:pPr>
        <w:pStyle w:val="2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Theoretical Framework: The Two-Photon Entanglement Generation Model Based on Vacuum Fluctuations</w:t>
      </w:r>
    </w:p>
    <w:p w14:paraId="650B0A70">
      <w:pPr>
        <w:pStyle w:val="4"/>
        <w:rPr>
          <w:b/>
          <w:bCs/>
        </w:rPr>
      </w:pPr>
      <w:r>
        <w:rPr>
          <w:b/>
          <w:bCs/>
        </w:rPr>
        <w:t>2.1 Physical Picture: The Intermediate Process of the Virtual Electron Pair</w:t>
      </w:r>
    </w:p>
    <w:p w14:paraId="6FC947A4">
      <w:pPr>
        <w:pStyle w:val="3"/>
      </w:pPr>
      <w:r>
        <w:t>The core physical picture of the model is as follows:</w:t>
      </w:r>
      <w:r>
        <w:br w:type="textWrapping"/>
      </w:r>
      <w:r>
        <w:t xml:space="preserve">1. Incidence: A high-energy photon </w:t>
      </w:r>
      <m:oMath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</m:oMath>
      <w:r>
        <w:t xml:space="preserve"> propagates to the vicinity of the double slit.</w:t>
      </w:r>
      <w:r>
        <w:br w:type="textWrapping"/>
      </w:r>
      <w:r>
        <w:t>2. Fluctuation: Under the condition that the photon energy is sufficiently high (</w:t>
      </w:r>
      <m:oMath>
        <m:sSub>
          <m:sSubPr/>
          <m:e>
            <m:r>
              <m:rPr/>
              <m:t>E</m:t>
            </m:r>
          </m:e>
          <m:sub>
            <m:sSub>
              <m:sSubPr/>
              <m:e>
                <m:r>
                  <m:rPr/>
                  <m:t>γ</m:t>
                </m:r>
              </m:e>
              <m:sub>
                <m:r>
                  <m:rPr/>
                  <m:t>p</m:t>
                </m:r>
              </m:sub>
            </m:sSub>
          </m:sub>
        </m:sSub>
        <m:r>
          <m:rPr>
            <m:sty m:val="p"/>
          </m:rPr>
          <m:t>&gt;</m:t>
        </m:r>
        <m:r>
          <m:rPr/>
          <m:t>2</m:t>
        </m:r>
        <m:sSub>
          <m:sSubPr/>
          <m:e>
            <m:r>
              <m:rPr/>
              <m:t>m</m:t>
            </m:r>
          </m:e>
          <m:sub>
            <m:r>
              <m:rPr/>
              <m:t>e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>), its electromagnetic field can strongly perturb the vacuum, enabling a virtual electron-positron pair (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to “borrow” energy </w:t>
      </w:r>
      <m:oMath>
        <m:r>
          <m:rPr>
            <m:sty m:val="p"/>
          </m:rPr>
          <m:t>Δ</m:t>
        </m:r>
        <m:r>
          <m:rPr/>
          <m:t>E</m:t>
        </m:r>
      </m:oMath>
      <w:r>
        <w:t xml:space="preserve"> from the vacuum fluctuations and exist for a time </w:t>
      </w:r>
      <m:oMath>
        <m:r>
          <m:rPr>
            <m:sty m:val="p"/>
          </m:rPr>
          <m:t>Δ</m:t>
        </m:r>
        <m:r>
          <m:rPr/>
          <m:t>t</m:t>
        </m:r>
        <m:r>
          <m:rPr>
            <m:sty m:val="p"/>
          </m:rPr>
          <m:t>∼ℏ/Δ</m:t>
        </m:r>
        <m:r>
          <m:rPr/>
          <m:t>E</m:t>
        </m:r>
      </m:oMath>
      <w:r>
        <w:t xml:space="preserve"> allowed by the Heisenberg uncertainty principle.</w:t>
      </w:r>
      <w:r>
        <w:br w:type="textWrapping"/>
      </w:r>
      <w:r>
        <w:t xml:space="preserve">3. Annihilation and Production: Under the special boundary conditions provided by the double slit, this virtual pair does not simply annihilate back into the vacuum but undergoes a double-slit-induced coherent annihilation process, transforming into two real photons </w:t>
      </w:r>
      <m:oMath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</m:oMath>
      <w:r>
        <w:t xml:space="preserve"> and </w:t>
      </w:r>
      <m:oMath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</m:oMath>
      <w:r>
        <w:t xml:space="preserve">, i.e., </w:t>
      </w:r>
      <m:oMath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+vacuum→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</m:oMath>
      <w:r>
        <w:t>.</w:t>
      </w:r>
      <w:r>
        <w:br w:type="textWrapping"/>
      </w:r>
      <w:r>
        <w:t xml:space="preserve">4. Entanglement: Since </w:t>
      </w:r>
      <m:oMath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</m:oMath>
      <w:r>
        <w:t xml:space="preserve"> and </w:t>
      </w:r>
      <m:oMath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</m:oMath>
      <w:r>
        <w:t xml:space="preserve"> originate from the same spatiotemporal point (vertex) in the same process, their path information is correlated, automatically forming the path-entangled state:</w:t>
      </w:r>
    </w:p>
    <w:p w14:paraId="4F13F69B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|Ψ⟩=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d>
            <m:dPr>
              <m:sepChr m:val=""/>
            </m:dPr>
            <m:e>
              <m:r>
                <m:rPr>
                  <m:sty m:val="p"/>
                </m:rPr>
                <m:t>|</m:t>
              </m:r>
              <m:r>
                <m:rPr/>
                <m:t>L</m:t>
              </m:r>
              <m:sSub>
                <m:sSubPr/>
                <m:e>
                  <m:r>
                    <m:rPr>
                      <m:sty m:val="p"/>
                    </m:rPr>
                    <m:t>⟩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|</m:t>
              </m:r>
              <m:r>
                <m:rPr/>
                <m:t>R</m:t>
              </m:r>
              <m:sSub>
                <m:sSubPr/>
                <m:e>
                  <m:r>
                    <m:rPr>
                      <m:sty m:val="p"/>
                    </m:rPr>
                    <m:t>⟩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iϕ</m:t>
                  </m:r>
                </m:sup>
              </m:sSup>
              <m:r>
                <m:rPr>
                  <m:sty m:val="p"/>
                </m:rPr>
                <m:t>|</m:t>
              </m:r>
              <m:r>
                <m:rPr/>
                <m:t>R</m:t>
              </m:r>
              <m:sSub>
                <m:sSubPr/>
                <m:e>
                  <m:r>
                    <m:rPr>
                      <m:sty m:val="p"/>
                    </m:rPr>
                    <m:t>⟩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|</m:t>
              </m:r>
              <m:r>
                <m:rPr/>
                <m:t>L</m:t>
              </m:r>
              <m:sSub>
                <m:sSubPr/>
                <m:e>
                  <m:r>
                    <m:rPr>
                      <m:sty m:val="p"/>
                    </m:rPr>
                    <m:t>⟩</m:t>
                  </m:r>
                </m:e>
                <m:sub>
                  <m:r>
                    <m:rPr/>
                    <m:t>2</m:t>
                  </m:r>
                </m:sub>
              </m:sSub>
            </m:e>
          </m:d>
        </m:oMath>
      </m:oMathPara>
    </w:p>
    <w:p w14:paraId="4C7EC441">
      <w:pPr>
        <w:pStyle w:val="4"/>
        <w:rPr>
          <w:b/>
          <w:bCs/>
        </w:rPr>
      </w:pPr>
      <w:r>
        <w:rPr>
          <w:b/>
          <w:bCs/>
        </w:rPr>
        <w:t>2.2 Mathematical Formulation: Effective Vertex and Scattering Amplitude</w:t>
      </w:r>
    </w:p>
    <w:p w14:paraId="4CD95F3B">
      <w:pPr>
        <w:pStyle w:val="3"/>
      </w:pPr>
      <w:r>
        <w:t>This process can be described by an effective vertex. Its interaction Lagrangian density is:</w:t>
      </w:r>
    </w:p>
    <w:p w14:paraId="332D47F1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  <m:sup>
              <m:r>
                <m:rPr>
                  <m:sty m:val="p"/>
                </m:rPr>
                <m:t>eff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/>
            <m:t> </m:t>
          </m:r>
          <m:sSub>
            <m:sSubPr/>
            <m:e>
              <m:bar>
                <m:barPr>
                  <m:pos m:val="top"/>
                </m:barPr>
                <m:e>
                  <m:r>
                    <m:rPr>
                      <m:sty m:val="p"/>
                    </m:rPr>
                    <m:t>Ψ</m:t>
                  </m:r>
                </m:e>
              </m:ba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r>
            <m:rPr/>
            <m:t> </m:t>
          </m:r>
          <m:sSubSup>
            <m:sSubSup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p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bSup>
            <m:sSubSupPr/>
            <m:e>
              <m:r>
                <m:rPr/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bSup>
            <m:sSubSupPr/>
            <m:e>
              <m:r>
                <m:rPr/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is the effective coupling constant,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e</m:t>
            </m:r>
          </m:sub>
        </m:sSub>
      </m:oMath>
      <w:r>
        <w:t xml:space="preserve"> is the electron field, and </w:t>
      </w:r>
      <m:oMath>
        <m:sSubSup>
          <m:sSubSupPr/>
          <m:e>
            <m:r>
              <m:rPr/>
              <m:t>A</m:t>
            </m:r>
          </m:e>
          <m:sub>
            <m:r>
              <m:rPr>
                <m:sty m:val="p"/>
              </m:rPr>
              <m:t>(</m:t>
            </m:r>
            <m:r>
              <m:rPr/>
              <m:t>p</m:t>
            </m:r>
            <m:r>
              <m:rPr>
                <m:sty m:val="p"/>
              </m:rPr>
              <m:t>)</m:t>
            </m:r>
          </m:sub>
          <m:sup>
            <m:r>
              <m:rPr/>
              <m:t>μ</m:t>
            </m:r>
          </m:sup>
        </m:sSubSup>
        <m:r>
          <m:rPr>
            <m:sty m:val="p"/>
          </m:rPr>
          <m:t>,</m:t>
        </m:r>
        <m:sSubSup>
          <m:sSubSupPr/>
          <m:e>
            <m:r>
              <m:rPr/>
              <m:t>A</m:t>
            </m:r>
          </m:e>
          <m:sub>
            <m:r>
              <m:rPr>
                <m:sty m:val="p"/>
              </m:rPr>
              <m:t>(</m:t>
            </m:r>
            <m:r>
              <m:rPr/>
              <m:t>1</m:t>
            </m:r>
            <m:r>
              <m:rPr>
                <m:sty m:val="p"/>
              </m:rPr>
              <m:t>)</m:t>
            </m:r>
          </m:sub>
          <m:sup>
            <m:r>
              <m:rPr/>
              <m:t>μ</m:t>
            </m:r>
          </m:sup>
        </m:sSubSup>
        <m:r>
          <m:rPr>
            <m:sty m:val="p"/>
          </m:rPr>
          <m:t>,</m:t>
        </m:r>
        <m:sSubSup>
          <m:sSubSupPr/>
          <m:e>
            <m:r>
              <m:rPr/>
              <m:t>A</m:t>
            </m:r>
          </m:e>
          <m:sub>
            <m:r>
              <m:rPr>
                <m:sty m:val="p"/>
              </m:rPr>
              <m:t>(</m:t>
            </m:r>
            <m:r>
              <m:rPr/>
              <m:t>2</m:t>
            </m:r>
            <m:r>
              <m:rPr>
                <m:sty m:val="p"/>
              </m:rPr>
              <m:t>)</m:t>
            </m:r>
          </m:sub>
          <m:sup>
            <m:r>
              <m:rPr/>
              <m:t>μ</m:t>
            </m:r>
          </m:sup>
        </m:sSubSup>
      </m:oMath>
      <w:r>
        <w:t xml:space="preserve"> are the electromagnetic fields of the pump photon and the two produced photons, respectively.</w:t>
      </w:r>
    </w:p>
    <w:p w14:paraId="653DB50F">
      <w:pPr>
        <w:pStyle w:val="3"/>
      </w:pPr>
      <w:r>
        <w:t xml:space="preserve">The scattering amplitude </w:t>
      </w:r>
      <m:oMath>
        <m:r>
          <m:rPr>
            <m:sty m:val="p"/>
            <m:scr m:val="script"/>
          </m:rPr>
          <m:t>ℳ</m:t>
        </m:r>
      </m:oMath>
      <w:r>
        <w:t xml:space="preserve"> for this process is proportional to:</w:t>
      </w:r>
    </w:p>
    <w:p w14:paraId="4B28D069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∝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/>
            <m:t> </m:t>
          </m:r>
          <m:bar>
            <m:barPr>
              <m:pos m:val="top"/>
            </m:barPr>
            <m:e>
              <m:r>
                <m:rPr/>
                <m:t>v</m:t>
              </m:r>
            </m:e>
          </m:bar>
          <m:r>
            <m:rPr>
              <m:sty m:val="p"/>
            </m:rPr>
            <m:t>(</m:t>
          </m:r>
          <m:sSub>
            <m:sSubPr/>
            <m:e>
              <m:r>
                <m:rPr/>
                <m:t>p</m:t>
              </m:r>
            </m:e>
            <m:sub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sub>
          </m:sSub>
          <m:r>
            <m:rPr>
              <m:sty m:val="p"/>
            </m:rPr>
            <m:t>)</m:t>
          </m:r>
          <m:r>
            <m:rPr/>
            <m:t>u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p</m:t>
              </m:r>
            </m:e>
            <m:sub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sub>
          </m:sSub>
          <m:r>
            <m:rPr>
              <m:sty m:val="p"/>
            </m:rPr>
            <m:t>)⋅</m:t>
          </m:r>
          <m:sSubSup>
            <m:sSubSupPr/>
            <m:e>
              <m:r>
                <m:rPr/>
                <m:t>ϵ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p</m:t>
              </m:r>
              <m:r>
                <m:rPr>
                  <m:sty m:val="p"/>
                </m:rPr>
                <m:t>)</m:t>
              </m:r>
            </m:sup>
          </m:sSubSup>
          <m:sSubSup>
            <m:sSubSupPr/>
            <m:e>
              <m:r>
                <m:rPr/>
                <m:t>ϵ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b>
            <m:sup>
              <m:r>
                <m:rPr/>
                <m:t>μ</m:t>
              </m:r>
            </m:sup>
          </m:sSubSup>
          <m:sSubSup>
            <m:sSubSupPr/>
            <m:e>
              <m:r>
                <m:rPr/>
                <m:t>ϵ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b>
            <m:sup>
              <m:r>
                <m:rPr/>
                <m:t>μ</m:t>
              </m:r>
            </m:sup>
          </m:sSubSup>
        </m:oMath>
      </m:oMathPara>
      <w:r>
        <w:br w:type="textWrapping"/>
      </w:r>
      <w:r>
        <w:t>This amplitude becomes non-zero under the specific momentum transfer provided by the double slit, thereby allowing this process to occur.</w:t>
      </w:r>
    </w:p>
    <w:p w14:paraId="3A5AFB59">
      <w:pPr>
        <w:pStyle w:val="26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Dynamical Mechanism of Interference and Decoherence</w:t>
      </w:r>
    </w:p>
    <w:p w14:paraId="2A607251">
      <w:pPr>
        <w:pStyle w:val="4"/>
        <w:rPr>
          <w:b/>
          <w:bCs/>
        </w:rPr>
      </w:pPr>
      <w:r>
        <w:rPr>
          <w:b/>
          <w:bCs/>
        </w:rPr>
        <w:t>3.1 Origin of Interference: Coincidence Counting of Entangled Photons</w:t>
      </w:r>
    </w:p>
    <w:p w14:paraId="606FB5AE">
      <w:pPr>
        <w:pStyle w:val="3"/>
      </w:pPr>
      <w:r>
        <w:t xml:space="preserve">The generated entangled two-photon state </w:t>
      </w:r>
      <m:oMath>
        <m:r>
          <m:rPr>
            <m:sty m:val="p"/>
          </m:rPr>
          <m:t>|Ψ⟩</m:t>
        </m:r>
      </m:oMath>
      <w:r>
        <w:t xml:space="preserve"> flies towards the double slit. Its coincidence rate on the screen is:</w:t>
      </w:r>
    </w:p>
    <w:p w14:paraId="42BF6A5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R</m:t>
              </m:r>
            </m:e>
            <m:sub>
              <m:r>
                <m:rPr>
                  <m:sty m:val="p"/>
                </m:rPr>
                <m:t>coin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)∝</m:t>
          </m:r>
          <m:sSup>
            <m:sSupPr/>
            <m:e>
              <m:d>
                <m:dPr>
                  <m:begChr m:val="|"/>
                  <m:sepChr m:val=""/>
                  <m:endChr m:val="|"/>
                </m:dPr>
                <m:e>
                  <m:d>
                    <m:dPr>
                      <m:begChr m:val="⟨"/>
                      <m:sepChr m:val=""/>
                      <m:endChr m:val="⟩"/>
                    </m:dPr>
                    <m:e>
                      <m:sSub>
                        <m:sSubPr/>
                        <m:e>
                          <m:r>
                            <m:rPr/>
                            <m:t>X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sSubPr/>
                        <m:e>
                          <m:r>
                            <m:rPr/>
                            <m:t>X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|Ψ</m:t>
                      </m:r>
                    </m:e>
                  </m:d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d>
                <m:dPr>
                  <m:begChr m:val="|"/>
                  <m:sepChr m:val=""/>
                  <m:endChr m:val="|"/>
                </m:dPr>
                <m:e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L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R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r>
                    <m:rPr>
                      <m:sty m:val="p"/>
                    </m:rPr>
                    <m:t>)+</m:t>
                  </m:r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iϕ</m:t>
                      </m:r>
                    </m:sup>
                  </m:sSup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R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L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 xml:space="preserve">Fixing the position </w:t>
      </w:r>
      <m:oMath>
        <m:sSub>
          <m:sSubPr/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of one detector and scanning the other </w:t>
      </w:r>
      <m:oMath>
        <m:sSub>
          <m:sSubPr/>
          <m:e>
            <m:r>
              <m:rPr/>
              <m:t>X</m:t>
            </m:r>
          </m:e>
          <m:sub>
            <m:r>
              <m:rPr/>
              <m:t>1</m:t>
            </m:r>
          </m:sub>
        </m:sSub>
      </m:oMath>
      <w:r>
        <w:t xml:space="preserve"> yields the standard double-slit interference pattern. This is the true origin of the “single-photon” interference pattern.</w:t>
      </w:r>
    </w:p>
    <w:p w14:paraId="033C7F58">
      <w:pPr>
        <w:pStyle w:val="3"/>
        <w:rPr>
          <w:b/>
          <w:bCs/>
        </w:rPr>
      </w:pPr>
      <w:r>
        <w:rPr>
          <w:b/>
          <w:bCs/>
        </w:rPr>
        <w:t>3.2 Mechanism of Decoherence: External Energy Injection and Suppression of the Virtual Process</w:t>
      </w:r>
    </w:p>
    <w:p w14:paraId="3AC4E2D1">
      <w:pPr>
        <w:pStyle w:val="3"/>
      </w:pPr>
      <w:r>
        <w:t xml:space="preserve">The essence of decoherence is: Any device attempting to observe the particle path necessarily injects energy </w:t>
      </w:r>
      <m:oMath>
        <m:r>
          <m:rPr/>
          <m:t>ϵ</m:t>
        </m:r>
      </m:oMath>
      <w:r>
        <w:t xml:space="preserve"> into the system.</w:t>
      </w:r>
    </w:p>
    <w:p w14:paraId="57EBC740">
      <w:pPr>
        <w:numPr>
          <w:ilvl w:val="0"/>
          <w:numId w:val="4"/>
        </w:numPr>
      </w:pPr>
      <w:r>
        <w:t>Decoherence Factor: The injection of external field energy disrupts the brief energy-time uncertainty relation upon which the existence of the virtual electron pair depends. This is equivalent to introducing a decoherence suppression factor into the scattering amplitude:</w:t>
      </w:r>
    </w:p>
    <w:p w14:paraId="5BED2D1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>
                  <m:sty m:val="p"/>
                </m:rPr>
                <m:t>dec</m:t>
              </m:r>
            </m:sub>
          </m:sSub>
          <m:r>
            <m:rPr>
              <m:sty m:val="p"/>
            </m:rPr>
            <m:t>∝</m:t>
          </m:r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⋅</m:t>
          </m:r>
          <m:r>
            <m:rPr/>
            <m:t>D</m:t>
          </m:r>
          <m:r>
            <m:rPr>
              <m:sty m:val="p"/>
            </m:rPr>
            <m:t>(</m:t>
          </m:r>
          <m:r>
            <m:rPr/>
            <m:t>ϵ</m:t>
          </m:r>
          <m:r>
            <m:rPr>
              <m:sty m:val="p"/>
            </m:rPr>
            <m:t>),</m:t>
          </m:r>
          <m:r>
            <m:rPr/>
            <m:t> D</m:t>
          </m:r>
          <m:r>
            <m:rPr>
              <m:sty m:val="p"/>
            </m:rPr>
            <m:t>(</m:t>
          </m:r>
          <m:r>
            <m:rPr/>
            <m:t>ϵ</m:t>
          </m:r>
          <m:r>
            <m:rPr>
              <m:sty m:val="p"/>
            </m:rPr>
            <m:t>)=exp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/>
                        <m:t>ϵ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τ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d>
        </m:oMath>
      </m:oMathPara>
      <w:r>
        <w:br w:type="textWrapping"/>
      </w:r>
      <w:r>
        <w:t xml:space="preserve">where </w:t>
      </w:r>
      <m:oMath>
        <m:r>
          <m:rPr/>
          <m:t>τ</m:t>
        </m:r>
      </m:oMath>
      <w:r>
        <w:t xml:space="preserve"> is the characteristic existence time of the virtual electron pair. When </w:t>
      </w:r>
      <m:oMath>
        <m:r>
          <m:rPr/>
          <m:t>ϵ</m:t>
        </m:r>
      </m:oMath>
      <w:r>
        <w:t xml:space="preserve"> is sufficiently large, </w:t>
      </w:r>
      <m:oMath>
        <m:r>
          <m:rPr/>
          <m:t>D</m:t>
        </m:r>
        <m:r>
          <m:rPr>
            <m:sty m:val="p"/>
          </m:rPr>
          <m:t>(</m:t>
        </m:r>
        <m:r>
          <m:rPr/>
          <m:t>ϵ</m:t>
        </m:r>
        <m:r>
          <m:rPr>
            <m:sty m:val="p"/>
          </m:rPr>
          <m:t>)→</m:t>
        </m:r>
        <m:r>
          <m:rPr/>
          <m:t>0</m:t>
        </m:r>
        <m:r>
          <m:rPr>
            <m:sty m:val="p"/>
          </m:rPr>
          <m:t>.</m:t>
        </m:r>
      </m:oMath>
    </w:p>
    <w:p w14:paraId="2C61090F">
      <w:pPr>
        <w:numPr>
          <w:ilvl w:val="0"/>
          <w:numId w:val="4"/>
        </w:numPr>
      </w:pPr>
      <w:r>
        <w:t xml:space="preserve">Post-Decoherence Picture: When </w:t>
      </w:r>
      <m:oMath>
        <m:r>
          <m:rPr/>
          <m:t>D</m:t>
        </m:r>
        <m:r>
          <m:rPr>
            <m:sty m:val="p"/>
          </m:rPr>
          <m:t>(</m:t>
        </m:r>
        <m:r>
          <m:rPr/>
          <m:t>ϵ</m:t>
        </m:r>
        <m:r>
          <m:rPr>
            <m:sty m:val="p"/>
          </m:rPr>
          <m:t>)→</m:t>
        </m:r>
        <m:r>
          <m:rPr/>
          <m:t>0</m:t>
        </m:r>
        <m:r>
          <m:rPr>
            <m:sty m:val="p"/>
          </m:rPr>
          <m:t>,</m:t>
        </m:r>
      </m:oMath>
      <w:r>
        <w:t xml:space="preserve"> the effective vertex process </w:t>
      </w:r>
      <m:oMath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→</m:t>
        </m:r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</m:oMath>
      <w:r>
        <w:t xml:space="preserve"> is completely suppressed. The incident photon </w:t>
      </w:r>
      <m:oMath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</m:oMath>
      <w:r>
        <w:t xml:space="preserve"> can only pass through the double slit in a classical manner, and its probability distribution becomes:</w:t>
      </w:r>
    </w:p>
    <w:p w14:paraId="47C48B27">
      <w:pPr>
        <w:pStyle w:val="3"/>
      </w:pPr>
      <m:oMathPara>
        <m:oMathParaPr>
          <m:jc m:val="center"/>
        </m:oMathParaPr>
        <m:oMath>
          <m:r>
            <m:rPr/>
            <m:t>P</m:t>
          </m:r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)∝|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L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+|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R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>The interference pattern completely disappears.</w:t>
      </w:r>
    </w:p>
    <w:p w14:paraId="6B7F3AD7">
      <w:pPr>
        <w:numPr>
          <w:numId w:val="0"/>
        </w:numPr>
        <w:ind w:left="360"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4. </w:t>
      </w:r>
      <w:r>
        <w:rPr>
          <w:b/>
          <w:bCs/>
        </w:rPr>
        <w:t>Conclusion</w:t>
      </w:r>
    </w:p>
    <w:p w14:paraId="376F4647">
      <w:pPr>
        <w:pStyle w:val="4"/>
      </w:pPr>
      <w:r>
        <w:t>This paper proposes a single-photon double-slit interference model based on QED vacuum fluctuations, drawing the following conclusions:</w:t>
      </w:r>
    </w:p>
    <w:p w14:paraId="101F521D">
      <w:pPr>
        <w:pStyle w:val="26"/>
        <w:numPr>
          <w:ilvl w:val="0"/>
          <w:numId w:val="5"/>
        </w:numPr>
      </w:pPr>
      <w:r>
        <w:t xml:space="preserve">New Interference Mechanism: The “single-photon” interference </w:t>
      </w:r>
      <w:r>
        <w:rPr>
          <w:rFonts w:hint="eastAsia"/>
        </w:rPr>
        <w:t>pattern实质上</w:t>
      </w:r>
      <w:r>
        <w:t xml:space="preserve"> (essentially) stems from the coincidence measurement of entangled photon pairs produced by high-energy photons exciting the vacuum, not from the same photon simultaneously passing through both slits.</w:t>
      </w:r>
    </w:p>
    <w:p w14:paraId="04463C63">
      <w:pPr>
        <w:pStyle w:val="26"/>
        <w:numPr>
          <w:ilvl w:val="0"/>
          <w:numId w:val="5"/>
        </w:numPr>
      </w:pPr>
      <w:r>
        <w:t>New Interpretation of Decoherence: “Wavefunction collapse” dynamically originates from the suppression of the virtual processes in the vacuum by energy injection from external field observation, which severs the production channel of the entangled pair.</w:t>
      </w:r>
    </w:p>
    <w:p w14:paraId="45EE5247">
      <w:pPr>
        <w:pStyle w:val="26"/>
        <w:numPr>
          <w:ilvl w:val="0"/>
          <w:numId w:val="5"/>
        </w:numPr>
      </w:pPr>
      <w:r>
        <w:t>Theoretical Self-Consistency: The model strictly adheres to energy, momentum, and charge conservation laws, and defines the role of the double slit as providing the specific boundary conditions required for coherent annihilation.</w:t>
      </w:r>
    </w:p>
    <w:p w14:paraId="5F3E8853">
      <w:pPr>
        <w:pStyle w:val="26"/>
        <w:numPr>
          <w:ilvl w:val="0"/>
          <w:numId w:val="5"/>
        </w:numPr>
      </w:pPr>
      <w:r>
        <w:t>Philosophical Breakthrough: The model successfully attributes the mystery of quantum phenomena from the vagueness of “wave-particle duality” to the dynamical attributes of the QED vacuum, providing a more solid physical foundation for understanding quantum reality.</w:t>
      </w:r>
    </w:p>
    <w:p w14:paraId="151DB083">
      <w:pPr>
        <w:pStyle w:val="4"/>
      </w:pPr>
      <w:bookmarkStart w:id="0" w:name="_GoBack"/>
      <w:r>
        <w:rPr>
          <w:b/>
          <w:bCs/>
        </w:rPr>
        <w:t>References</w:t>
      </w:r>
      <w:bookmarkEnd w:id="0"/>
      <w:r>
        <w:br w:type="textWrapping"/>
      </w:r>
      <w:r>
        <w:t>[1] Li, Z.J., Zhao, G.Y. “The ABC Mechanism in the Cosmos”. Preprint (2023).</w:t>
      </w:r>
      <w:r>
        <w:br w:type="textWrapping"/>
      </w:r>
      <w:r>
        <w:t>[2] Heisenberg, W. The Physical Principles of the Quantum Theory. (1930). [Uncertainty Principle]</w:t>
      </w:r>
      <w:r>
        <w:br w:type="textWrapping"/>
      </w:r>
      <w:r>
        <w:t>[3] Schwinger, J. “On Gauge Invariance and Vacuum Polarization”. Physical Review (1951). [Vacuum Polarization Theory]</w:t>
      </w:r>
      <w:r>
        <w:br w:type="textWrapping"/>
      </w:r>
      <w:r>
        <w:t>[4] Zurek, W.H. “Decoherence and the Transition from Quantum to Classical”. Physics Today (1991). [Decoherence Theory]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5DD1412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711</Words>
  <Characters>3643</Characters>
  <Lines>30</Lines>
  <Paragraphs>8</Paragraphs>
  <TotalTime>72</TotalTime>
  <ScaleCrop>false</ScaleCrop>
  <LinksUpToDate>false</LinksUpToDate>
  <CharactersWithSpaces>4195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2025-10-24T05:12:00Z</dcterms:created>
  <dc:creator>迈斯纳效应</dc:creator>
  <cp:lastModifiedBy>迈斯纳效应</cp:lastModifiedBy>
  <dcterms:modified xsi:type="dcterms:W3CDTF">2025-10-24T05:14:46Z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94E37D7D9F2C40B7B83A1B21A5639BF5_12</vt:lpwstr>
  </property>
</Properties>
</file>