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BB78B">
      <w:pPr>
        <w:pStyle w:val="2"/>
      </w:pPr>
      <w:bookmarkStart w:id="0" w:name="X6b08b1a040885cf3e06f0f057dfd36bcfff3247"/>
      <w:r>
        <w:t>B54: An Exploratory Study on the Topological Scaling of the Relativistic Electron A‑Field in the FCWFT Framework — A Low‑Energy Dual to the Hadronic Cascade of A10</w:t>
      </w:r>
    </w:p>
    <w:p w14:paraId="72C80108">
      <w:pPr>
        <w:pStyle w:val="4"/>
      </w:pPr>
      <w:r>
        <w:rPr>
          <w:b/>
          <w:bCs/>
        </w:rPr>
        <w:t>Lineage:</w:t>
      </w:r>
      <w:r>
        <w:t xml:space="preserve"> FCWFT Three‑Field Axiom Low‑Energy Electron System (dual to the A10 hadronic high‑energy cascade)</w:t>
      </w:r>
      <w:r>
        <w:br w:type="textWrapping"/>
      </w:r>
      <w:r>
        <w:rPr>
          <w:b/>
          <w:bCs/>
        </w:rPr>
        <w:t>Related Works:</w:t>
      </w:r>
      <w:r>
        <w:t xml:space="preserve"> B35/B36 (three‑field axioms, particle mass spectrum), A10 (neutron star merger hadronic cascade), B14 (gamma‑ray burst leptonic cascade)</w:t>
      </w:r>
      <w:r>
        <w:br w:type="textWrapping"/>
      </w:r>
      <w:r>
        <w:rPr>
          <w:b/>
          <w:bCs/>
        </w:rPr>
        <w:t>Authors:</w:t>
      </w:r>
      <w:r>
        <w:t xml:space="preserve"> Li Zhijun¹, Zhao Guangyao², Xue Yanyu³</w:t>
      </w:r>
      <w:r>
        <w:br w:type="textWrapping"/>
      </w: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34B162B6">
      <w:pPr>
        <w:pStyle w:val="3"/>
      </w:pPr>
      <w:r>
        <w:rPr>
          <w:b/>
          <w:bCs/>
        </w:rPr>
        <w:t>PACS:</w:t>
      </w:r>
      <w:r>
        <w:t xml:space="preserve"> 03.65.-w, 31.15.-p, 41.75.-i, 07.78.+s</w:t>
      </w:r>
      <w:r>
        <w:br w:type="textWrapping"/>
      </w:r>
      <w:r>
        <w:rPr>
          <w:b/>
          <w:bCs/>
        </w:rPr>
        <w:t>Keywords:</w:t>
      </w:r>
      <w:r>
        <w:t xml:space="preserve"> FCWFT; A‑field topological scale; relativistic electron; wave‑particle duality; TEM atomic resolution; low‑energy dual; exploratory scaling exercise</w:t>
      </w:r>
    </w:p>
    <w:p w14:paraId="59572CB2">
      <w:pPr>
        <w:pStyle w:val="5"/>
      </w:pPr>
      <w:bookmarkStart w:id="1" w:name="abstract"/>
      <w:r>
        <w:t>Abstract</w:t>
      </w:r>
    </w:p>
    <w:p w14:paraId="7946B961">
      <w:pPr>
        <w:pStyle w:val="4"/>
      </w:pPr>
      <w:r>
        <w:t xml:space="preserve">Within the FCWFT three‑field decomposition framework, this paper conducts an exploratory algebraic exercise on the relativistic scaling of the A‑field (spin‑1, carrier of waviness) topological dispersion radius </w:t>
      </w:r>
      <m:oMath>
        <m:sSub>
          <m:sSubPr/>
          <m:e>
            <m:r>
              <m:rPr/>
              <m:t>R</m:t>
            </m:r>
          </m:e>
          <m:sub>
            <m:r>
              <m:rPr/>
              <m:t>A</m:t>
            </m:r>
          </m:sub>
        </m:sSub>
      </m:oMath>
      <w:r>
        <w:t xml:space="preserve"> for the relativistic electron. Based on the A–C topological Poisson‑type constraint equation and the topological information conservation axiom, under the simplest assumption of no topological feedback [</w:t>
      </w:r>
      <m:oMath>
        <m:r>
          <m:rPr/>
          <m:t>f</m:t>
        </m:r>
        <m:r>
          <m:rPr>
            <m:sty m:val="p"/>
          </m:rPr>
          <m:t>(</m:t>
        </m:r>
        <m:sSub>
          <m:sSubPr/>
          <m:e>
            <m:r>
              <m:rPr/>
              <m:t>R</m:t>
            </m:r>
          </m:e>
          <m:sub>
            <m:r>
              <m:rPr/>
              <m:t>A</m:t>
            </m:r>
          </m:sub>
        </m:sSub>
        <m:r>
          <m:rPr>
            <m:sty m:val="p"/>
          </m:rPr>
          <m:t>)=const</m:t>
        </m:r>
      </m:oMath>
      <w:r>
        <w:t xml:space="preserve">], a dimensional scaling match yields </w:t>
      </w:r>
      <m:oMath>
        <m:sSub>
          <m:sSubPr/>
          <m:e>
            <m:r>
              <m:rPr/>
              <m:t>R</m:t>
            </m:r>
          </m:e>
          <m:sub>
            <m:r>
              <m:rPr/>
              <m:t>A</m:t>
            </m:r>
          </m:sub>
        </m:sSub>
        <m:r>
          <m:rPr>
            <m:sty m:val="p"/>
          </m:rPr>
          <m:t>∝</m:t>
        </m:r>
        <m:sSup>
          <m:sSupPr/>
          <m:e>
            <m:r>
              <m:rPr/>
              <m:t>γ</m:t>
            </m:r>
          </m:e>
          <m:sup>
            <m:r>
              <m:rPr>
                <m:sty m:val="p"/>
              </m:rPr>
              <m:t>−</m:t>
            </m:r>
            <m:r>
              <m:rPr/>
              <m:t>1</m:t>
            </m:r>
            <m:r>
              <m:rPr>
                <m:sty m:val="p"/>
              </m:rPr>
              <m:t>/</m:t>
            </m:r>
            <m:r>
              <m:rPr/>
              <m:t>5</m:t>
            </m:r>
          </m:sup>
        </m:sSup>
      </m:oMath>
      <w:r>
        <w:t xml:space="preserve">. This scaling relation is an algebraic corollary of the adopted axiom system, not a dynamical derivation; all parameters </w:t>
      </w:r>
      <m:oMath>
        <m:r>
          <m:rPr>
            <m:sty m:val="p"/>
          </m:rPr>
          <m:t>(</m:t>
        </m:r>
        <m:sSub>
          <m:sSubPr/>
          <m:e>
            <m:r>
              <m:rPr/>
              <m:t>ℓ</m:t>
            </m:r>
          </m:e>
          <m:sub>
            <m:r>
              <m:rPr/>
              <m:t>0</m:t>
            </m:r>
          </m:sub>
        </m:sSub>
        <m:r>
          <m:rPr>
            <m:sty m:val="p"/>
          </m:rPr>
          <m:t>,</m:t>
        </m:r>
        <m:sSub>
          <m:sSubPr/>
          <m:e>
            <m:r>
              <m:rPr/>
              <m:t>G</m:t>
            </m:r>
          </m:e>
          <m:sub>
            <m:r>
              <m:rPr>
                <m:sty m:val="p"/>
              </m:rPr>
              <m:t>FC</m:t>
            </m:r>
          </m:sub>
        </m:sSub>
        <m:r>
          <m:rPr>
            <m:sty m:val="p"/>
          </m:rPr>
          <m:t>,</m:t>
        </m:r>
        <m:sSub>
          <m:sSubPr/>
          <m:e>
            <m:r>
              <m:rPr/>
              <m:t>R</m:t>
            </m:r>
          </m:e>
          <m:sub>
            <m:r>
              <m:rPr/>
              <m:t>A0</m:t>
            </m:r>
          </m:sub>
        </m:sSub>
        <m:r>
          <m:rPr>
            <m:sty m:val="p"/>
          </m:rPr>
          <m:t>)</m:t>
        </m:r>
      </m:oMath>
      <w:r>
        <w:t xml:space="preserve"> are open parameters, and the paper merely uses the Bohr radius scale as an example for post‑hoc assignment to illustrate numerical compatibility.</w:t>
      </w:r>
    </w:p>
    <w:p w14:paraId="733A147F">
      <w:pPr>
        <w:pStyle w:val="3"/>
      </w:pPr>
      <w:r>
        <w:t xml:space="preserve">This paper qualitatively discusses the possible connection of this scaling to atomic‑resolution transmission electron microscopy (TEM), but does not establish a causal mechanism from </w:t>
      </w:r>
      <m:oMath>
        <m:sSub>
          <m:sSubPr/>
          <m:e>
            <m:r>
              <m:rPr/>
              <m:t>R</m:t>
            </m:r>
          </m:e>
          <m:sub>
            <m:r>
              <m:rPr/>
              <m:t>A</m:t>
            </m:r>
          </m:sub>
        </m:sSub>
      </m:oMath>
      <w:r>
        <w:t xml:space="preserve"> to the diffraction angle, and therefore claims no testable prediction. This paper positions itself as the low‑energy dual to the hadronic high‑energy cascade of A10, sharing the same three‑field paradigm and the same declaration of parametric openness. This paper does not replace or compete with the standard relativistic electron description (de Broglie relation, Dirac equation, multislice TEM simulation); it merely records a scaling exercise in the internal language of FCWFT.</w:t>
      </w:r>
    </w:p>
    <w:bookmarkEnd w:id="1"/>
    <w:p w14:paraId="7D68C35B">
      <w:pPr>
        <w:pStyle w:val="5"/>
      </w:pPr>
      <w:bookmarkStart w:id="2" w:name="introduction"/>
      <w:r>
        <w:t>1 Introduction</w:t>
      </w:r>
    </w:p>
    <w:p w14:paraId="55F90397">
      <w:pPr>
        <w:pStyle w:val="6"/>
      </w:pPr>
      <w:bookmarkStart w:id="3" w:name="Xe60834016a33ec34a44a5a95896e8e1a31baefe"/>
      <w:r>
        <w:t>1.1 Theoretical Foundations of Standard Relativistic Electrons</w:t>
      </w:r>
    </w:p>
    <w:p w14:paraId="56F88515">
      <w:pPr>
        <w:pStyle w:val="4"/>
      </w:pPr>
      <w:r>
        <w:t>Modern relativistic electron physics and electron microscopy imaging theory are built upon the de Broglie wave relation, Dirac’s relativistic quantum mechanics, and Quantum Electrodynamics (QED). Experiments on electron diffraction, interference, and atomic‑scale imaging have long been in high agreement with standard theory, forming a stable, reliable, and engineering‑reproducible theoretical system.</w:t>
      </w:r>
    </w:p>
    <w:p w14:paraId="322182FD">
      <w:pPr>
        <w:pStyle w:val="3"/>
      </w:pPr>
      <w:r>
        <w:t>Standard theory can accurately describe electron wavelength, diffraction behavior, relativistic imaging corrections, scattering cross‑sections, and microscopic contrast mechanisms, serving as the theoretical basis for aberration‑corrected TEM atomic‑resolution imaging. Specifically:</w:t>
      </w:r>
    </w:p>
    <w:p w14:paraId="5862B48E">
      <w:pPr>
        <w:pStyle w:val="26"/>
        <w:numPr>
          <w:ilvl w:val="0"/>
          <w:numId w:val="1"/>
        </w:numPr>
      </w:pPr>
      <w:r>
        <w:t xml:space="preserve">The de Broglie relation </w:t>
      </w:r>
      <m:oMath>
        <m:r>
          <m:rPr/>
          <m:t>λ</m:t>
        </m:r>
        <m:r>
          <m:rPr>
            <m:sty m:val="p"/>
          </m:rPr>
          <m:t>=</m:t>
        </m:r>
        <m:r>
          <m:rPr/>
          <m:t>h</m:t>
        </m:r>
        <m:r>
          <m:rPr>
            <m:sty m:val="p"/>
          </m:rPr>
          <m:t>/</m:t>
        </m:r>
        <m:r>
          <m:rPr/>
          <m:t>p</m:t>
        </m:r>
      </m:oMath>
      <w:r>
        <w:t xml:space="preserve"> directly provides the relationship between electron wavelength and momentum, validated by numerous experiments including the Davisson–Germer experiment (1927);</w:t>
      </w:r>
    </w:p>
    <w:p w14:paraId="679FEAD1">
      <w:pPr>
        <w:pStyle w:val="26"/>
        <w:numPr>
          <w:ilvl w:val="0"/>
          <w:numId w:val="1"/>
        </w:numPr>
      </w:pPr>
      <w:r>
        <w:t>The Dirac equation describes the spin and electromagnetic coupling of relativistic electrons, returning to the Schrödinger equation in the non‑relativistic limit;</w:t>
      </w:r>
    </w:p>
    <w:p w14:paraId="38E7426C">
      <w:pPr>
        <w:pStyle w:val="26"/>
        <w:numPr>
          <w:ilvl w:val="0"/>
          <w:numId w:val="1"/>
        </w:numPr>
      </w:pPr>
      <w:r>
        <w:t>QED precisely describes the interaction between electrons and the electromagnetic field;</w:t>
      </w:r>
    </w:p>
    <w:p w14:paraId="1FBE9DE9">
      <w:pPr>
        <w:pStyle w:val="26"/>
        <w:numPr>
          <w:ilvl w:val="0"/>
          <w:numId w:val="1"/>
        </w:numPr>
      </w:pPr>
      <w:r>
        <w:t>The multislice method (Cowley &amp; Moodie 1957), combined with relativistic corrections (Majert &amp; Kohl 2019), can reproduce TEM imaging results with high precision.</w:t>
      </w:r>
    </w:p>
    <w:bookmarkEnd w:id="3"/>
    <w:p w14:paraId="136737A1">
      <w:pPr>
        <w:pStyle w:val="6"/>
      </w:pPr>
      <w:bookmarkStart w:id="4" w:name="exploratory-positioning-of-this-paper"/>
      <w:r>
        <w:t>1.2 Exploratory Positioning of This Paper</w:t>
      </w:r>
    </w:p>
    <w:p w14:paraId="2A89311F">
      <w:pPr>
        <w:pStyle w:val="4"/>
      </w:pPr>
      <w:r>
        <w:t>This paper does not claim that standard theory has deficiencies here, nor does it attempt to replace standard theory. The goal of this paper is: within the linguistic system of the FCWFT three‑field axioms, to propose a scaling conjecture for the wave‑particle weight allocation of the relativistic electron, and to position it as a low‑energy dual to the A10 hadronic high‑energy cascade. The value of this exercise lies in:</w:t>
      </w:r>
    </w:p>
    <w:p w14:paraId="2FDE02F7">
      <w:pPr>
        <w:pStyle w:val="26"/>
        <w:numPr>
          <w:ilvl w:val="0"/>
          <w:numId w:val="1"/>
        </w:numPr>
      </w:pPr>
      <w:r>
        <w:t>If the scaling relation turns out to be formally equivalent to standard theory, it could serve as an auxiliary language for FCWFT internal pedagogy;</w:t>
      </w:r>
    </w:p>
    <w:p w14:paraId="1BFB6840">
      <w:pPr>
        <w:pStyle w:val="26"/>
        <w:numPr>
          <w:ilvl w:val="0"/>
          <w:numId w:val="1"/>
        </w:numPr>
      </w:pPr>
      <w:r>
        <w:t>If the scaling relation differs from standard theory, it could point toward possible directions for future testing — but such a direction would first require establishing a complete causal mechanism within the framework.</w:t>
      </w:r>
    </w:p>
    <w:bookmarkEnd w:id="4"/>
    <w:p w14:paraId="5D337786">
      <w:pPr>
        <w:pStyle w:val="6"/>
      </w:pPr>
      <w:bookmarkStart w:id="5" w:name="dual-positioning-with-a10"/>
      <w:r>
        <w:t>1.3 Dual Positioning with A10</w:t>
      </w:r>
    </w:p>
    <w:p w14:paraId="23B77A03">
      <w:pPr>
        <w:pStyle w:val="4"/>
      </w:pPr>
      <w:r>
        <w:t>A10 deals with the ultra‑high‑energy acceleration (EeV–ZeV) of iron‑group heavy nuclei via the B‑field topological pipeline in neutron star mergers, belonging to the hadronic high‑energy end; this paper deals with the relativistic scaling of the A‑field topological scale of free electrons at the low‑energy end (sub‑MeV to several hundred keV). The two are completely complementary in energy scale, dominant field, and acceleration/scaling mechanism, but are strictly isomorphic in axiom dependence, parametric openness, and saturation criterion structure, together forming a preliminary low‑to‑high energy dual framework for FCWFT.</w:t>
      </w:r>
    </w:p>
    <w:bookmarkEnd w:id="2"/>
    <w:bookmarkEnd w:id="5"/>
    <w:p w14:paraId="35EBBA00">
      <w:pPr>
        <w:pStyle w:val="5"/>
      </w:pPr>
      <w:bookmarkStart w:id="6" w:name="X41994f3a53d9685b2651a96bf63794633a16a9c"/>
      <w:r>
        <w:t>2 FCWFT Three‑Field Axiom System (Working Hypotheses)</w:t>
      </w:r>
    </w:p>
    <w:p w14:paraId="1E6719DB">
      <w:pPr>
        <w:pStyle w:val="4"/>
      </w:pPr>
      <w:r>
        <w:t>The following content consists entirely of theoretical working hypotheses, not confirmed physical laws. The validity of all inferences depends on the validity of these hypotheses.</w:t>
      </w:r>
    </w:p>
    <w:p w14:paraId="03D042B8">
      <w:pPr>
        <w:pStyle w:val="6"/>
      </w:pPr>
      <w:bookmarkStart w:id="7" w:name="basic-field-structure-hypothesis"/>
      <w:r>
        <w:t>2.1 Basic Field Structure Hypothesis</w:t>
      </w:r>
    </w:p>
    <w:p w14:paraId="713F45CE">
      <w:pPr>
        <w:pStyle w:val="4"/>
      </w:pPr>
      <w:r>
        <w:t>Assume that the microscopic physical system contains three mutually orthogonal, degree‑of‑freedom‑decoupled topological vortex fundamental fields:</w:t>
      </w:r>
    </w:p>
    <w:p w14:paraId="57547AC2">
      <w:pPr>
        <w:pStyle w:val="26"/>
        <w:numPr>
          <w:ilvl w:val="0"/>
          <w:numId w:val="2"/>
        </w:numPr>
      </w:pPr>
      <w:r>
        <w:t>A‑field (spin 1): Carries quantum phase, spatial wave dispersion, and electromagnetic gauge coupling structure, serving as the source of waviness for the system;</w:t>
      </w:r>
    </w:p>
    <w:p w14:paraId="7BABD724">
      <w:pPr>
        <w:pStyle w:val="26"/>
        <w:numPr>
          <w:ilvl w:val="0"/>
          <w:numId w:val="2"/>
        </w:numPr>
      </w:pPr>
      <w:r>
        <w:t>B‑field (spin 1/2): Carries intrinsic quantum numbers such as color charge, weak charge, electric charge, and spin, merely maintaining particle identity without participating in spatiotemporal dispersion evolution;</w:t>
      </w:r>
    </w:p>
    <w:p w14:paraId="1E26BF1E">
      <w:pPr>
        <w:pStyle w:val="26"/>
        <w:numPr>
          <w:ilvl w:val="0"/>
          <w:numId w:val="2"/>
        </w:numPr>
      </w:pPr>
      <w:r>
        <w:t>C‑field (spin 0): Carries inertial mass and spatial localization effects, serving as the source of particle nature for the system.</w:t>
      </w:r>
    </w:p>
    <w:bookmarkEnd w:id="7"/>
    <w:p w14:paraId="1FD90C47">
      <w:pPr>
        <w:pStyle w:val="6"/>
      </w:pPr>
      <w:bookmarkStart w:id="8" w:name="X1ea3280a954949f4e110ce81fa6a25625cab5cb"/>
      <w:r>
        <w:t>2.2 Quantum State Tensor Product Decomposition Hypothesis</w:t>
      </w:r>
    </w:p>
    <w:p w14:paraId="52A9C175">
      <w:pPr>
        <w:pStyle w:val="4"/>
      </w:pPr>
      <w:r>
        <w:t>The quantum state of a free elementary particle can be decomposed into a tensor product of the three fields:</w:t>
      </w:r>
    </w:p>
    <w:p w14:paraId="2C5D61BF">
      <w:pPr>
        <w:pStyle w:val="3"/>
      </w:pPr>
      <m:oMathPara>
        <m:oMathParaPr>
          <m:jc m:val="center"/>
        </m:oMathParaPr>
        <m:oMath>
          <m:r>
            <m:rPr>
              <m:sty m:val="p"/>
            </m:rPr>
            <m:t>|</m:t>
          </m:r>
          <m:r>
            <m:rPr/>
            <m:t>ψ</m:t>
          </m:r>
          <m:r>
            <m:rPr>
              <m:sty m:val="p"/>
            </m:rPr>
            <m:t>⟩=|</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oMath>
      </m:oMathPara>
    </w:p>
    <w:p w14:paraId="43D8BD2E">
      <w:pPr>
        <w:pStyle w:val="4"/>
      </w:pPr>
      <w:r>
        <w:t>The three fields evolve orthogonally and are structurally decoupled. For a free electron, the B‑field quantum numbers are conserved, and the dynamical evolution is determined solely by the coupling of the A and C fields.</w:t>
      </w:r>
    </w:p>
    <w:bookmarkEnd w:id="8"/>
    <w:p w14:paraId="0271103D">
      <w:pPr>
        <w:pStyle w:val="6"/>
      </w:pPr>
      <w:bookmarkStart w:id="9" w:name="X58cfb89a18e18e37ac24bbe4e99b99e93093dc5"/>
      <w:r>
        <w:t>2.3 A–C Topological Constraint Equation Hypothesis</w:t>
      </w:r>
    </w:p>
    <w:p w14:paraId="3808FBB9">
      <w:pPr>
        <w:pStyle w:val="4"/>
      </w:pPr>
      <w:r>
        <w:t>Assume that the spatial distribution of the A‑field and the mass condensation of the C‑field satisfy a topological Poisson constraint:</w:t>
      </w:r>
    </w:p>
    <w:p w14:paraId="2CC6A709">
      <w:pPr>
        <w:pStyle w:val="3"/>
      </w:pPr>
      <m:oMathPara>
        <m:oMathParaPr>
          <m:jc m:val="center"/>
        </m:oMathParaPr>
        <m:oMath>
          <m:sSubSup>
            <m:sSubSupPr/>
            <m:e>
              <m:r>
                <m:rPr/>
                <m:t>ℓ</m:t>
              </m:r>
            </m:e>
            <m:sub>
              <m:r>
                <m:rPr/>
                <m:t>0</m:t>
              </m:r>
            </m:sub>
            <m:sup>
              <m:r>
                <m:rPr/>
                <m:t>2</m:t>
              </m:r>
            </m:sup>
          </m:sSubSup>
          <m:sSup>
            <m:sSupPr/>
            <m:e>
              <m:r>
                <m:rPr>
                  <m:sty m:val="p"/>
                </m:rPr>
                <m:t>∇</m:t>
              </m:r>
            </m:e>
            <m:sup>
              <m:r>
                <m:rPr/>
                <m:t>2</m:t>
              </m:r>
            </m:sup>
          </m:sSup>
          <m:sSub>
            <m:sSubPr/>
            <m:e>
              <m:r>
                <m:rPr/>
                <m:t>ρ</m:t>
              </m:r>
            </m:e>
            <m:sub>
              <m:r>
                <m:rPr/>
                <m:t>A</m:t>
              </m:r>
            </m:sub>
          </m:sSub>
          <m:r>
            <m:rPr>
              <m:sty m:val="p"/>
            </m:rPr>
            <m:t>=−</m:t>
          </m:r>
          <m:r>
            <m:rPr/>
            <m:t>4π</m:t>
          </m:r>
          <m:sSub>
            <m:sSubPr/>
            <m:e>
              <m:r>
                <m:rPr/>
                <m:t>G</m:t>
              </m:r>
            </m:e>
            <m:sub>
              <m:r>
                <m:rPr>
                  <m:sty m:val="p"/>
                </m:rPr>
                <m:t>FC</m:t>
              </m:r>
            </m:sub>
          </m:sSub>
          <m:r>
            <m:rPr>
              <m:sty m:val="p"/>
            </m:rPr>
            <m:t>⋅</m:t>
          </m:r>
          <m:sSub>
            <m:sSubPr/>
            <m:e>
              <m:r>
                <m:rPr/>
                <m:t>ρ</m:t>
              </m:r>
            </m:e>
            <m:sub>
              <m:r>
                <m:rPr/>
                <m:t>C</m:t>
              </m:r>
            </m:sub>
          </m:sSub>
          <m:r>
            <m:rPr>
              <m:sty m:val="p"/>
            </m:rPr>
            <m:t>⋅</m:t>
          </m:r>
          <m:r>
            <m:rPr/>
            <m:t>f</m:t>
          </m:r>
          <m:r>
            <m:rPr>
              <m:sty m:val="p"/>
            </m:rPr>
            <m:t>(</m:t>
          </m:r>
          <m:sSub>
            <m:sSubPr/>
            <m:e>
              <m:r>
                <m:rPr/>
                <m:t>R</m:t>
              </m:r>
            </m:e>
            <m:sub>
              <m:r>
                <m:rPr/>
                <m:t>A</m:t>
              </m:r>
            </m:sub>
          </m:sSub>
          <m:r>
            <m:rPr>
              <m:sty m:val="p"/>
            </m:rPr>
            <m:t>)</m:t>
          </m:r>
          <m:r>
            <m:rPr/>
            <m:t> </m:t>
          </m:r>
          <m:r>
            <m:rPr>
              <m:sty m:val="p"/>
            </m:rPr>
            <m:t>(</m:t>
          </m:r>
          <m:r>
            <m:rPr/>
            <m:t>1</m:t>
          </m:r>
          <m:r>
            <m:rPr>
              <m:sty m:val="p"/>
            </m:rPr>
            <m:t>)</m:t>
          </m:r>
        </m:oMath>
      </m:oMathPara>
    </w:p>
    <w:p w14:paraId="05A61535">
      <w:pPr>
        <w:pStyle w:val="4"/>
      </w:pPr>
      <w:r>
        <w:t>Where:</w:t>
      </w:r>
    </w:p>
    <w:p w14:paraId="547777E3">
      <w:pPr>
        <w:pStyle w:val="26"/>
        <w:numPr>
          <w:ilvl w:val="0"/>
          <w:numId w:val="1"/>
        </w:numPr>
      </w:pPr>
      <m:oMath>
        <m:sSub>
          <m:sSubPr/>
          <m:e>
            <m:r>
              <m:rPr/>
              <m:t>ρ</m:t>
            </m:r>
          </m:e>
          <m:sub>
            <m:r>
              <m:rPr/>
              <m:t>A</m:t>
            </m:r>
          </m:sub>
        </m:sSub>
      </m:oMath>
      <w:r>
        <w:t>: A‑field topological wave density;</w:t>
      </w:r>
    </w:p>
    <w:p w14:paraId="2F15A941">
      <w:pPr>
        <w:pStyle w:val="26"/>
        <w:numPr>
          <w:ilvl w:val="0"/>
          <w:numId w:val="1"/>
        </w:numPr>
      </w:pPr>
      <m:oMath>
        <m:sSub>
          <m:sSubPr/>
          <m:e>
            <m:r>
              <m:rPr/>
              <m:t>ρ</m:t>
            </m:r>
          </m:e>
          <m:sub>
            <m:r>
              <m:rPr/>
              <m:t>C</m:t>
            </m:r>
          </m:sub>
        </m:sSub>
      </m:oMath>
      <w:r>
        <w:t>: C‑field mass condensation density;</w:t>
      </w:r>
    </w:p>
    <w:p w14:paraId="1F13B72A">
      <w:pPr>
        <w:pStyle w:val="26"/>
        <w:numPr>
          <w:ilvl w:val="0"/>
          <w:numId w:val="1"/>
        </w:numPr>
      </w:pPr>
      <m:oMath>
        <m:sSub>
          <m:sSubPr/>
          <m:e>
            <m:r>
              <m:rPr/>
              <m:t>ℓ</m:t>
            </m:r>
          </m:e>
          <m:sub>
            <m:r>
              <m:rPr/>
              <m:t>0</m:t>
            </m:r>
          </m:sub>
        </m:sSub>
      </m:oMath>
      <w:r>
        <w:t>: Characteristic length scale introduced within the framework (undetermined, used to ensure dimensional closure);</w:t>
      </w:r>
    </w:p>
    <w:p w14:paraId="1FC34789">
      <w:pPr>
        <w:pStyle w:val="26"/>
        <w:numPr>
          <w:ilvl w:val="0"/>
          <w:numId w:val="1"/>
        </w:numPr>
      </w:pPr>
      <m:oMath>
        <m:sSub>
          <m:sSubPr/>
          <m:e>
            <m:r>
              <m:rPr/>
              <m:t>G</m:t>
            </m:r>
          </m:e>
          <m:sub>
            <m:r>
              <m:rPr>
                <m:sty m:val="p"/>
              </m:rPr>
              <m:t>FC</m:t>
            </m:r>
          </m:sub>
        </m:sSub>
      </m:oMath>
      <w:r>
        <w:t>: Dimensionless topological coupling constant (undetermined);</w:t>
      </w:r>
    </w:p>
    <w:p w14:paraId="519FAF8B">
      <w:pPr>
        <w:pStyle w:val="26"/>
        <w:numPr>
          <w:ilvl w:val="0"/>
          <w:numId w:val="1"/>
        </w:numPr>
      </w:pPr>
      <m:oMath>
        <m:r>
          <m:rPr/>
          <m:t>f</m:t>
        </m:r>
        <m:r>
          <m:rPr>
            <m:sty m:val="p"/>
          </m:rPr>
          <m:t>(</m:t>
        </m:r>
        <m:sSub>
          <m:sSubPr/>
          <m:e>
            <m:r>
              <m:rPr/>
              <m:t>R</m:t>
            </m:r>
          </m:e>
          <m:sub>
            <m:r>
              <m:rPr/>
              <m:t>A</m:t>
            </m:r>
          </m:sub>
        </m:sSub>
        <m:r>
          <m:rPr>
            <m:sty m:val="p"/>
          </m:rPr>
          <m:t>)</m:t>
        </m:r>
      </m:oMath>
      <w:r>
        <w:t>: Dimensionless topological self‑consistency correction function.</w:t>
      </w:r>
    </w:p>
    <w:p w14:paraId="2EE30D8F">
      <w:pPr>
        <w:pStyle w:val="4"/>
      </w:pPr>
      <w:r>
        <w:rPr>
          <w:b/>
          <w:bCs/>
        </w:rPr>
        <w:t>Dimensional Note:</w:t>
      </w:r>
      <w:r>
        <w:t xml:space="preserve"> With the introduction of </w:t>
      </w:r>
      <m:oMath>
        <m:sSubSup>
          <m:sSubSupPr/>
          <m:e>
            <m:r>
              <m:rPr/>
              <m:t>ℓ</m:t>
            </m:r>
          </m:e>
          <m:sub>
            <m:r>
              <m:rPr/>
              <m:t>0</m:t>
            </m:r>
          </m:sub>
          <m:sup>
            <m:r>
              <m:rPr/>
              <m:t>2</m:t>
            </m:r>
          </m:sup>
        </m:sSubSup>
      </m:oMath>
      <w:r>
        <w:t xml:space="preserve">, the left‑hand side of Eq. (1) has dimension </w:t>
      </w:r>
      <m:oMath>
        <m:sSup>
          <m:sSupPr/>
          <m:e>
            <m:r>
              <m:rPr>
                <m:sty m:val="p"/>
              </m:rPr>
              <m:t>L</m:t>
            </m:r>
          </m:e>
          <m:sup>
            <m:r>
              <m:rPr>
                <m:sty m:val="p"/>
              </m:rPr>
              <m:t>−</m:t>
            </m:r>
            <m:r>
              <m:rPr/>
              <m:t>1</m:t>
            </m:r>
          </m:sup>
        </m:sSup>
        <m:r>
          <m:rPr>
            <m:sty m:val="p"/>
          </m:rPr>
          <m:t>⋅</m:t>
        </m:r>
        <m:sSup>
          <m:sSupPr/>
          <m:e>
            <m:r>
              <m:rPr>
                <m:sty m:val="p"/>
              </m:rPr>
              <m:t>L</m:t>
            </m:r>
          </m:e>
          <m:sup>
            <m:r>
              <m:rPr>
                <m:sty m:val="p"/>
              </m:rPr>
              <m:t>−</m:t>
            </m:r>
            <m:r>
              <m:rPr/>
              <m:t>2</m:t>
            </m:r>
          </m:sup>
        </m:sSup>
        <m:r>
          <m:rPr>
            <m:sty m:val="p"/>
          </m:rPr>
          <m:t>=</m:t>
        </m:r>
        <m:sSup>
          <m:sSupPr/>
          <m:e>
            <m:r>
              <m:rPr>
                <m:sty m:val="p"/>
              </m:rPr>
              <m:t>L</m:t>
            </m:r>
          </m:e>
          <m:sup>
            <m:r>
              <m:rPr>
                <m:sty m:val="p"/>
              </m:rPr>
              <m:t>−</m:t>
            </m:r>
            <m:r>
              <m:rPr/>
              <m:t>3</m:t>
            </m:r>
          </m:sup>
        </m:sSup>
      </m:oMath>
      <w:r>
        <w:t xml:space="preserve">, consistent with </w:t>
      </w:r>
      <m:oMath>
        <m:sSub>
          <m:sSubPr/>
          <m:e>
            <m:r>
              <m:rPr/>
              <m:t>ρ</m:t>
            </m:r>
          </m:e>
          <m:sub>
            <m:r>
              <m:rPr/>
              <m:t>A</m:t>
            </m:r>
          </m:sub>
        </m:sSub>
      </m:oMath>
      <w:r>
        <w:t xml:space="preserve">; the right‑hand side </w:t>
      </w:r>
      <m:oMath>
        <m:sSub>
          <m:sSubPr/>
          <m:e>
            <m:r>
              <m:rPr/>
              <m:t>ρ</m:t>
            </m:r>
          </m:e>
          <m:sub>
            <m:r>
              <m:rPr/>
              <m:t>C</m:t>
            </m:r>
          </m:sub>
        </m:sSub>
      </m:oMath>
      <w:r>
        <w:t xml:space="preserve"> is </w:t>
      </w:r>
      <m:oMath>
        <m:sSup>
          <m:sSupPr/>
          <m:e>
            <m:r>
              <m:rPr>
                <m:sty m:val="p"/>
              </m:rPr>
              <m:t>L</m:t>
            </m:r>
          </m:e>
          <m:sup>
            <m:r>
              <m:rPr>
                <m:sty m:val="p"/>
              </m:rPr>
              <m:t>−</m:t>
            </m:r>
            <m:r>
              <m:rPr/>
              <m:t>3</m:t>
            </m:r>
          </m:sup>
        </m:sSup>
      </m:oMath>
      <w:r>
        <w:t xml:space="preserve">, multiplied by dimensionless </w:t>
      </w:r>
      <m:oMath>
        <m:sSub>
          <m:sSubPr/>
          <m:e>
            <m:r>
              <m:rPr/>
              <m:t>G</m:t>
            </m:r>
          </m:e>
          <m:sub>
            <m:r>
              <m:rPr>
                <m:sty m:val="p"/>
              </m:rPr>
              <m:t>FC</m:t>
            </m:r>
          </m:sub>
        </m:sSub>
      </m:oMath>
      <w:r>
        <w:t xml:space="preserve"> and </w:t>
      </w:r>
      <m:oMath>
        <m:r>
          <m:rPr/>
          <m:t>f</m:t>
        </m:r>
        <m:r>
          <m:rPr>
            <m:sty m:val="p"/>
          </m:rPr>
          <m:t>(</m:t>
        </m:r>
        <m:sSub>
          <m:sSubPr/>
          <m:e>
            <m:r>
              <m:rPr/>
              <m:t>R</m:t>
            </m:r>
          </m:e>
          <m:sub>
            <m:r>
              <m:rPr/>
              <m:t>A</m:t>
            </m:r>
          </m:sub>
        </m:sSub>
        <m:r>
          <m:rPr>
            <m:sty m:val="p"/>
          </m:rPr>
          <m:t>)</m:t>
        </m:r>
      </m:oMath>
      <w:r>
        <w:t xml:space="preserve">, also yielding </w:t>
      </w:r>
      <m:oMath>
        <m:sSup>
          <m:sSupPr/>
          <m:e>
            <m:r>
              <m:rPr>
                <m:sty m:val="p"/>
              </m:rPr>
              <m:t>L</m:t>
            </m:r>
          </m:e>
          <m:sup>
            <m:r>
              <m:rPr>
                <m:sty m:val="p"/>
              </m:rPr>
              <m:t>−</m:t>
            </m:r>
            <m:r>
              <m:rPr/>
              <m:t>3</m:t>
            </m:r>
          </m:sup>
        </m:sSup>
      </m:oMath>
      <w:r>
        <w:t xml:space="preserve">. Eq. (1) is dimensionally closed. The specific values of </w:t>
      </w:r>
      <m:oMath>
        <m:sSub>
          <m:sSubPr/>
          <m:e>
            <m:r>
              <m:rPr/>
              <m:t>ℓ</m:t>
            </m:r>
          </m:e>
          <m:sub>
            <m:r>
              <m:rPr/>
              <m:t>0</m:t>
            </m:r>
          </m:sub>
        </m:sSub>
      </m:oMath>
      <w:r>
        <w:t xml:space="preserve"> and </w:t>
      </w:r>
      <m:oMath>
        <m:sSub>
          <m:sSubPr/>
          <m:e>
            <m:r>
              <m:rPr/>
              <m:t>G</m:t>
            </m:r>
          </m:e>
          <m:sub>
            <m:r>
              <m:rPr>
                <m:sty m:val="p"/>
              </m:rPr>
              <m:t>FC</m:t>
            </m:r>
          </m:sub>
        </m:sSub>
      </m:oMath>
      <w:r>
        <w:t xml:space="preserve"> are undetermined parameters of the framework.</w:t>
      </w:r>
    </w:p>
    <w:bookmarkEnd w:id="9"/>
    <w:p w14:paraId="198C7876">
      <w:pPr>
        <w:pStyle w:val="6"/>
      </w:pPr>
      <w:bookmarkStart w:id="10" w:name="X59321cbf11860f7bebdcca8a24a33b27b160e59"/>
      <w:r>
        <w:t>2.4 Topological Information Conservation Hypothesis</w:t>
      </w:r>
    </w:p>
    <w:p w14:paraId="5C663993">
      <w:pPr>
        <w:pStyle w:val="4"/>
      </w:pPr>
      <w:r>
        <w:t>Assume that a closed, external‑field‑free quantum topological system satisfies:</w:t>
      </w:r>
    </w:p>
    <w:p w14:paraId="20420750">
      <w:pPr>
        <w:pStyle w:val="3"/>
      </w:pPr>
      <m:oMathPara>
        <m:oMathParaPr>
          <m:jc m:val="center"/>
        </m:oMathParaPr>
        <m:oMath>
          <m:r>
            <m:rPr>
              <m:sty m:val="p"/>
              <m:scr m:val="script"/>
            </m:rPr>
            <m:t>ℐ</m:t>
          </m:r>
          <m:r>
            <m:rPr>
              <m:sty m:val="p"/>
            </m:rPr>
            <m:t>=</m:t>
          </m:r>
          <m:sSub>
            <m:sSubPr/>
            <m:e>
              <m:r>
                <m:rPr/>
                <m:t>ρ</m:t>
              </m:r>
            </m:e>
            <m:sub>
              <m:r>
                <m:rPr/>
                <m:t>A</m:t>
              </m:r>
            </m:sub>
          </m:sSub>
          <m:r>
            <m:rPr>
              <m:sty m:val="p"/>
            </m:rPr>
            <m:t>⋅</m:t>
          </m:r>
          <m:sSubSup>
            <m:sSubSupPr/>
            <m:e>
              <m:r>
                <m:rPr/>
                <m:t>R</m:t>
              </m:r>
            </m:e>
            <m:sub>
              <m:r>
                <m:rPr/>
                <m:t>A</m:t>
              </m:r>
            </m:sub>
            <m:sup>
              <m:r>
                <m:rPr/>
                <m:t>5</m:t>
              </m:r>
            </m:sup>
          </m:sSubSup>
          <m:r>
            <m:rPr>
              <m:sty m:val="p"/>
            </m:rPr>
            <m:t>=const</m:t>
          </m:r>
          <m:r>
            <m:rPr/>
            <m:t> </m:t>
          </m:r>
          <m:r>
            <m:rPr>
              <m:sty m:val="p"/>
            </m:rPr>
            <m:t>(</m:t>
          </m:r>
          <m:r>
            <m:rPr/>
            <m:t>2</m:t>
          </m:r>
          <m:r>
            <m:rPr>
              <m:sty m:val="p"/>
            </m:rPr>
            <m:t>)</m:t>
          </m:r>
        </m:oMath>
      </m:oMathPara>
    </w:p>
    <w:p w14:paraId="29770E71">
      <w:pPr>
        <w:pStyle w:val="4"/>
      </w:pPr>
      <m:oMath>
        <m:sSub>
          <m:sSubPr/>
          <m:e>
            <m:r>
              <m:rPr/>
              <m:t>R</m:t>
            </m:r>
          </m:e>
          <m:sub>
            <m:r>
              <m:rPr/>
              <m:t>A</m:t>
            </m:r>
          </m:sub>
        </m:sSub>
      </m:oMath>
      <w:r>
        <w:t xml:space="preserve"> represents the characteristic spatial dispersion scale of the A‑field.</w:t>
      </w:r>
    </w:p>
    <w:bookmarkEnd w:id="10"/>
    <w:p w14:paraId="3D49F7E7">
      <w:pPr>
        <w:pStyle w:val="6"/>
      </w:pPr>
      <w:bookmarkStart w:id="11" w:name="Xc9a43f7e484743466903e11f38b660c6e0b4e7a"/>
      <w:r>
        <w:t>2.5 Undetermined Parameters and Open Hypotheses of the Model</w:t>
      </w:r>
    </w:p>
    <w:p w14:paraId="0B098C27">
      <w:pPr>
        <w:pStyle w:val="4"/>
      </w:pPr>
      <w:r>
        <w:t>To ensure academic transparency, the unclosed items of the model are explicitly listed:</w:t>
      </w:r>
    </w:p>
    <w:p w14:paraId="74440AB7">
      <w:pPr>
        <w:pStyle w:val="26"/>
        <w:numPr>
          <w:ilvl w:val="0"/>
          <w:numId w:val="3"/>
        </w:numPr>
      </w:pPr>
      <w:r>
        <w:t xml:space="preserve">The dimensions and numerical values of </w:t>
      </w:r>
      <m:oMath>
        <m:sSub>
          <m:sSubPr/>
          <m:e>
            <m:r>
              <m:rPr/>
              <m:t>ℓ</m:t>
            </m:r>
          </m:e>
          <m:sub>
            <m:r>
              <m:rPr/>
              <m:t>0</m:t>
            </m:r>
          </m:sub>
        </m:sSub>
      </m:oMath>
      <w:r>
        <w:t xml:space="preserve"> and </w:t>
      </w:r>
      <m:oMath>
        <m:sSub>
          <m:sSubPr/>
          <m:e>
            <m:r>
              <m:rPr/>
              <m:t>G</m:t>
            </m:r>
          </m:e>
          <m:sub>
            <m:r>
              <m:rPr>
                <m:sty m:val="p"/>
              </m:rPr>
              <m:t>FC</m:t>
            </m:r>
          </m:sub>
        </m:sSub>
      </m:oMath>
      <w:r>
        <w:t xml:space="preserve"> are both undetermined;</w:t>
      </w:r>
    </w:p>
    <w:p w14:paraId="03C4BB7F">
      <w:pPr>
        <w:pStyle w:val="26"/>
        <w:numPr>
          <w:ilvl w:val="0"/>
          <w:numId w:val="3"/>
        </w:numPr>
      </w:pPr>
      <w:r>
        <w:t xml:space="preserve">The functional form of </w:t>
      </w:r>
      <m:oMath>
        <m:r>
          <m:rPr/>
          <m:t>f</m:t>
        </m:r>
        <m:r>
          <m:rPr>
            <m:sty m:val="p"/>
          </m:rPr>
          <m:t>(</m:t>
        </m:r>
        <m:sSub>
          <m:sSubPr/>
          <m:e>
            <m:r>
              <m:rPr/>
              <m:t>R</m:t>
            </m:r>
          </m:e>
          <m:sub>
            <m:r>
              <m:rPr/>
              <m:t>A</m:t>
            </m:r>
          </m:sub>
        </m:sSub>
        <m:r>
          <m:rPr>
            <m:sty m:val="p"/>
          </m:rPr>
          <m:t>)</m:t>
        </m:r>
      </m:oMath>
      <w:r>
        <w:t xml:space="preserve"> is pending determination;</w:t>
      </w:r>
    </w:p>
    <w:p w14:paraId="3E306154">
      <w:pPr>
        <w:pStyle w:val="26"/>
        <w:numPr>
          <w:ilvl w:val="0"/>
          <w:numId w:val="3"/>
        </w:numPr>
      </w:pPr>
      <w:r>
        <w:t>Topological information conservation is a model‑specific hypothesis;</w:t>
      </w:r>
    </w:p>
    <w:p w14:paraId="7ED46FF9">
      <w:pPr>
        <w:pStyle w:val="26"/>
        <w:numPr>
          <w:ilvl w:val="0"/>
          <w:numId w:val="3"/>
        </w:numPr>
      </w:pPr>
      <w:r>
        <w:t xml:space="preserve">The reference topological scale </w:t>
      </w:r>
      <m:oMath>
        <m:sSub>
          <m:sSubPr/>
          <m:e>
            <m:r>
              <m:rPr/>
              <m:t>R</m:t>
            </m:r>
          </m:e>
          <m:sub>
            <m:r>
              <m:rPr/>
              <m:t>A0</m:t>
            </m:r>
          </m:sub>
        </m:sSub>
      </m:oMath>
      <w:r>
        <w:t xml:space="preserve"> is a fitted reference scale.</w:t>
      </w:r>
    </w:p>
    <w:p w14:paraId="0C2D34EE">
      <w:pPr>
        <w:pStyle w:val="4"/>
      </w:pPr>
      <w:r>
        <w:t>This framework contains open parameters and does not constitute a zero‑parameter strict theory.</w:t>
      </w:r>
    </w:p>
    <w:bookmarkEnd w:id="6"/>
    <w:bookmarkEnd w:id="11"/>
    <w:p w14:paraId="049EBC88">
      <w:pPr>
        <w:pStyle w:val="5"/>
      </w:pPr>
      <w:bookmarkStart w:id="12" w:name="X250d493cdc20ef21145cacccdc9b6a5f1dc6a24"/>
      <w:r>
        <w:t>3 A–C Seesaw Scaling Exercise (Algebraic Corollary Within the Framework)</w:t>
      </w:r>
    </w:p>
    <w:p w14:paraId="2234122C">
      <w:pPr>
        <w:pStyle w:val="6"/>
      </w:pPr>
      <w:bookmarkStart w:id="13" w:name="X8c25beee8628c37cb948c5d1c94cba7a407c204"/>
      <w:r>
        <w:t>3.1 Relativistic Scaling of C‑field Mass Condensation Density</w:t>
      </w:r>
    </w:p>
    <w:p w14:paraId="5F8297EB">
      <w:pPr>
        <w:pStyle w:val="4"/>
      </w:pPr>
      <w:r>
        <w:t>According to special relativity, the longitudinal inertial mass of an electron satisfies:</w:t>
      </w:r>
    </w:p>
    <w:p w14:paraId="5DEDCE32">
      <w:pPr>
        <w:pStyle w:val="3"/>
      </w:pPr>
      <m:oMathPara>
        <m:oMathParaPr>
          <m:jc m:val="center"/>
        </m:oMathParaPr>
        <m:oMath>
          <m:sSub>
            <m:sSubPr/>
            <m:e>
              <m:r>
                <m:rPr/>
                <m:t>m</m:t>
              </m:r>
            </m:e>
            <m:sub>
              <m:r>
                <m:rPr>
                  <m:sty m:val="p"/>
                </m:rPr>
                <m:t>inertial</m:t>
              </m:r>
            </m:sub>
          </m:sSub>
          <m:r>
            <m:rPr>
              <m:sty m:val="p"/>
            </m:rPr>
            <m:t>=</m:t>
          </m:r>
          <m:r>
            <m:rPr/>
            <m:t>γ</m:t>
          </m:r>
          <m:sSub>
            <m:sSubPr/>
            <m:e>
              <m:r>
                <m:rPr/>
                <m:t>m</m:t>
              </m:r>
            </m:e>
            <m:sub>
              <m:r>
                <m:rPr/>
                <m:t>e</m:t>
              </m:r>
            </m:sub>
          </m:sSub>
        </m:oMath>
      </m:oMathPara>
    </w:p>
    <w:p w14:paraId="666BDDEC">
      <w:pPr>
        <w:pStyle w:val="4"/>
      </w:pPr>
      <w:r>
        <w:t>Under the premise that the C‑field carries inertial mass, the C‑field condensation density is proportional to the inertial mass:</w:t>
      </w:r>
    </w:p>
    <w:p w14:paraId="37D53A21">
      <w:pPr>
        <w:pStyle w:val="3"/>
      </w:pPr>
      <m:oMathPara>
        <m:oMathParaPr>
          <m:jc m:val="center"/>
        </m:oMathParaPr>
        <m:oMath>
          <m:sSub>
            <m:sSubPr/>
            <m:e>
              <m:r>
                <m:rPr/>
                <m:t>ρ</m:t>
              </m:r>
            </m:e>
            <m:sub>
              <m:r>
                <m:rPr/>
                <m:t>C</m:t>
              </m:r>
            </m:sub>
          </m:sSub>
          <m:r>
            <m:rPr>
              <m:sty m:val="p"/>
            </m:rPr>
            <m:t>(</m:t>
          </m:r>
          <m:r>
            <m:rPr/>
            <m:t>γ</m:t>
          </m:r>
          <m:r>
            <m:rPr>
              <m:sty m:val="p"/>
            </m:rPr>
            <m:t>)=</m:t>
          </m:r>
          <m:r>
            <m:rPr/>
            <m:t>γ</m:t>
          </m:r>
          <m:sSub>
            <m:sSubPr/>
            <m:e>
              <m:r>
                <m:rPr/>
                <m:t>ρ</m:t>
              </m:r>
            </m:e>
            <m:sub>
              <m:r>
                <m:rPr/>
                <m:t>C0</m:t>
              </m:r>
            </m:sub>
          </m:sSub>
          <m:r>
            <m:rPr/>
            <m:t> </m:t>
          </m:r>
          <m:r>
            <m:rPr>
              <m:sty m:val="p"/>
            </m:rPr>
            <m:t>(</m:t>
          </m:r>
          <m:r>
            <m:rPr/>
            <m:t>3</m:t>
          </m:r>
          <m:r>
            <m:rPr>
              <m:sty m:val="p"/>
            </m:rPr>
            <m:t>)</m:t>
          </m:r>
        </m:oMath>
      </m:oMathPara>
    </w:p>
    <w:p w14:paraId="769E0909">
      <w:pPr>
        <w:pStyle w:val="4"/>
      </w:pPr>
      <w:r>
        <w:t>This relationship depends on the model hypothesis and is not a forced physical necessity.</w:t>
      </w:r>
    </w:p>
    <w:bookmarkEnd w:id="13"/>
    <w:p w14:paraId="004644FF">
      <w:pPr>
        <w:pStyle w:val="6"/>
      </w:pPr>
      <w:bookmarkStart w:id="14" w:name="X36928e845f3ed9f4531e5a2d78b2b4425a4090b"/>
      <w:r>
        <w:t>3.2 Case (b): Scaling Conjecture Under No Topological Feedback</w:t>
      </w:r>
    </w:p>
    <w:p w14:paraId="3B48046C">
      <w:pPr>
        <w:pStyle w:val="4"/>
      </w:pPr>
      <w:r>
        <w:t xml:space="preserve">Consider Case (b): </w:t>
      </w:r>
      <m:oMath>
        <m:r>
          <m:rPr/>
          <m:t>f</m:t>
        </m:r>
        <m:r>
          <m:rPr>
            <m:sty m:val="p"/>
          </m:rPr>
          <m:t>(</m:t>
        </m:r>
        <m:sSub>
          <m:sSubPr/>
          <m:e>
            <m:r>
              <m:rPr/>
              <m:t>R</m:t>
            </m:r>
          </m:e>
          <m:sub>
            <m:r>
              <m:rPr/>
              <m:t>A</m:t>
            </m:r>
          </m:sub>
        </m:sSub>
        <m:r>
          <m:rPr>
            <m:sty m:val="p"/>
          </m:rPr>
          <m:t>)=const</m:t>
        </m:r>
      </m:oMath>
      <w:r>
        <w:t xml:space="preserve"> (i.e., no additional topological feedback correction). This is mathematically the simplest assumption and the only case for which this paper performs an algebraic exercise.</w:t>
      </w:r>
    </w:p>
    <w:p w14:paraId="2A3F265E">
      <w:pPr>
        <w:pStyle w:val="3"/>
      </w:pPr>
      <w:r>
        <w:t xml:space="preserve">From spatial probability normalization, the A‑field density satisfies </w:t>
      </w:r>
      <m:oMath>
        <m:sSub>
          <m:sSubPr/>
          <m:e>
            <m:r>
              <m:rPr/>
              <m:t>ρ</m:t>
            </m:r>
          </m:e>
          <m:sub>
            <m:r>
              <m:rPr/>
              <m:t>A</m:t>
            </m:r>
          </m:sub>
        </m:sSub>
        <m:r>
          <m:rPr>
            <m:sty m:val="p"/>
          </m:rPr>
          <m:t>∝</m:t>
        </m:r>
        <m:sSubSup>
          <m:sSubSupPr/>
          <m:e>
            <m:r>
              <m:rPr/>
              <m:t>R</m:t>
            </m:r>
          </m:e>
          <m:sub>
            <m:r>
              <m:rPr/>
              <m:t>A</m:t>
            </m:r>
          </m:sub>
          <m:sup>
            <m:r>
              <m:rPr>
                <m:sty m:val="p"/>
              </m:rPr>
              <m:t>−</m:t>
            </m:r>
            <m:r>
              <m:rPr/>
              <m:t>3</m:t>
            </m:r>
          </m:sup>
        </m:sSubSup>
      </m:oMath>
      <w:r>
        <w:t>. Combined with the topological information conservation Eq. (2), the two are compatible.</w:t>
      </w:r>
    </w:p>
    <w:p w14:paraId="3C490B8B">
      <w:pPr>
        <w:pStyle w:val="3"/>
      </w:pPr>
      <w:r>
        <w:t>Substituting the scaling relationships into Eq. (1):</w:t>
      </w:r>
    </w:p>
    <w:p w14:paraId="5C994A21">
      <w:pPr>
        <w:pStyle w:val="26"/>
        <w:numPr>
          <w:ilvl w:val="0"/>
          <w:numId w:val="1"/>
        </w:numPr>
      </w:pPr>
      <w:r>
        <w:t xml:space="preserve">Left‑hand side: </w:t>
      </w:r>
      <m:oMath>
        <m:sSubSup>
          <m:sSubSupPr/>
          <m:e>
            <m:r>
              <m:rPr/>
              <m:t>ℓ</m:t>
            </m:r>
          </m:e>
          <m:sub>
            <m:r>
              <m:rPr/>
              <m:t>0</m:t>
            </m:r>
          </m:sub>
          <m:sup>
            <m:r>
              <m:rPr/>
              <m:t>2</m:t>
            </m:r>
          </m:sup>
        </m:sSubSup>
        <m:sSup>
          <m:sSupPr/>
          <m:e>
            <m:r>
              <m:rPr>
                <m:sty m:val="p"/>
              </m:rPr>
              <m:t>∇</m:t>
            </m:r>
          </m:e>
          <m:sup>
            <m:r>
              <m:rPr/>
              <m:t>2</m:t>
            </m:r>
          </m:sup>
        </m:sSup>
        <m:sSub>
          <m:sSubPr/>
          <m:e>
            <m:r>
              <m:rPr/>
              <m:t>ρ</m:t>
            </m:r>
          </m:e>
          <m:sub>
            <m:r>
              <m:rPr/>
              <m:t>A</m:t>
            </m:r>
          </m:sub>
        </m:sSub>
        <m:r>
          <m:rPr>
            <m:sty m:val="p"/>
          </m:rPr>
          <m:t>∝</m:t>
        </m:r>
        <m:sSubSup>
          <m:sSubSupPr/>
          <m:e>
            <m:r>
              <m:rPr/>
              <m:t>ℓ</m:t>
            </m:r>
          </m:e>
          <m:sub>
            <m:r>
              <m:rPr/>
              <m:t>0</m:t>
            </m:r>
          </m:sub>
          <m:sup>
            <m:r>
              <m:rPr/>
              <m:t>2</m:t>
            </m:r>
          </m:sup>
        </m:sSubSup>
        <m:sSubSup>
          <m:sSubSupPr/>
          <m:e>
            <m:r>
              <m:rPr/>
              <m:t>R</m:t>
            </m:r>
          </m:e>
          <m:sub>
            <m:r>
              <m:rPr/>
              <m:t>A</m:t>
            </m:r>
          </m:sub>
          <m:sup>
            <m:r>
              <m:rPr>
                <m:sty m:val="p"/>
              </m:rPr>
              <m:t>−</m:t>
            </m:r>
            <m:r>
              <m:rPr/>
              <m:t>5</m:t>
            </m:r>
          </m:sup>
        </m:sSubSup>
      </m:oMath>
    </w:p>
    <w:p w14:paraId="7252702A">
      <w:pPr>
        <w:pStyle w:val="26"/>
        <w:numPr>
          <w:ilvl w:val="0"/>
          <w:numId w:val="1"/>
        </w:numPr>
      </w:pPr>
      <w:r>
        <w:t xml:space="preserve">Right‑hand side: </w:t>
      </w:r>
      <m:oMath>
        <m:r>
          <m:rPr>
            <m:sty m:val="p"/>
          </m:rPr>
          <m:t>−</m:t>
        </m:r>
        <m:r>
          <m:rPr/>
          <m:t>4π</m:t>
        </m:r>
        <m:sSub>
          <m:sSubPr/>
          <m:e>
            <m:r>
              <m:rPr/>
              <m:t>G</m:t>
            </m:r>
          </m:e>
          <m:sub>
            <m:r>
              <m:rPr>
                <m:sty m:val="p"/>
              </m:rPr>
              <m:t>FC</m:t>
            </m:r>
          </m:sub>
        </m:sSub>
        <m:sSub>
          <m:sSubPr/>
          <m:e>
            <m:r>
              <m:rPr/>
              <m:t>ρ</m:t>
            </m:r>
          </m:e>
          <m:sub>
            <m:r>
              <m:rPr/>
              <m:t>C</m:t>
            </m:r>
          </m:sub>
        </m:sSub>
        <m:r>
          <m:rPr/>
          <m:t>f</m:t>
        </m:r>
        <m:r>
          <m:rPr>
            <m:sty m:val="p"/>
          </m:rPr>
          <m:t>(</m:t>
        </m:r>
        <m:sSub>
          <m:sSubPr/>
          <m:e>
            <m:r>
              <m:rPr/>
              <m:t>R</m:t>
            </m:r>
          </m:e>
          <m:sub>
            <m:r>
              <m:rPr/>
              <m:t>A</m:t>
            </m:r>
          </m:sub>
        </m:sSub>
        <m:r>
          <m:rPr>
            <m:sty m:val="p"/>
          </m:rPr>
          <m:t>)∝</m:t>
        </m:r>
        <m:r>
          <m:rPr/>
          <m:t>γ</m:t>
        </m:r>
        <m:r>
          <m:rPr>
            <m:sty m:val="p"/>
          </m:rPr>
          <m:t>⋅const</m:t>
        </m:r>
      </m:oMath>
    </w:p>
    <w:p w14:paraId="1D06AA6E">
      <w:pPr>
        <w:pStyle w:val="4"/>
      </w:pPr>
      <w:r>
        <w:t>Therefore:</w:t>
      </w:r>
    </w:p>
    <w:p w14:paraId="6BCF49A6">
      <w:pPr>
        <w:pStyle w:val="3"/>
      </w:pPr>
      <m:oMathPara>
        <m:oMathParaPr>
          <m:jc m:val="center"/>
        </m:oMathParaPr>
        <m:oMath>
          <m:sSubSup>
            <m:sSubSupPr/>
            <m:e>
              <m:r>
                <m:rPr/>
                <m:t>ℓ</m:t>
              </m:r>
            </m:e>
            <m:sub>
              <m:r>
                <m:rPr/>
                <m:t>0</m:t>
              </m:r>
            </m:sub>
            <m:sup>
              <m:r>
                <m:rPr/>
                <m:t>2</m:t>
              </m:r>
            </m:sup>
          </m:sSubSup>
          <m:sSubSup>
            <m:sSubSupPr/>
            <m:e>
              <m:r>
                <m:rPr/>
                <m:t>R</m:t>
              </m:r>
            </m:e>
            <m:sub>
              <m:r>
                <m:rPr/>
                <m:t>A</m:t>
              </m:r>
            </m:sub>
            <m:sup>
              <m:r>
                <m:rPr>
                  <m:sty m:val="p"/>
                </m:rPr>
                <m:t>−</m:t>
              </m:r>
              <m:r>
                <m:rPr/>
                <m:t>5</m:t>
              </m:r>
            </m:sup>
          </m:sSubSup>
          <m:r>
            <m:rPr>
              <m:sty m:val="p"/>
            </m:rPr>
            <m:t>∝</m:t>
          </m:r>
          <m:r>
            <m:rPr/>
            <m:t>γ </m:t>
          </m:r>
          <m:r>
            <m:rPr>
              <m:sty m:val="p"/>
            </m:rPr>
            <m:t>(</m:t>
          </m:r>
          <m:r>
            <m:rPr/>
            <m:t>4</m:t>
          </m:r>
          <m:r>
            <m:rPr>
              <m:sty m:val="p"/>
            </m:rPr>
            <m:t>)</m:t>
          </m:r>
        </m:oMath>
      </m:oMathPara>
    </w:p>
    <w:p w14:paraId="2FE011AE">
      <w:pPr>
        <w:pStyle w:val="4"/>
      </w:pPr>
      <w:r>
        <w:t>Solving Eq. (4) yields:</w:t>
      </w:r>
    </w:p>
    <w:p w14:paraId="366359D4">
      <w:pPr>
        <w:pStyle w:val="3"/>
      </w:pPr>
      <m:oMathPara>
        <m:oMathParaPr>
          <m:jc m:val="center"/>
        </m:oMathParaPr>
        <m:oMath>
          <m:sSub>
            <m:sSubPr/>
            <m:e>
              <m:r>
                <m:rPr/>
                <m:t>R</m:t>
              </m:r>
            </m:e>
            <m:sub>
              <m:r>
                <m:rPr/>
                <m:t>A</m:t>
              </m:r>
            </m:sub>
          </m:sSub>
          <m:r>
            <m:rPr>
              <m:sty m:val="p"/>
            </m:rPr>
            <m:t>(</m:t>
          </m:r>
          <m:r>
            <m:rPr/>
            <m:t>γ</m:t>
          </m:r>
          <m:r>
            <m:rPr>
              <m:sty m:val="p"/>
            </m:rPr>
            <m:t>)=</m:t>
          </m:r>
          <m:f>
            <m:fPr/>
            <m:num>
              <m:sSub>
                <m:sSubPr/>
                <m:e>
                  <m:r>
                    <m:rPr/>
                    <m:t>R</m:t>
                  </m:r>
                </m:e>
                <m:sub>
                  <m:r>
                    <m:rPr/>
                    <m:t>A0</m:t>
                  </m:r>
                </m:sub>
              </m:sSub>
            </m:num>
            <m:den>
              <m:sSup>
                <m:sSupPr/>
                <m:e>
                  <m:r>
                    <m:rPr/>
                    <m:t>γ</m:t>
                  </m:r>
                </m:e>
                <m:sup>
                  <m:r>
                    <m:rPr/>
                    <m:t>1</m:t>
                  </m:r>
                  <m:r>
                    <m:rPr>
                      <m:sty m:val="p"/>
                    </m:rPr>
                    <m:t>/</m:t>
                  </m:r>
                  <m:r>
                    <m:rPr/>
                    <m:t>5</m:t>
                  </m:r>
                </m:sup>
              </m:sSup>
            </m:den>
          </m:f>
          <m:r>
            <m:rPr/>
            <m:t> </m:t>
          </m:r>
          <m:r>
            <m:rPr>
              <m:sty m:val="p"/>
            </m:rPr>
            <m:t>(</m:t>
          </m:r>
          <m:r>
            <m:rPr/>
            <m:t>5</m:t>
          </m:r>
          <m:r>
            <m:rPr>
              <m:sty m:val="p"/>
            </m:rPr>
            <m:t>)</m:t>
          </m:r>
        </m:oMath>
      </m:oMathPara>
    </w:p>
    <w:p w14:paraId="2A5C1CF9">
      <w:pPr>
        <w:pStyle w:val="4"/>
      </w:pPr>
      <w:r>
        <w:t xml:space="preserve">where </w:t>
      </w:r>
      <m:oMath>
        <m:sSub>
          <m:sSubPr/>
          <m:e>
            <m:r>
              <m:rPr/>
              <m:t>R</m:t>
            </m:r>
          </m:e>
          <m:sub>
            <m:r>
              <m:rPr/>
              <m:t>A0</m:t>
            </m:r>
          </m:sub>
        </m:sSub>
        <m:r>
          <m:rPr>
            <m:sty m:val="p"/>
          </m:rPr>
          <m:t>=(</m:t>
        </m:r>
        <m:sSubSup>
          <m:sSubSupPr/>
          <m:e>
            <m:r>
              <m:rPr/>
              <m:t>ℓ</m:t>
            </m:r>
          </m:e>
          <m:sub>
            <m:r>
              <m:rPr/>
              <m:t>0</m:t>
            </m:r>
          </m:sub>
          <m:sup>
            <m:r>
              <m:rPr/>
              <m:t>2</m:t>
            </m:r>
          </m:sup>
        </m:sSubSup>
        <m:r>
          <m:rPr>
            <m:sty m:val="p"/>
          </m:rPr>
          <m:t>/</m:t>
        </m:r>
        <m:r>
          <m:rPr/>
          <m:t>4π</m:t>
        </m:r>
        <m:sSub>
          <m:sSubPr/>
          <m:e>
            <m:r>
              <m:rPr/>
              <m:t>G</m:t>
            </m:r>
          </m:e>
          <m:sub>
            <m:r>
              <m:rPr>
                <m:sty m:val="p"/>
              </m:rPr>
              <m:t>FC</m:t>
            </m:r>
          </m:sub>
        </m:sSub>
        <m:sSub>
          <m:sSubPr/>
          <m:e>
            <m:r>
              <m:rPr/>
              <m:t>ρ</m:t>
            </m:r>
          </m:e>
          <m:sub>
            <m:r>
              <m:rPr/>
              <m:t>C0</m:t>
            </m:r>
          </m:sub>
        </m:sSub>
        <m:sSup>
          <m:sSupPr/>
          <m:e>
            <m:r>
              <m:rPr>
                <m:sty m:val="p"/>
              </m:rPr>
              <m:t>)</m:t>
            </m:r>
          </m:e>
          <m:sup>
            <m:r>
              <m:rPr/>
              <m:t>1</m:t>
            </m:r>
            <m:r>
              <m:rPr>
                <m:sty m:val="p"/>
              </m:rPr>
              <m:t>/</m:t>
            </m:r>
            <m:r>
              <m:rPr/>
              <m:t>5</m:t>
            </m:r>
          </m:sup>
        </m:sSup>
      </m:oMath>
      <w:r>
        <w:t xml:space="preserve"> is a constant formed by the combination of framework parameters (its numerical value remains undetermined).</w:t>
      </w:r>
    </w:p>
    <w:p w14:paraId="0A5DCCDD">
      <w:pPr>
        <w:pStyle w:val="3"/>
      </w:pPr>
      <w:r>
        <w:rPr>
          <w:b/>
          <w:bCs/>
        </w:rPr>
        <w:t>Scaling Exercise 1:</w:t>
      </w:r>
      <w:r>
        <w:t xml:space="preserve"> Under the A–C topological constraint equation (1) and the topological information conservation axiom (2) of the FCWFT framework, if the topological correction function takes the feedback‑free form </w:t>
      </w:r>
      <m:oMath>
        <m:r>
          <m:rPr/>
          <m:t>f</m:t>
        </m:r>
        <m:r>
          <m:rPr>
            <m:sty m:val="p"/>
          </m:rPr>
          <m:t>=const</m:t>
        </m:r>
      </m:oMath>
      <w:r>
        <w:t>, then the A‑field topological dispersion scale satisfies Eq. (5). This result is a direct algebraic corollary of dimensional scaling matching and does not involve dynamical time evolution.</w:t>
      </w:r>
    </w:p>
    <w:bookmarkEnd w:id="14"/>
    <w:p w14:paraId="5B7DB6E3">
      <w:pPr>
        <w:pStyle w:val="6"/>
      </w:pPr>
      <w:bookmarkStart w:id="15" w:name="retention-of-case-a"/>
      <w:r>
        <w:t>3.3 Retention of Case (a)</w:t>
      </w:r>
    </w:p>
    <w:p w14:paraId="0F3D1F8B">
      <w:pPr>
        <w:pStyle w:val="4"/>
      </w:pPr>
      <w:r>
        <w:t xml:space="preserve">For comparison, Case (a) </w:t>
      </w:r>
      <m:oMath>
        <m:r>
          <m:rPr/>
          <m:t>f</m:t>
        </m:r>
        <m:r>
          <m:rPr>
            <m:sty m:val="p"/>
          </m:rPr>
          <m:t>(</m:t>
        </m:r>
        <m:sSub>
          <m:sSubPr/>
          <m:e>
            <m:r>
              <m:rPr/>
              <m:t>R</m:t>
            </m:r>
          </m:e>
          <m:sub>
            <m:r>
              <m:rPr/>
              <m:t>A</m:t>
            </m:r>
          </m:sub>
        </m:sSub>
        <m:r>
          <m:rPr>
            <m:sty m:val="p"/>
          </m:rPr>
          <m:t>)∝</m:t>
        </m:r>
        <m:sSubSup>
          <m:sSubSupPr/>
          <m:e>
            <m:r>
              <m:rPr/>
              <m:t>R</m:t>
            </m:r>
          </m:e>
          <m:sub>
            <m:r>
              <m:rPr/>
              <m:t>A</m:t>
            </m:r>
          </m:sub>
          <m:sup>
            <m:r>
              <m:rPr/>
              <m:t>4</m:t>
            </m:r>
          </m:sup>
        </m:sSubSup>
      </m:oMath>
      <w:r>
        <w:t xml:space="preserve"> corresponds to the scenario with topological feedback, leading to </w:t>
      </w:r>
      <m:oMath>
        <m:sSub>
          <m:sSubPr/>
          <m:e>
            <m:r>
              <m:rPr/>
              <m:t>R</m:t>
            </m:r>
          </m:e>
          <m:sub>
            <m:r>
              <m:rPr/>
              <m:t>A</m:t>
            </m:r>
          </m:sub>
        </m:sSub>
        <m:r>
          <m:rPr>
            <m:sty m:val="p"/>
          </m:rPr>
          <m:t>∝</m:t>
        </m:r>
        <m:sSup>
          <m:sSupPr/>
          <m:e>
            <m:r>
              <m:rPr/>
              <m:t>γ</m:t>
            </m:r>
          </m:e>
          <m:sup>
            <m:r>
              <m:rPr>
                <m:sty m:val="p"/>
              </m:rPr>
              <m:t>−</m:t>
            </m:r>
            <m:r>
              <m:rPr/>
              <m:t>1</m:t>
            </m:r>
          </m:sup>
        </m:sSup>
      </m:oMath>
      <w:r>
        <w:t xml:space="preserve"> from Eq. (1). However, this supplementary hypothesis </w:t>
      </w:r>
      <m:oMath>
        <m:r>
          <m:rPr/>
          <m:t>f</m:t>
        </m:r>
        <m:r>
          <m:rPr>
            <m:sty m:val="p"/>
          </m:rPr>
          <m:t>∝</m:t>
        </m:r>
        <m:sSubSup>
          <m:sSubSupPr/>
          <m:e>
            <m:r>
              <m:rPr/>
              <m:t>R</m:t>
            </m:r>
          </m:e>
          <m:sub>
            <m:r>
              <m:rPr/>
              <m:t>A</m:t>
            </m:r>
          </m:sub>
          <m:sup>
            <m:r>
              <m:rPr/>
              <m:t>4</m:t>
            </m:r>
          </m:sup>
        </m:sSubSup>
      </m:oMath>
      <w:r>
        <w:t xml:space="preserve"> currently lacks an independent derivation. Therefore, the corollaries of Case (a) are hypothetical conclusions within the framework, not algebraic corollaries. This paper retains Case (a) for subsequent discussion but does not treat it as a completed exercise.</w:t>
      </w:r>
    </w:p>
    <w:bookmarkEnd w:id="15"/>
    <w:p w14:paraId="613E3A9A">
      <w:pPr>
        <w:pStyle w:val="6"/>
      </w:pPr>
      <w:bookmarkStart w:id="16" w:name="X15c9f5ae5cd4b1d3609792b4af6af53fb2688a2"/>
      <w:r>
        <w:t>3.4 Wave‑Particle Weight Scaling Relationship (Case b)</w:t>
      </w:r>
    </w:p>
    <w:p w14:paraId="5A1B9792">
      <w:pPr>
        <w:pStyle w:val="4"/>
      </w:pPr>
      <w:r>
        <w:t xml:space="preserve">Based on the field‑function hypothesis, define: Wave weight </w:t>
      </w:r>
      <m:oMath>
        <m:r>
          <m:rPr/>
          <m:t>W</m:t>
        </m:r>
        <m:r>
          <m:rPr>
            <m:sty m:val="p"/>
          </m:rPr>
          <m:t>∝</m:t>
        </m:r>
        <m:sSub>
          <m:sSubPr/>
          <m:e>
            <m:r>
              <m:rPr/>
              <m:t>R</m:t>
            </m:r>
          </m:e>
          <m:sub>
            <m:r>
              <m:rPr/>
              <m:t>A</m:t>
            </m:r>
          </m:sub>
        </m:sSub>
      </m:oMath>
      <w:r>
        <w:t xml:space="preserve">, Particle weight </w:t>
      </w:r>
      <m:oMath>
        <m:r>
          <m:rPr/>
          <m:t>P</m:t>
        </m:r>
        <m:r>
          <m:rPr>
            <m:sty m:val="p"/>
          </m:rPr>
          <m:t>∝</m:t>
        </m:r>
        <m:sSub>
          <m:sSubPr/>
          <m:e>
            <m:r>
              <m:rPr/>
              <m:t>ρ</m:t>
            </m:r>
          </m:e>
          <m:sub>
            <m:r>
              <m:rPr/>
              <m:t>C</m:t>
            </m:r>
          </m:sub>
        </m:sSub>
      </m:oMath>
      <w:r>
        <w:t>.</w:t>
      </w:r>
    </w:p>
    <w:p w14:paraId="4534D8F1">
      <w:pPr>
        <w:pStyle w:val="3"/>
      </w:pPr>
      <w:r>
        <w:t>Under Case (b), from Eqs. (3) and (5):</w:t>
      </w:r>
    </w:p>
    <w:p w14:paraId="69B4D7CF">
      <w:pPr>
        <w:pStyle w:val="3"/>
      </w:pPr>
      <m:oMathPara>
        <m:oMathParaPr>
          <m:jc m:val="center"/>
        </m:oMathParaPr>
        <m:oMath>
          <m:f>
            <m:fPr/>
            <m:num>
              <m:r>
                <m:rPr/>
                <m:t>P</m:t>
              </m:r>
            </m:num>
            <m:den>
              <m:r>
                <m:rPr/>
                <m:t>W</m:t>
              </m:r>
            </m:den>
          </m:f>
          <m:r>
            <m:rPr>
              <m:sty m:val="p"/>
            </m:rPr>
            <m:t>=</m:t>
          </m:r>
          <m:f>
            <m:fPr/>
            <m:num>
              <m:sSub>
                <m:sSubPr/>
                <m:e>
                  <m:r>
                    <m:rPr/>
                    <m:t>ρ</m:t>
                  </m:r>
                </m:e>
                <m:sub>
                  <m:r>
                    <m:rPr/>
                    <m:t>C</m:t>
                  </m:r>
                </m:sub>
              </m:sSub>
            </m:num>
            <m:den>
              <m:sSub>
                <m:sSubPr/>
                <m:e>
                  <m:r>
                    <m:rPr/>
                    <m:t>R</m:t>
                  </m:r>
                </m:e>
                <m:sub>
                  <m:r>
                    <m:rPr/>
                    <m:t>A</m:t>
                  </m:r>
                </m:sub>
              </m:sSub>
            </m:den>
          </m:f>
          <m:r>
            <m:rPr>
              <m:sty m:val="p"/>
            </m:rPr>
            <m:t>∝</m:t>
          </m:r>
          <m:f>
            <m:fPr/>
            <m:num>
              <m:r>
                <m:rPr/>
                <m:t>γ</m:t>
              </m:r>
            </m:num>
            <m:den>
              <m:sSup>
                <m:sSupPr/>
                <m:e>
                  <m:r>
                    <m:rPr/>
                    <m:t>γ</m:t>
                  </m:r>
                </m:e>
                <m:sup>
                  <m:r>
                    <m:rPr>
                      <m:sty m:val="p"/>
                    </m:rPr>
                    <m:t>−</m:t>
                  </m:r>
                  <m:r>
                    <m:rPr/>
                    <m:t>1</m:t>
                  </m:r>
                  <m:r>
                    <m:rPr>
                      <m:sty m:val="p"/>
                    </m:rPr>
                    <m:t>/</m:t>
                  </m:r>
                  <m:r>
                    <m:rPr/>
                    <m:t>5</m:t>
                  </m:r>
                </m:sup>
              </m:sSup>
            </m:den>
          </m:f>
          <m:r>
            <m:rPr>
              <m:sty m:val="p"/>
            </m:rPr>
            <m:t>=</m:t>
          </m:r>
          <m:sSup>
            <m:sSupPr/>
            <m:e>
              <m:r>
                <m:rPr/>
                <m:t>γ</m:t>
              </m:r>
            </m:e>
            <m:sup>
              <m:r>
                <m:rPr/>
                <m:t>6</m:t>
              </m:r>
              <m:r>
                <m:rPr>
                  <m:sty m:val="p"/>
                </m:rPr>
                <m:t>/</m:t>
              </m:r>
              <m:r>
                <m:rPr/>
                <m:t>5</m:t>
              </m:r>
            </m:sup>
          </m:sSup>
          <m:r>
            <m:rPr/>
            <m:t> </m:t>
          </m:r>
          <m:r>
            <m:rPr>
              <m:sty m:val="p"/>
            </m:rPr>
            <m:t>(</m:t>
          </m:r>
          <m:r>
            <m:rPr/>
            <m:t>6</m:t>
          </m:r>
          <m:r>
            <m:rPr>
              <m:sty m:val="p"/>
            </m:rPr>
            <m:t>)</m:t>
          </m:r>
        </m:oMath>
      </m:oMathPara>
    </w:p>
    <w:p w14:paraId="7CCA4514">
      <w:pPr>
        <w:pStyle w:val="4"/>
      </w:pPr>
      <w:r>
        <w:rPr>
          <w:b/>
          <w:bCs/>
        </w:rPr>
        <w:t>Scaling Exercise 2:</w:t>
      </w:r>
      <w:r>
        <w:t xml:space="preserve"> Under Case (b), the wave‑particle weight ratio satisfies </w:t>
      </w:r>
      <m:oMath>
        <m:r>
          <m:rPr/>
          <m:t>P</m:t>
        </m:r>
        <m:r>
          <m:rPr>
            <m:sty m:val="p"/>
          </m:rPr>
          <m:t>/</m:t>
        </m:r>
        <m:r>
          <m:rPr/>
          <m:t>W</m:t>
        </m:r>
        <m:r>
          <m:rPr>
            <m:sty m:val="p"/>
          </m:rPr>
          <m:t>∝</m:t>
        </m:r>
        <m:sSup>
          <m:sSupPr/>
          <m:e>
            <m:r>
              <m:rPr/>
              <m:t>γ</m:t>
            </m:r>
          </m:e>
          <m:sup>
            <m:r>
              <m:rPr/>
              <m:t>6</m:t>
            </m:r>
            <m:r>
              <m:rPr>
                <m:sty m:val="p"/>
              </m:rPr>
              <m:t>/</m:t>
            </m:r>
            <m:r>
              <m:rPr/>
              <m:t>5</m:t>
            </m:r>
          </m:sup>
        </m:sSup>
      </m:oMath>
      <w:r>
        <w:t xml:space="preserve">, differing from the </w:t>
      </w:r>
      <m:oMath>
        <m:sSup>
          <m:sSupPr/>
          <m:e>
            <m:r>
              <m:rPr/>
              <m:t>γ</m:t>
            </m:r>
          </m:e>
          <m:sup>
            <m:r>
              <m:rPr/>
              <m:t>2</m:t>
            </m:r>
          </m:sup>
        </m:sSup>
      </m:oMath>
      <w:r>
        <w:t xml:space="preserve"> of Case (a). This is an algebraic feature that distinguishes the two cases within the framework.</w:t>
      </w:r>
    </w:p>
    <w:bookmarkEnd w:id="16"/>
    <w:p w14:paraId="5C814AB9">
      <w:pPr>
        <w:pStyle w:val="6"/>
      </w:pPr>
      <w:bookmarkStart w:id="17" w:name="Xc43904cca43c62a7716c78ec8cc948b164a0413"/>
      <w:r>
        <w:t xml:space="preserve">3.5 Post‑Hoc Assignment Schemes for the Undetermined Parameter </w:t>
      </w:r>
      <m:oMath>
        <m:sSub>
          <m:sSubPr/>
          <m:e>
            <m:r>
              <m:rPr/>
              <m:t>ℓ</m:t>
            </m:r>
          </m:e>
          <m:sub>
            <m:r>
              <m:rPr/>
              <m:t>0</m:t>
            </m:r>
          </m:sub>
        </m:sSub>
      </m:oMath>
    </w:p>
    <w:p w14:paraId="572DE1E3">
      <w:pPr>
        <w:pStyle w:val="4"/>
      </w:pPr>
      <w:r>
        <w:t xml:space="preserve">To illustrate numerical compatibility, this section lists three schemes for linking </w:t>
      </w:r>
      <m:oMath>
        <m:sSub>
          <m:sSubPr/>
          <m:e>
            <m:r>
              <m:rPr/>
              <m:t>ℓ</m:t>
            </m:r>
          </m:e>
          <m:sub>
            <m:r>
              <m:rPr/>
              <m:t>0</m:t>
            </m:r>
          </m:sub>
        </m:sSub>
      </m:oMath>
      <w:r>
        <w:t xml:space="preserve"> to known microscopic scales. The following are all post‑hoc assignment hypotheses, not derivations: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1280"/>
        <w:gridCol w:w="2887"/>
        <w:gridCol w:w="2257"/>
      </w:tblGrid>
      <w:tr w14:paraId="5098D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34EC9DD1">
            <w:pPr>
              <w:pStyle w:val="26"/>
              <w:jc w:val="center"/>
            </w:pPr>
            <w:r>
              <w:rPr>
                <w:b/>
              </w:rPr>
              <w:t>Scheme</w:t>
            </w:r>
          </w:p>
        </w:tc>
        <w:tc>
          <w:tcPr>
            <w:shd w:val="clear" w:color="auto" w:fill="B9CDE5"/>
            <w:vAlign w:val="center"/>
          </w:tcPr>
          <w:p w14:paraId="1403FAD7">
            <w:pPr>
              <w:pStyle w:val="26"/>
              <w:jc w:val="center"/>
            </w:pPr>
            <m:oMath>
              <m:sSub>
                <m:sSubPr/>
                <m:e>
                  <m:r>
                    <m:rPr/>
                    <m:t>ℓ</m:t>
                  </m:r>
                </m:e>
                <m:sub>
                  <m:r>
                    <m:rPr/>
                    <m:t>0</m:t>
                  </m:r>
                </m:sub>
              </m:sSub>
            </m:oMath>
            <w:r>
              <w:rPr>
                <w:b/>
              </w:rPr>
              <w:t xml:space="preserve"> Value</w:t>
            </w:r>
          </w:p>
        </w:tc>
        <w:tc>
          <w:tcPr>
            <w:shd w:val="clear" w:color="auto" w:fill="B9CDE5"/>
            <w:vAlign w:val="center"/>
          </w:tcPr>
          <w:p w14:paraId="1C61213C">
            <w:pPr>
              <w:pStyle w:val="26"/>
              <w:jc w:val="center"/>
            </w:pPr>
            <w:r>
              <w:rPr>
                <w:b/>
              </w:rPr>
              <w:t>Physical Meaning</w:t>
            </w:r>
          </w:p>
        </w:tc>
        <w:tc>
          <w:tcPr>
            <w:shd w:val="clear" w:color="auto" w:fill="B9CDE5"/>
            <w:vAlign w:val="center"/>
          </w:tcPr>
          <w:p w14:paraId="385679BD">
            <w:pPr>
              <w:pStyle w:val="26"/>
              <w:jc w:val="center"/>
            </w:pPr>
            <w:r>
              <w:rPr>
                <w:b/>
              </w:rPr>
              <w:t xml:space="preserve">Corresponding </w:t>
            </w:r>
            <m:oMath>
              <m:sSub>
                <m:sSubPr/>
                <m:e>
                  <m:r>
                    <m:rPr/>
                    <m:t>R</m:t>
                  </m:r>
                </m:e>
                <m:sub>
                  <m:r>
                    <m:rPr/>
                    <m:t>A0</m:t>
                  </m:r>
                </m:sub>
              </m:sSub>
            </m:oMath>
            <w:r>
              <w:rPr>
                <w:b/>
              </w:rPr>
              <w:t xml:space="preserve"> Order of Magnitude</w:t>
            </w:r>
          </w:p>
        </w:tc>
      </w:tr>
      <w:tr w14:paraId="649F0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FD6821F">
            <w:pPr>
              <w:pStyle w:val="26"/>
              <w:jc w:val="center"/>
            </w:pPr>
            <w:r>
              <w:t>Scheme I: Classical Electron Radius Link</w:t>
            </w:r>
          </w:p>
        </w:tc>
        <w:tc>
          <w:tcPr>
            <w:vAlign w:val="center"/>
          </w:tcPr>
          <w:p w14:paraId="264491BF">
            <w:pPr>
              <w:pStyle w:val="26"/>
              <w:jc w:val="center"/>
            </w:pPr>
            <m:oMathPara>
              <m:oMath>
                <m:sSub>
                  <m:sSubPr/>
                  <m:e>
                    <m:r>
                      <m:rPr/>
                      <m:t>ℓ</m:t>
                    </m:r>
                  </m:e>
                  <m:sub>
                    <m:r>
                      <m:rPr/>
                      <m:t>0</m:t>
                    </m:r>
                  </m:sub>
                </m:sSub>
                <m:r>
                  <m:rPr>
                    <m:sty m:val="p"/>
                  </m:rPr>
                  <m:t>=</m:t>
                </m:r>
                <m:sSub>
                  <m:sSubPr/>
                  <m:e>
                    <m:r>
                      <m:rPr/>
                      <m:t>r</m:t>
                    </m:r>
                  </m:e>
                  <m:sub>
                    <m:r>
                      <m:rPr/>
                      <m:t>e</m:t>
                    </m:r>
                  </m:sub>
                </m:sSub>
                <m:r>
                  <m:rPr>
                    <m:sty m:val="p"/>
                  </m:rPr>
                  <m:t>≈</m:t>
                </m:r>
                <m:r>
                  <m:rPr/>
                  <m:t>2.82 </m:t>
                </m:r>
                <m:r>
                  <m:rPr>
                    <m:sty m:val="p"/>
                  </m:rPr>
                  <m:t>fm</m:t>
                </m:r>
              </m:oMath>
            </m:oMathPara>
          </w:p>
        </w:tc>
        <w:tc>
          <w:tcPr>
            <w:vAlign w:val="center"/>
          </w:tcPr>
          <w:p w14:paraId="78E1E280">
            <w:pPr>
              <w:pStyle w:val="26"/>
              <w:jc w:val="center"/>
            </w:pPr>
            <w:r>
              <w:t>Linked to the electron’s self‑energy scale</w:t>
            </w:r>
          </w:p>
        </w:tc>
        <w:tc>
          <w:tcPr>
            <w:vAlign w:val="center"/>
          </w:tcPr>
          <w:p w14:paraId="17950AE5">
            <w:pPr>
              <w:pStyle w:val="26"/>
              <w:jc w:val="center"/>
            </w:pPr>
            <w:r>
              <w:t>Extremely small (</w:t>
            </w:r>
            <m:oMath>
              <m:r>
                <m:rPr>
                  <m:sty m:val="p"/>
                </m:rPr>
                <m:t>≪Å</m:t>
              </m:r>
            </m:oMath>
            <w:r>
              <w:t>)</w:t>
            </w:r>
          </w:p>
        </w:tc>
      </w:tr>
      <w:tr w14:paraId="74E41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7D3D8DF">
            <w:pPr>
              <w:pStyle w:val="26"/>
              <w:jc w:val="center"/>
            </w:pPr>
            <w:r>
              <w:t>Scheme II: Bohr Radius Link</w:t>
            </w:r>
          </w:p>
        </w:tc>
        <w:tc>
          <w:tcPr>
            <w:vAlign w:val="center"/>
          </w:tcPr>
          <w:p w14:paraId="25623FDA">
            <w:pPr>
              <w:pStyle w:val="26"/>
              <w:jc w:val="center"/>
            </w:pPr>
            <m:oMathPara>
              <m:oMath>
                <m:sSub>
                  <m:sSubPr/>
                  <m:e>
                    <m:r>
                      <m:rPr/>
                      <m:t>ℓ</m:t>
                    </m:r>
                  </m:e>
                  <m:sub>
                    <m:r>
                      <m:rPr/>
                      <m:t>0</m:t>
                    </m:r>
                  </m:sub>
                </m:sSub>
                <m:r>
                  <m:rPr>
                    <m:sty m:val="p"/>
                  </m:rPr>
                  <m:t>=</m:t>
                </m:r>
                <m:sSub>
                  <m:sSubPr/>
                  <m:e>
                    <m:r>
                      <m:rPr/>
                      <m:t>a</m:t>
                    </m:r>
                  </m:e>
                  <m:sub>
                    <m:r>
                      <m:rPr/>
                      <m:t>0</m:t>
                    </m:r>
                  </m:sub>
                </m:sSub>
                <m:r>
                  <m:rPr>
                    <m:sty m:val="p"/>
                  </m:rPr>
                  <m:t>≈</m:t>
                </m:r>
                <m:r>
                  <m:rPr/>
                  <m:t>0.529 </m:t>
                </m:r>
                <m:r>
                  <m:rPr>
                    <m:sty m:val="p"/>
                  </m:rPr>
                  <m:t>Å</m:t>
                </m:r>
              </m:oMath>
            </m:oMathPara>
          </w:p>
        </w:tc>
        <w:tc>
          <w:tcPr>
            <w:vAlign w:val="center"/>
          </w:tcPr>
          <w:p w14:paraId="00FF0A6E">
            <w:pPr>
              <w:pStyle w:val="26"/>
              <w:jc w:val="center"/>
            </w:pPr>
            <w:r>
              <w:t>Linked to the atom’s characteristic quantum scale</w:t>
            </w:r>
          </w:p>
        </w:tc>
        <w:tc>
          <w:tcPr>
            <w:vAlign w:val="center"/>
          </w:tcPr>
          <w:p w14:paraId="15558FCD">
            <w:pPr>
              <w:pStyle w:val="26"/>
              <w:jc w:val="center"/>
            </w:pPr>
            <m:oMathPara>
              <m:oMath>
                <m:r>
                  <m:rPr>
                    <m:sty m:val="p"/>
                  </m:rPr>
                  <m:t>∼</m:t>
                </m:r>
                <m:r>
                  <m:rPr/>
                  <m:t>0.265 </m:t>
                </m:r>
                <m:r>
                  <m:rPr>
                    <m:sty m:val="p"/>
                  </m:rPr>
                  <m:t>Å</m:t>
                </m:r>
              </m:oMath>
            </m:oMathPara>
          </w:p>
        </w:tc>
      </w:tr>
      <w:tr w14:paraId="332AB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227C9F4">
            <w:pPr>
              <w:pStyle w:val="26"/>
              <w:jc w:val="center"/>
            </w:pPr>
            <w:r>
              <w:t>Scheme III: Compton Wavelength Link</w:t>
            </w:r>
          </w:p>
        </w:tc>
        <w:tc>
          <w:tcPr>
            <w:vAlign w:val="center"/>
          </w:tcPr>
          <w:p w14:paraId="6D3FAFD8">
            <w:pPr>
              <w:pStyle w:val="26"/>
              <w:jc w:val="center"/>
            </w:pPr>
            <m:oMathPara>
              <m:oMath>
                <m:sSub>
                  <m:sSubPr/>
                  <m:e>
                    <m:r>
                      <m:rPr/>
                      <m:t>ℓ</m:t>
                    </m:r>
                  </m:e>
                  <m:sub>
                    <m:r>
                      <m:rPr/>
                      <m:t>0</m:t>
                    </m:r>
                  </m:sub>
                </m:sSub>
                <m:r>
                  <m:rPr>
                    <m:sty m:val="p"/>
                  </m:rPr>
                  <m:t>=</m:t>
                </m:r>
                <m:sSub>
                  <m:sSubPr/>
                  <m:e>
                    <m:r>
                      <m:rPr/>
                      <m:t>λ</m:t>
                    </m:r>
                  </m:e>
                  <m:sub>
                    <m:r>
                      <m:rPr/>
                      <m:t>C</m:t>
                    </m:r>
                  </m:sub>
                </m:sSub>
                <m:r>
                  <m:rPr>
                    <m:sty m:val="p"/>
                  </m:rPr>
                  <m:t>≈</m:t>
                </m:r>
                <m:r>
                  <m:rPr/>
                  <m:t>2.43 </m:t>
                </m:r>
                <m:r>
                  <m:rPr>
                    <m:sty m:val="p"/>
                  </m:rPr>
                  <m:t>pm</m:t>
                </m:r>
              </m:oMath>
            </m:oMathPara>
          </w:p>
        </w:tc>
        <w:tc>
          <w:tcPr>
            <w:vAlign w:val="center"/>
          </w:tcPr>
          <w:p w14:paraId="5FF40852">
            <w:pPr>
              <w:pStyle w:val="26"/>
              <w:jc w:val="center"/>
            </w:pPr>
            <w:r>
              <w:t>Linked to the electron’s quantum‑relativistic characteristic scale</w:t>
            </w:r>
          </w:p>
        </w:tc>
        <w:tc>
          <w:tcPr>
            <w:vAlign w:val="center"/>
          </w:tcPr>
          <w:p w14:paraId="25C0007D">
            <w:pPr>
              <w:pStyle w:val="26"/>
              <w:jc w:val="center"/>
            </w:pPr>
            <w:r>
              <w:t>Sub‑Å</w:t>
            </w:r>
          </w:p>
        </w:tc>
      </w:tr>
    </w:tbl>
    <w:p w14:paraId="46C6B688">
      <w:pPr>
        <w:pStyle w:val="3"/>
      </w:pPr>
      <w:r>
        <w:rPr>
          <w:b/>
          <w:bCs/>
        </w:rPr>
        <w:t>Note:</w:t>
      </w:r>
      <w:r>
        <w:t xml:space="preserve"> Scheme II places </w:t>
      </w:r>
      <m:oMath>
        <m:sSub>
          <m:sSubPr/>
          <m:e>
            <m:r>
              <m:rPr/>
              <m:t>R</m:t>
            </m:r>
          </m:e>
          <m:sub>
            <m:r>
              <m:rPr/>
              <m:t>A0</m:t>
            </m:r>
          </m:sub>
        </m:sSub>
      </m:oMath>
      <w:r>
        <w:t xml:space="preserve"> at the order of </w:t>
      </w:r>
      <m:oMath>
        <m:r>
          <m:rPr/>
          <m:t>0.265 </m:t>
        </m:r>
        <m:r>
          <m:rPr>
            <m:sty m:val="p"/>
          </m:rPr>
          <m:t>Å</m:t>
        </m:r>
      </m:oMath>
      <w:r>
        <w:t>, numerically compatible with the TEM atomic‑resolution scale, but this compatibility arises from parameter selection and does not constitute support for the framework. None of the schemes have first‑principle justification.</w:t>
      </w:r>
    </w:p>
    <w:bookmarkEnd w:id="12"/>
    <w:bookmarkEnd w:id="17"/>
    <w:p w14:paraId="1DC88B45">
      <w:pPr>
        <w:pStyle w:val="5"/>
      </w:pPr>
      <w:bookmarkStart w:id="18" w:name="X1428e758216106bcb89334995c115a70fc5fa8e"/>
      <w:r>
        <w:t>4 Numerical Examples of Characteristic Scales</w:t>
      </w:r>
    </w:p>
    <w:p w14:paraId="07E43EF1">
      <w:pPr>
        <w:pStyle w:val="6"/>
      </w:pPr>
      <w:bookmarkStart w:id="19" w:name="X448c9b14d6ca6fccfaffc9ae468323e6e3a28eb"/>
      <w:r>
        <w:t>4.1 Standard Theory Physical Quantities (Experimental Benchmark)</w:t>
      </w:r>
    </w:p>
    <w:p w14:paraId="2B113B0E">
      <w:pPr>
        <w:pStyle w:val="4"/>
      </w:pPr>
      <w:r>
        <w:t xml:space="preserve">Take typical relativistic electron parameters </w:t>
      </w:r>
      <m:oMath>
        <m:r>
          <m:rPr/>
          <m:t>v</m:t>
        </m:r>
        <m:r>
          <m:rPr>
            <m:sty m:val="p"/>
          </m:rPr>
          <m:t>=</m:t>
        </m:r>
        <m:r>
          <m:rPr/>
          <m:t>0.8c</m:t>
        </m:r>
      </m:oMath>
      <w:r>
        <w:t xml:space="preserve">, </w:t>
      </w:r>
      <m:oMath>
        <m:r>
          <m:rPr/>
          <m:t>γ</m:t>
        </m:r>
        <m:r>
          <m:rPr>
            <m:sty m:val="p"/>
          </m:rPr>
          <m:t>=</m:t>
        </m:r>
        <m:r>
          <m:rPr/>
          <m:t>5</m:t>
        </m:r>
        <m:r>
          <m:rPr>
            <m:sty m:val="p"/>
          </m:rPr>
          <m:t>/</m:t>
        </m:r>
        <m:r>
          <m:rPr/>
          <m:t>3</m:t>
        </m:r>
      </m:oMath>
      <w:r>
        <w:t>:</w:t>
      </w:r>
    </w:p>
    <w:p w14:paraId="3F3F7C29">
      <w:pPr>
        <w:pStyle w:val="3"/>
      </w:pPr>
      <w:r>
        <w:t>De Broglie wavelength:</w:t>
      </w:r>
    </w:p>
    <w:p w14:paraId="3D5F7D65">
      <w:pPr>
        <w:pStyle w:val="3"/>
      </w:pPr>
      <m:oMathPara>
        <m:oMathParaPr>
          <m:jc m:val="center"/>
        </m:oMathParaPr>
        <m:oMath>
          <m:r>
            <m:rPr/>
            <m:t>λ</m:t>
          </m:r>
          <m:r>
            <m:rPr>
              <m:sty m:val="p"/>
            </m:rPr>
            <m:t>=</m:t>
          </m:r>
          <m:f>
            <m:fPr/>
            <m:num>
              <m:r>
                <m:rPr/>
                <m:t>h</m:t>
              </m:r>
            </m:num>
            <m:den>
              <m:r>
                <m:rPr/>
                <m:t>γ</m:t>
              </m:r>
              <m:sSub>
                <m:sSubPr/>
                <m:e>
                  <m:r>
                    <m:rPr/>
                    <m:t>m</m:t>
                  </m:r>
                </m:e>
                <m:sub>
                  <m:r>
                    <m:rPr/>
                    <m:t>e</m:t>
                  </m:r>
                </m:sub>
              </m:sSub>
              <m:r>
                <m:rPr/>
                <m:t>v</m:t>
              </m:r>
            </m:den>
          </m:f>
          <m:r>
            <m:rPr>
              <m:sty m:val="p"/>
            </m:rPr>
            <m:t>=</m:t>
          </m:r>
          <m:r>
            <m:rPr/>
            <m:t>1.82 </m:t>
          </m:r>
          <m:r>
            <m:rPr>
              <m:sty m:val="p"/>
            </m:rPr>
            <m:t>pm</m:t>
          </m:r>
        </m:oMath>
      </m:oMathPara>
    </w:p>
    <w:p w14:paraId="6F3F188A">
      <w:pPr>
        <w:pStyle w:val="4"/>
      </w:pPr>
      <w:r>
        <w:t>Relativistic kinetic energy:</w:t>
      </w:r>
    </w:p>
    <w:p w14:paraId="4D735553">
      <w:pPr>
        <w:pStyle w:val="3"/>
      </w:pPr>
      <m:oMathPara>
        <m:oMathParaPr>
          <m:jc m:val="center"/>
        </m:oMathParaPr>
        <m:oMath>
          <m:sSub>
            <m:sSubPr/>
            <m:e>
              <m:r>
                <m:rPr/>
                <m:t>E</m:t>
              </m:r>
            </m:e>
            <m:sub>
              <m:r>
                <m:rPr/>
                <m:t>k</m:t>
              </m:r>
            </m:sub>
          </m:sSub>
          <m:r>
            <m:rPr>
              <m:sty m:val="p"/>
            </m:rPr>
            <m:t>=</m:t>
          </m:r>
          <m:r>
            <m:rPr/>
            <m:t>174.4 </m:t>
          </m:r>
          <m:r>
            <m:rPr>
              <m:sty m:val="p"/>
            </m:rPr>
            <m:t>keV</m:t>
          </m:r>
        </m:oMath>
      </m:oMathPara>
    </w:p>
    <w:p w14:paraId="6999C0AE">
      <w:pPr>
        <w:pStyle w:val="4"/>
      </w:pPr>
      <w:r>
        <w:t>These are the recognized results of standard theory and experiment.</w:t>
      </w:r>
    </w:p>
    <w:bookmarkEnd w:id="19"/>
    <w:p w14:paraId="3A5170F0">
      <w:pPr>
        <w:pStyle w:val="6"/>
      </w:pPr>
      <w:bookmarkStart w:id="20" w:name="Xf3b655be7c82e37c94361ddf06ff32ceb6b4b53"/>
      <w:r>
        <w:t>4.2 Topological Scale Values for Case (b) (Scheme II Example)</w:t>
      </w:r>
    </w:p>
    <w:p w14:paraId="030848E3">
      <w:pPr>
        <w:pStyle w:val="4"/>
      </w:pPr>
      <w:r>
        <w:t>Under the Scheme II calibration (</w:t>
      </w:r>
      <m:oMath>
        <m:sSub>
          <m:sSubPr/>
          <m:e>
            <m:r>
              <m:rPr/>
              <m:t>R</m:t>
            </m:r>
          </m:e>
          <m:sub>
            <m:r>
              <m:rPr/>
              <m:t>A0</m:t>
            </m:r>
          </m:sub>
        </m:sSub>
        <m:r>
          <m:rPr>
            <m:sty m:val="p"/>
          </m:rPr>
          <m:t>≈</m:t>
        </m:r>
        <m:r>
          <m:rPr/>
          <m:t>0.265 </m:t>
        </m:r>
        <m:r>
          <m:rPr>
            <m:sty m:val="p"/>
          </m:rPr>
          <m:t>Å</m:t>
        </m:r>
      </m:oMath>
      <w:r>
        <w:t>), using Eq. (5):</w:t>
      </w:r>
    </w:p>
    <w:p w14:paraId="542C2E56">
      <w:pPr>
        <w:pStyle w:val="3"/>
      </w:pPr>
      <m:oMathPara>
        <m:oMathParaPr>
          <m:jc m:val="center"/>
        </m:oMathParaPr>
        <m:oMath>
          <m:sSub>
            <m:sSubPr/>
            <m:e>
              <m:r>
                <m:rPr/>
                <m:t>R</m:t>
              </m:r>
            </m:e>
            <m:sub>
              <m:r>
                <m:rPr/>
                <m:t>A</m:t>
              </m:r>
            </m:sub>
          </m:sSub>
          <m:r>
            <m:rPr>
              <m:sty m:val="p"/>
            </m:rPr>
            <m:t>(</m:t>
          </m:r>
          <m:r>
            <m:rPr/>
            <m:t>0.8c</m:t>
          </m:r>
          <m:r>
            <m:rPr>
              <m:sty m:val="p"/>
            </m:rPr>
            <m:t>)=</m:t>
          </m:r>
          <m:r>
            <m:rPr/>
            <m:t>0.265 </m:t>
          </m:r>
          <m:r>
            <m:rPr>
              <m:sty m:val="p"/>
            </m:rPr>
            <m:t>Å×</m:t>
          </m:r>
          <m:sSup>
            <m:sSupPr/>
            <m:e>
              <m:d>
                <m:dPr>
                  <m:sepChr m:val=""/>
                </m:dPr>
                <m:e>
                  <m:f>
                    <m:fPr/>
                    <m:num>
                      <m:r>
                        <m:rPr/>
                        <m:t>5</m:t>
                      </m:r>
                    </m:num>
                    <m:den>
                      <m:r>
                        <m:rPr/>
                        <m:t>3</m:t>
                      </m:r>
                    </m:den>
                  </m:f>
                </m:e>
              </m:d>
            </m:e>
            <m:sup>
              <m:r>
                <m:rPr>
                  <m:sty m:val="p"/>
                </m:rPr>
                <m:t>−</m:t>
              </m:r>
              <m:r>
                <m:rPr/>
                <m:t>1</m:t>
              </m:r>
              <m:r>
                <m:rPr>
                  <m:sty m:val="p"/>
                </m:rPr>
                <m:t>/</m:t>
              </m:r>
              <m:r>
                <m:rPr/>
                <m:t>5</m:t>
              </m:r>
            </m:sup>
          </m:sSup>
          <m:r>
            <m:rPr>
              <m:sty m:val="p"/>
            </m:rPr>
            <m:t>≈</m:t>
          </m:r>
          <m:r>
            <m:rPr/>
            <m:t>0.265</m:t>
          </m:r>
          <m:r>
            <m:rPr>
              <m:sty m:val="p"/>
            </m:rPr>
            <m:t>×</m:t>
          </m:r>
          <m:r>
            <m:rPr/>
            <m:t>0.902</m:t>
          </m:r>
          <m:r>
            <m:rPr>
              <m:sty m:val="p"/>
            </m:rPr>
            <m:t>≈</m:t>
          </m:r>
          <m:r>
            <m:rPr/>
            <m:t>0.239 </m:t>
          </m:r>
          <m:r>
            <m:rPr>
              <m:sty m:val="p"/>
            </m:rPr>
            <m:t>Å</m:t>
          </m:r>
        </m:oMath>
      </m:oMathPara>
    </w:p>
    <w:p w14:paraId="4AD7F5A9">
      <w:pPr>
        <w:pStyle w:val="4"/>
      </w:pPr>
      <w:r>
        <w:t>Comparison:</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06"/>
        <w:gridCol w:w="2867"/>
        <w:gridCol w:w="1723"/>
      </w:tblGrid>
      <w:tr w14:paraId="3A68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FF6577D">
            <w:pPr>
              <w:pStyle w:val="26"/>
              <w:jc w:val="center"/>
            </w:pPr>
            <w:r>
              <w:rPr>
                <w:b/>
              </w:rPr>
              <w:t>Scaling Scenario</w:t>
            </w:r>
          </w:p>
        </w:tc>
        <w:tc>
          <w:tcPr>
            <w:shd w:val="clear" w:color="auto" w:fill="B9CDE5"/>
            <w:vAlign w:val="center"/>
          </w:tcPr>
          <w:p w14:paraId="747C9ECE">
            <w:pPr>
              <w:pStyle w:val="26"/>
              <w:jc w:val="center"/>
            </w:pPr>
            <m:oMathPara>
              <m:oMath>
                <m:sSub>
                  <m:sSubPr/>
                  <m:e>
                    <m:r>
                      <m:rPr/>
                      <m:t>R</m:t>
                    </m:r>
                  </m:e>
                  <m:sub>
                    <m:r>
                      <m:rPr/>
                      <m:t>A</m:t>
                    </m:r>
                  </m:sub>
                </m:sSub>
                <m:r>
                  <m:rPr>
                    <m:sty m:val="p"/>
                  </m:rPr>
                  <m:t>(</m:t>
                </m:r>
                <m:r>
                  <m:rPr/>
                  <m:t>0.8c</m:t>
                </m:r>
                <m:r>
                  <m:rPr>
                    <m:sty m:val="p"/>
                  </m:rPr>
                  <m:t>)</m:t>
                </m:r>
              </m:oMath>
            </m:oMathPara>
          </w:p>
        </w:tc>
        <w:tc>
          <w:tcPr>
            <w:shd w:val="clear" w:color="auto" w:fill="B9CDE5"/>
            <w:vAlign w:val="center"/>
          </w:tcPr>
          <w:p w14:paraId="773DF90B">
            <w:pPr>
              <w:pStyle w:val="26"/>
              <w:jc w:val="center"/>
            </w:pPr>
            <w:r>
              <w:rPr>
                <w:b/>
              </w:rPr>
              <w:t xml:space="preserve">Ratio to </w:t>
            </w:r>
            <m:oMath>
              <m:r>
                <m:rPr/>
                <m:t>λ</m:t>
              </m:r>
            </m:oMath>
          </w:p>
        </w:tc>
      </w:tr>
      <w:tr w14:paraId="2AA48F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7C7DDD0">
            <w:pPr>
              <w:pStyle w:val="26"/>
              <w:jc w:val="center"/>
            </w:pPr>
            <w:r>
              <w:t xml:space="preserve">Case (a) </w:t>
            </w:r>
            <m:oMath>
              <m:sSup>
                <m:sSupPr/>
                <m:e>
                  <m:r>
                    <m:rPr/>
                    <m:t>γ</m:t>
                  </m:r>
                </m:e>
                <m:sup>
                  <m:r>
                    <m:rPr>
                      <m:sty m:val="p"/>
                    </m:rPr>
                    <m:t>−</m:t>
                  </m:r>
                  <m:r>
                    <m:rPr/>
                    <m:t>1</m:t>
                  </m:r>
                </m:sup>
              </m:sSup>
            </m:oMath>
          </w:p>
        </w:tc>
        <w:tc>
          <w:tcPr>
            <w:vAlign w:val="center"/>
          </w:tcPr>
          <w:p w14:paraId="2AC8E9EB">
            <w:pPr>
              <w:pStyle w:val="26"/>
              <w:jc w:val="center"/>
            </w:pPr>
            <m:oMathPara>
              <m:oMath>
                <m:r>
                  <m:rPr/>
                  <m:t>0.159 </m:t>
                </m:r>
                <m:r>
                  <m:rPr>
                    <m:sty m:val="p"/>
                  </m:rPr>
                  <m:t>Å</m:t>
                </m:r>
              </m:oMath>
            </m:oMathPara>
          </w:p>
        </w:tc>
        <w:tc>
          <w:tcPr>
            <w:vAlign w:val="center"/>
          </w:tcPr>
          <w:p w14:paraId="7F7AD4B9">
            <w:pPr>
              <w:pStyle w:val="26"/>
              <w:jc w:val="center"/>
            </w:pPr>
            <m:oMathPara>
              <m:oMath>
                <m:r>
                  <m:rPr>
                    <m:sty m:val="p"/>
                  </m:rPr>
                  <m:t>∼</m:t>
                </m:r>
                <m:r>
                  <m:rPr/>
                  <m:t>87</m:t>
                </m:r>
                <m:r>
                  <m:rPr>
                    <m:sty m:val="p"/>
                  </m:rPr>
                  <m:t>×</m:t>
                </m:r>
              </m:oMath>
            </m:oMathPara>
          </w:p>
        </w:tc>
      </w:tr>
      <w:tr w14:paraId="64616A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5BBF410">
            <w:pPr>
              <w:pStyle w:val="26"/>
              <w:jc w:val="center"/>
            </w:pPr>
            <w:r>
              <w:t xml:space="preserve">Case (b) </w:t>
            </w:r>
            <m:oMath>
              <m:sSup>
                <m:sSupPr/>
                <m:e>
                  <m:r>
                    <m:rPr/>
                    <m:t>γ</m:t>
                  </m:r>
                </m:e>
                <m:sup>
                  <m:r>
                    <m:rPr>
                      <m:sty m:val="p"/>
                    </m:rPr>
                    <m:t>−</m:t>
                  </m:r>
                  <m:r>
                    <m:rPr/>
                    <m:t>1</m:t>
                  </m:r>
                  <m:r>
                    <m:rPr>
                      <m:sty m:val="p"/>
                    </m:rPr>
                    <m:t>/</m:t>
                  </m:r>
                  <m:r>
                    <m:rPr/>
                    <m:t>5</m:t>
                  </m:r>
                </m:sup>
              </m:sSup>
            </m:oMath>
          </w:p>
        </w:tc>
        <w:tc>
          <w:tcPr>
            <w:vAlign w:val="center"/>
          </w:tcPr>
          <w:p w14:paraId="79DA7D88">
            <w:pPr>
              <w:pStyle w:val="26"/>
              <w:jc w:val="center"/>
            </w:pPr>
            <m:oMathPara>
              <m:oMath>
                <m:r>
                  <m:rPr/>
                  <m:t>0.239 </m:t>
                </m:r>
                <m:r>
                  <m:rPr>
                    <m:sty m:val="p"/>
                  </m:rPr>
                  <m:t>Å</m:t>
                </m:r>
              </m:oMath>
            </m:oMathPara>
          </w:p>
        </w:tc>
        <w:tc>
          <w:tcPr>
            <w:vAlign w:val="center"/>
          </w:tcPr>
          <w:p w14:paraId="13C1E6FA">
            <w:pPr>
              <w:pStyle w:val="26"/>
              <w:jc w:val="center"/>
            </w:pPr>
            <m:oMathPara>
              <m:oMath>
                <m:r>
                  <m:rPr>
                    <m:sty m:val="p"/>
                  </m:rPr>
                  <m:t>∼</m:t>
                </m:r>
                <m:r>
                  <m:rPr/>
                  <m:t>131</m:t>
                </m:r>
                <m:r>
                  <m:rPr>
                    <m:sty m:val="p"/>
                  </m:rPr>
                  <m:t>×</m:t>
                </m:r>
              </m:oMath>
            </m:oMathPara>
          </w:p>
        </w:tc>
      </w:tr>
      <w:tr w14:paraId="04B65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1C588B8">
            <w:pPr>
              <w:pStyle w:val="26"/>
              <w:jc w:val="center"/>
            </w:pPr>
            <w:r>
              <w:t xml:space="preserve">De Broglie wavelength </w:t>
            </w:r>
            <m:oMath>
              <m:r>
                <m:rPr/>
                <m:t>λ</m:t>
              </m:r>
            </m:oMath>
          </w:p>
        </w:tc>
        <w:tc>
          <w:tcPr>
            <w:vAlign w:val="center"/>
          </w:tcPr>
          <w:p w14:paraId="633CA02F">
            <w:pPr>
              <w:pStyle w:val="26"/>
              <w:jc w:val="center"/>
            </w:pPr>
            <m:oMathPara>
              <m:oMath>
                <m:r>
                  <m:rPr/>
                  <m:t>1.82 </m:t>
                </m:r>
                <m:r>
                  <m:rPr>
                    <m:sty m:val="p"/>
                  </m:rPr>
                  <m:t>pm=</m:t>
                </m:r>
                <m:r>
                  <m:rPr/>
                  <m:t>0.0182 </m:t>
                </m:r>
                <m:r>
                  <m:rPr>
                    <m:sty m:val="p"/>
                  </m:rPr>
                  <m:t>Å</m:t>
                </m:r>
              </m:oMath>
            </m:oMathPara>
          </w:p>
        </w:tc>
        <w:tc>
          <w:tcPr>
            <w:vAlign w:val="center"/>
          </w:tcPr>
          <w:p w14:paraId="5D6F4709">
            <w:pPr>
              <w:pStyle w:val="26"/>
              <w:jc w:val="center"/>
            </w:pPr>
            <m:oMathPara>
              <m:oMath>
                <m:r>
                  <m:rPr/>
                  <m:t>1</m:t>
                </m:r>
                <m:r>
                  <m:rPr>
                    <m:sty m:val="p"/>
                  </m:rPr>
                  <m:t>×</m:t>
                </m:r>
              </m:oMath>
            </m:oMathPara>
          </w:p>
        </w:tc>
      </w:tr>
    </w:tbl>
    <w:p w14:paraId="26B2362A">
      <w:pPr>
        <w:pStyle w:val="3"/>
      </w:pPr>
      <w:r>
        <w:rPr>
          <w:b/>
          <w:bCs/>
        </w:rPr>
        <w:t>Explanation:</w:t>
      </w:r>
      <w:r>
        <w:t xml:space="preserve"> The topological scales in both scenarios are significantly larger than the de Broglie wavelength. Their physical meanings differ and do not constitute a conflict or matching relationship.</w:t>
      </w:r>
    </w:p>
    <w:bookmarkEnd w:id="20"/>
    <w:p w14:paraId="78246299">
      <w:pPr>
        <w:pStyle w:val="6"/>
      </w:pPr>
      <w:bookmarkStart w:id="21" w:name="strict-conceptual-distinction"/>
      <w:r>
        <w:t>4.3 Strict Conceptual Distinction</w:t>
      </w:r>
    </w:p>
    <w:p w14:paraId="3E1C5E2A">
      <w:pPr>
        <w:pStyle w:val="26"/>
        <w:numPr>
          <w:ilvl w:val="0"/>
          <w:numId w:val="4"/>
        </w:numPr>
      </w:pPr>
      <w:r>
        <w:rPr>
          <w:b/>
          <w:bCs/>
        </w:rPr>
        <w:t>De Broglie Wavelength:</w:t>
      </w:r>
      <w:r>
        <w:t xml:space="preserve"> The observed wavelength for electromagnetic scattering, crystal diffraction, and interference imaging; it belongs to the category of standard electromagnetic response quantities;</w:t>
      </w:r>
    </w:p>
    <w:p w14:paraId="5DB836A2">
      <w:pPr>
        <w:pStyle w:val="26"/>
        <w:numPr>
          <w:ilvl w:val="0"/>
          <w:numId w:val="4"/>
        </w:numPr>
      </w:pPr>
      <w:r>
        <w:rPr>
          <w:b/>
          <w:bCs/>
        </w:rPr>
        <w:t>A‑field Topological Scale:</w:t>
      </w:r>
      <w:r>
        <w:t xml:space="preserve"> The assumed intrinsic local topological range of the quantum state within the model; it belongs to the category of theoretical construct quantities.</w:t>
      </w:r>
    </w:p>
    <w:p w14:paraId="147D3171">
      <w:pPr>
        <w:pStyle w:val="4"/>
      </w:pPr>
      <w:r>
        <w:t>Both share the same dimension (length), but their physical meanings and observational methods differ. No numerical comparison or judgment of correctness is made.</w:t>
      </w:r>
    </w:p>
    <w:bookmarkEnd w:id="18"/>
    <w:bookmarkEnd w:id="21"/>
    <w:p w14:paraId="2EC527C6">
      <w:pPr>
        <w:pStyle w:val="5"/>
      </w:pPr>
      <w:bookmarkStart w:id="22" w:name="dual-comparison-table-with-a10"/>
      <w:r>
        <w:t>5 Dual Comparison Table with A10</w:t>
      </w:r>
    </w:p>
    <w:p w14:paraId="426E9A08">
      <w:pPr>
        <w:pStyle w:val="4"/>
      </w:pPr>
      <w:r>
        <w:t>The following table compares B54 and A10 in key features to demonstrate lineage self‑consistency.</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4"/>
        <w:gridCol w:w="4323"/>
        <w:gridCol w:w="1809"/>
      </w:tblGrid>
      <w:tr w14:paraId="05FFB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52D96826">
            <w:pPr>
              <w:pStyle w:val="26"/>
              <w:jc w:val="center"/>
            </w:pPr>
            <w:r>
              <w:rPr>
                <w:b/>
              </w:rPr>
              <w:t>Feature</w:t>
            </w:r>
          </w:p>
        </w:tc>
        <w:tc>
          <w:tcPr>
            <w:shd w:val="clear" w:color="auto" w:fill="B9CDE5"/>
            <w:vAlign w:val="center"/>
          </w:tcPr>
          <w:p w14:paraId="5D40C5ED">
            <w:pPr>
              <w:pStyle w:val="26"/>
              <w:jc w:val="center"/>
            </w:pPr>
            <w:r>
              <w:rPr>
                <w:b/>
              </w:rPr>
              <w:t>A10 (Hadronic High‑Energy Cascade)</w:t>
            </w:r>
          </w:p>
        </w:tc>
        <w:tc>
          <w:tcPr>
            <w:shd w:val="clear" w:color="auto" w:fill="B9CDE5"/>
            <w:vAlign w:val="center"/>
          </w:tcPr>
          <w:p w14:paraId="71FE32D2">
            <w:pPr>
              <w:pStyle w:val="26"/>
              <w:jc w:val="center"/>
            </w:pPr>
            <w:r>
              <w:rPr>
                <w:b/>
              </w:rPr>
              <w:t>B54 (Electron Low‑Energy Scaling Exercise)</w:t>
            </w:r>
          </w:p>
        </w:tc>
      </w:tr>
      <w:tr w14:paraId="1E575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A68AD51">
            <w:pPr>
              <w:pStyle w:val="26"/>
              <w:jc w:val="center"/>
            </w:pPr>
            <w:r>
              <w:t>Dominant field</w:t>
            </w:r>
          </w:p>
        </w:tc>
        <w:tc>
          <w:tcPr>
            <w:vAlign w:val="center"/>
          </w:tcPr>
          <w:p w14:paraId="3573317C">
            <w:pPr>
              <w:pStyle w:val="26"/>
              <w:jc w:val="center"/>
            </w:pPr>
            <w:r>
              <w:t>B‑field (color‑charge topology)</w:t>
            </w:r>
          </w:p>
        </w:tc>
        <w:tc>
          <w:tcPr>
            <w:vAlign w:val="center"/>
          </w:tcPr>
          <w:p w14:paraId="111D0F79">
            <w:pPr>
              <w:pStyle w:val="26"/>
              <w:jc w:val="center"/>
            </w:pPr>
            <w:r>
              <w:t>A‑field (electromagnetic wave)</w:t>
            </w:r>
          </w:p>
        </w:tc>
      </w:tr>
      <w:tr w14:paraId="3A6E0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2850A2D">
            <w:pPr>
              <w:pStyle w:val="26"/>
              <w:jc w:val="center"/>
            </w:pPr>
            <w:r>
              <w:t>Dominant particle</w:t>
            </w:r>
          </w:p>
        </w:tc>
        <w:tc>
          <w:tcPr>
            <w:vAlign w:val="center"/>
          </w:tcPr>
          <w:p w14:paraId="6A29EF73">
            <w:pPr>
              <w:pStyle w:val="26"/>
              <w:jc w:val="center"/>
            </w:pPr>
            <w:r>
              <w:t>Iron‑group heavy nuclei (</w:t>
            </w:r>
            <m:oMath>
              <m:r>
                <m:rPr/>
                <m:t>Z</m:t>
              </m:r>
              <m:r>
                <m:rPr>
                  <m:sty m:val="p"/>
                </m:rPr>
                <m:t>=</m:t>
              </m:r>
              <m:r>
                <m:rPr/>
                <m:t>26</m:t>
              </m:r>
              <m:r>
                <m:rPr>
                  <m:sty m:val="p"/>
                </m:rPr>
                <m:t>,</m:t>
              </m:r>
              <m:r>
                <m:rPr/>
                <m:t>A</m:t>
              </m:r>
              <m:r>
                <m:rPr>
                  <m:sty m:val="p"/>
                </m:rPr>
                <m:t>=</m:t>
              </m:r>
              <m:r>
                <m:rPr/>
                <m:t>56</m:t>
              </m:r>
            </m:oMath>
            <w:r>
              <w:t>)</w:t>
            </w:r>
          </w:p>
        </w:tc>
        <w:tc>
          <w:tcPr>
            <w:vAlign w:val="center"/>
          </w:tcPr>
          <w:p w14:paraId="3829324C">
            <w:pPr>
              <w:pStyle w:val="26"/>
              <w:jc w:val="center"/>
            </w:pPr>
            <w:r>
              <w:t>Free electron</w:t>
            </w:r>
          </w:p>
        </w:tc>
      </w:tr>
      <w:tr w14:paraId="47C27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78158CE">
            <w:pPr>
              <w:pStyle w:val="26"/>
              <w:jc w:val="center"/>
            </w:pPr>
            <w:r>
              <w:t>Energy scale</w:t>
            </w:r>
          </w:p>
        </w:tc>
        <w:tc>
          <w:tcPr>
            <w:vAlign w:val="center"/>
          </w:tcPr>
          <w:p w14:paraId="3039E008">
            <w:pPr>
              <w:pStyle w:val="26"/>
              <w:jc w:val="center"/>
            </w:pPr>
            <w:r>
              <w:t>EeV–ZeV (</w:t>
            </w:r>
            <m:oMath>
              <m:sSup>
                <m:sSupPr/>
                <m:e>
                  <m:r>
                    <m:rPr/>
                    <m:t>10</m:t>
                  </m:r>
                </m:e>
                <m:sup>
                  <m:r>
                    <m:rPr/>
                    <m:t>18</m:t>
                  </m:r>
                </m:sup>
              </m:sSup>
            </m:oMath>
            <w:r>
              <w:t>–</w:t>
            </w:r>
            <m:oMath>
              <m:r>
                <m:rPr/>
                <m:t>3</m:t>
              </m:r>
              <m:r>
                <m:rPr>
                  <m:sty m:val="p"/>
                </m:rPr>
                <m:t>×</m:t>
              </m:r>
              <m:sSup>
                <m:sSupPr/>
                <m:e>
                  <m:r>
                    <m:rPr/>
                    <m:t>10</m:t>
                  </m:r>
                </m:e>
                <m:sup>
                  <m:r>
                    <m:rPr/>
                    <m:t>20</m:t>
                  </m:r>
                </m:sup>
              </m:sSup>
              <m:r>
                <m:rPr/>
                <m:t> </m:t>
              </m:r>
              <m:r>
                <m:rPr>
                  <m:sty m:val="p"/>
                </m:rPr>
                <m:t>eV</m:t>
              </m:r>
            </m:oMath>
            <w:r>
              <w:t>)</w:t>
            </w:r>
          </w:p>
        </w:tc>
        <w:tc>
          <w:tcPr>
            <w:vAlign w:val="center"/>
          </w:tcPr>
          <w:p w14:paraId="7CDAA114">
            <w:pPr>
              <w:pStyle w:val="26"/>
              <w:jc w:val="center"/>
            </w:pPr>
            <w:r>
              <w:t>sub‑MeV to hundreds of keV</w:t>
            </w:r>
          </w:p>
        </w:tc>
      </w:tr>
      <w:tr w14:paraId="220FC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F97EEBE">
            <w:pPr>
              <w:pStyle w:val="26"/>
              <w:jc w:val="center"/>
            </w:pPr>
            <w:r>
              <w:t>Lorentz factor</w:t>
            </w:r>
          </w:p>
        </w:tc>
        <w:tc>
          <w:tcPr>
            <w:vAlign w:val="center"/>
          </w:tcPr>
          <w:p w14:paraId="5C7C0CD4">
            <w:pPr>
              <w:pStyle w:val="26"/>
              <w:jc w:val="center"/>
            </w:pPr>
            <m:oMath>
              <m:sSub>
                <m:sSubPr/>
                <m:e>
                  <m:r>
                    <m:rPr/>
                    <m:t>γ</m:t>
                  </m:r>
                </m:e>
                <m:sub>
                  <m:r>
                    <m:rPr/>
                    <m:t>N</m:t>
                  </m:r>
                </m:sub>
              </m:sSub>
              <m:r>
                <m:rPr>
                  <m:sty m:val="p"/>
                </m:rPr>
                <m:t>∼</m:t>
              </m:r>
              <m:sSup>
                <m:sSupPr/>
                <m:e>
                  <m:r>
                    <m:rPr/>
                    <m:t>10</m:t>
                  </m:r>
                </m:e>
                <m:sup>
                  <m:r>
                    <m:rPr/>
                    <m:t>10</m:t>
                  </m:r>
                </m:sup>
              </m:sSup>
            </m:oMath>
            <w:r>
              <w:t>–</w:t>
            </w:r>
            <m:oMath>
              <m:sSup>
                <m:sSupPr/>
                <m:e>
                  <m:r>
                    <m:rPr/>
                    <m:t>10</m:t>
                  </m:r>
                </m:e>
                <m:sup>
                  <m:r>
                    <m:rPr/>
                    <m:t>11</m:t>
                  </m:r>
                </m:sup>
              </m:sSup>
            </m:oMath>
          </w:p>
        </w:tc>
        <w:tc>
          <w:tcPr>
            <w:vAlign w:val="center"/>
          </w:tcPr>
          <w:p w14:paraId="66C15022">
            <w:pPr>
              <w:pStyle w:val="26"/>
              <w:jc w:val="center"/>
            </w:pPr>
            <m:oMath>
              <m:r>
                <m:rPr/>
                <m:t>γ</m:t>
              </m:r>
              <m:r>
                <m:rPr>
                  <m:sty m:val="p"/>
                </m:rPr>
                <m:t>∼</m:t>
              </m:r>
              <m:r>
                <m:rPr/>
                <m:t>1</m:t>
              </m:r>
            </m:oMath>
            <w:r>
              <w:t>–</w:t>
            </w:r>
            <m:oMath>
              <m:r>
                <m:rPr/>
                <m:t>10</m:t>
              </m:r>
            </m:oMath>
          </w:p>
        </w:tc>
      </w:tr>
      <w:tr w14:paraId="758517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55218A7">
            <w:pPr>
              <w:pStyle w:val="26"/>
              <w:jc w:val="center"/>
            </w:pPr>
            <w:r>
              <w:t>Acceleration/scaling mechanism</w:t>
            </w:r>
          </w:p>
        </w:tc>
        <w:tc>
          <w:tcPr>
            <w:vAlign w:val="center"/>
          </w:tcPr>
          <w:p w14:paraId="7C44B489">
            <w:pPr>
              <w:pStyle w:val="26"/>
              <w:jc w:val="center"/>
            </w:pPr>
            <w:r>
              <w:t>B‑field topological pipeline super‑Bohm unidirectional acceleration</w:t>
            </w:r>
          </w:p>
        </w:tc>
        <w:tc>
          <w:tcPr>
            <w:vAlign w:val="center"/>
          </w:tcPr>
          <w:p w14:paraId="2FA8B92E">
            <w:pPr>
              <w:pStyle w:val="26"/>
              <w:jc w:val="center"/>
            </w:pPr>
            <w:r>
              <w:t>A–C topological Poisson constraint dimensional scaling</w:t>
            </w:r>
          </w:p>
        </w:tc>
      </w:tr>
      <w:tr w14:paraId="707D9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25DB9BC">
            <w:pPr>
              <w:pStyle w:val="26"/>
              <w:jc w:val="center"/>
            </w:pPr>
            <w:r>
              <w:t>Parameter status</w:t>
            </w:r>
          </w:p>
        </w:tc>
        <w:tc>
          <w:tcPr>
            <w:vAlign w:val="center"/>
          </w:tcPr>
          <w:p w14:paraId="45BA51CE">
            <w:pPr>
              <w:pStyle w:val="26"/>
              <w:jc w:val="center"/>
            </w:pPr>
            <w:r>
              <w:t>Open (</w:t>
            </w:r>
            <m:oMath>
              <m:sSub>
                <m:sSubPr/>
                <m:e>
                  <m:r>
                    <m:rPr/>
                    <m:t>κ</m:t>
                  </m:r>
                </m:e>
                <m:sub>
                  <m:r>
                    <m:rPr/>
                    <m:t>B</m:t>
                  </m:r>
                </m:sub>
              </m:sSub>
              <m:r>
                <m:rPr>
                  <m:sty m:val="p"/>
                </m:rPr>
                <m:t>,</m:t>
              </m:r>
              <m:sSub>
                <m:sSubPr/>
                <m:e>
                  <m:r>
                    <m:rPr/>
                    <m:t>η</m:t>
                  </m:r>
                </m:e>
                <m:sub>
                  <m:r>
                    <m:rPr/>
                    <m:t>I</m:t>
                  </m:r>
                </m:sub>
              </m:sSub>
              <m:r>
                <m:rPr>
                  <m:sty m:val="p"/>
                </m:rPr>
                <m:t>,</m:t>
              </m:r>
              <m:sSub>
                <m:sSubPr/>
                <m:e>
                  <m:r>
                    <m:rPr/>
                    <m:t>R</m:t>
                  </m:r>
                </m:e>
                <m:sub>
                  <m:r>
                    <m:rPr>
                      <m:sty m:val="p"/>
                    </m:rPr>
                    <m:t>pipe</m:t>
                  </m:r>
                </m:sub>
              </m:sSub>
              <m:r>
                <m:rPr>
                  <m:sty m:val="p"/>
                </m:rPr>
                <m:t>,</m:t>
              </m:r>
              <m:sSub>
                <m:sSubPr/>
                <m:e>
                  <m:r>
                    <m:rPr/>
                    <m:t>B</m:t>
                  </m:r>
                </m:e>
                <m:sub>
                  <m:r>
                    <m:rPr>
                      <m:sty m:val="p"/>
                    </m:rPr>
                    <m:t>topo</m:t>
                  </m:r>
                </m:sub>
              </m:sSub>
            </m:oMath>
            <w:r>
              <w:t>, etc.)</w:t>
            </w:r>
          </w:p>
        </w:tc>
        <w:tc>
          <w:tcPr>
            <w:vAlign w:val="center"/>
          </w:tcPr>
          <w:p w14:paraId="1491EF12">
            <w:pPr>
              <w:pStyle w:val="26"/>
              <w:jc w:val="center"/>
            </w:pPr>
            <w:r>
              <w:t>Open (</w:t>
            </w:r>
            <m:oMath>
              <m:sSub>
                <m:sSubPr/>
                <m:e>
                  <m:r>
                    <m:rPr/>
                    <m:t>ℓ</m:t>
                  </m:r>
                </m:e>
                <m:sub>
                  <m:r>
                    <m:rPr/>
                    <m:t>0</m:t>
                  </m:r>
                </m:sub>
              </m:sSub>
              <m:r>
                <m:rPr>
                  <m:sty m:val="p"/>
                </m:rPr>
                <m:t>,</m:t>
              </m:r>
              <m:sSub>
                <m:sSubPr/>
                <m:e>
                  <m:r>
                    <m:rPr/>
                    <m:t>G</m:t>
                  </m:r>
                </m:e>
                <m:sub>
                  <m:r>
                    <m:rPr>
                      <m:sty m:val="p"/>
                    </m:rPr>
                    <m:t>FC</m:t>
                  </m:r>
                </m:sub>
              </m:sSub>
              <m:r>
                <m:rPr>
                  <m:sty m:val="p"/>
                </m:rPr>
                <m:t>,</m:t>
              </m:r>
              <m:sSub>
                <m:sSubPr/>
                <m:e>
                  <m:r>
                    <m:rPr/>
                    <m:t>R</m:t>
                  </m:r>
                </m:e>
                <m:sub>
                  <m:r>
                    <m:rPr/>
                    <m:t>A0</m:t>
                  </m:r>
                </m:sub>
              </m:sSub>
            </m:oMath>
            <w:r>
              <w:t>, etc.)</w:t>
            </w:r>
          </w:p>
        </w:tc>
      </w:tr>
      <w:tr w14:paraId="7050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EFFA6EF">
            <w:pPr>
              <w:pStyle w:val="26"/>
              <w:jc w:val="center"/>
            </w:pPr>
            <w:r>
              <w:t>Saturation criterion</w:t>
            </w:r>
          </w:p>
        </w:tc>
        <w:tc>
          <w:tcPr>
            <w:vAlign w:val="center"/>
          </w:tcPr>
          <w:p w14:paraId="1659F21A">
            <w:pPr>
              <w:pStyle w:val="26"/>
              <w:jc w:val="center"/>
            </w:pPr>
            <w:r>
              <w:t>Four‑level physical saturation (Bohm/photodisintegration/KN/topological dissipation)</w:t>
            </w:r>
          </w:p>
        </w:tc>
        <w:tc>
          <w:tcPr>
            <w:vAlign w:val="center"/>
          </w:tcPr>
          <w:p w14:paraId="75DA3565">
            <w:pPr>
              <w:pStyle w:val="26"/>
              <w:jc w:val="center"/>
            </w:pPr>
            <w:r>
              <w:t>Not established (scaling exercise only, no acceleration mechanism)</w:t>
            </w:r>
          </w:p>
        </w:tc>
      </w:tr>
      <w:tr w14:paraId="67BD9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B7FCB92">
            <w:pPr>
              <w:pStyle w:val="26"/>
              <w:jc w:val="center"/>
            </w:pPr>
            <w:r>
              <w:t>Propagation correction</w:t>
            </w:r>
          </w:p>
        </w:tc>
        <w:tc>
          <w:tcPr>
            <w:vAlign w:val="center"/>
          </w:tcPr>
          <w:p w14:paraId="2E53105B">
            <w:pPr>
              <w:pStyle w:val="26"/>
              <w:jc w:val="center"/>
            </w:pPr>
            <w:r>
              <w:t>Three‑parallel (near‑source/topological cross‑section suppression/LIV)</w:t>
            </w:r>
          </w:p>
        </w:tc>
        <w:tc>
          <w:tcPr>
            <w:vAlign w:val="center"/>
          </w:tcPr>
          <w:p w14:paraId="455F110F">
            <w:pPr>
              <w:pStyle w:val="26"/>
              <w:jc w:val="center"/>
            </w:pPr>
            <w:r>
              <w:t>Not applicable (electron propagates at TEM scale)</w:t>
            </w:r>
          </w:p>
        </w:tc>
      </w:tr>
      <w:tr w14:paraId="331CB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8E8A777">
            <w:pPr>
              <w:pStyle w:val="26"/>
              <w:jc w:val="center"/>
            </w:pPr>
            <w:r>
              <w:t>Testability</w:t>
            </w:r>
          </w:p>
        </w:tc>
        <w:tc>
          <w:tcPr>
            <w:vAlign w:val="center"/>
          </w:tcPr>
          <w:p w14:paraId="27EFF576">
            <w:pPr>
              <w:pStyle w:val="26"/>
              <w:jc w:val="center"/>
            </w:pPr>
            <w:r>
              <w:t>Qualitative predictions (spatial clustering, composition, multi‑messenger time delays)</w:t>
            </w:r>
          </w:p>
        </w:tc>
        <w:tc>
          <w:tcPr>
            <w:vAlign w:val="center"/>
          </w:tcPr>
          <w:p w14:paraId="08862EB2">
            <w:pPr>
              <w:pStyle w:val="26"/>
              <w:jc w:val="center"/>
            </w:pPr>
            <w:r>
              <w:t>Causal mechanism not established; no testable prediction claimed</w:t>
            </w:r>
          </w:p>
        </w:tc>
      </w:tr>
      <w:tr w14:paraId="0AAC5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6F85C00">
            <w:pPr>
              <w:pStyle w:val="26"/>
              <w:jc w:val="center"/>
            </w:pPr>
            <w:r>
              <w:t>Axiom dependence</w:t>
            </w:r>
          </w:p>
        </w:tc>
        <w:tc>
          <w:tcPr>
            <w:vAlign w:val="center"/>
          </w:tcPr>
          <w:p w14:paraId="046D3CAD">
            <w:pPr>
              <w:pStyle w:val="26"/>
              <w:jc w:val="center"/>
            </w:pPr>
            <w:r>
              <w:t xml:space="preserve">FCWFT three‑field axioms + </w:t>
            </w:r>
            <m:oMath>
              <m:sSub>
                <m:sSubPr/>
                <m:e>
                  <m:r>
                    <m:rPr/>
                    <m:t>η</m:t>
                  </m:r>
                </m:e>
                <m:sub>
                  <m:r>
                    <m:rPr/>
                    <m:t>I</m:t>
                  </m:r>
                </m:sub>
              </m:sSub>
              <m:r>
                <m:rPr>
                  <m:sty m:val="p"/>
                </m:rPr>
                <m:t>=</m:t>
              </m:r>
              <m:r>
                <m:rPr/>
                <m:t>0.1835</m:t>
              </m:r>
            </m:oMath>
          </w:p>
        </w:tc>
        <w:tc>
          <w:tcPr>
            <w:vAlign w:val="center"/>
          </w:tcPr>
          <w:p w14:paraId="0489EF23">
            <w:pPr>
              <w:pStyle w:val="26"/>
              <w:jc w:val="center"/>
            </w:pPr>
            <w:r>
              <w:t>FCWFT three‑field axioms (</w:t>
            </w:r>
            <m:oMath>
              <m:sSub>
                <m:sSubPr/>
                <m:e>
                  <m:r>
                    <m:rPr/>
                    <m:t>η</m:t>
                  </m:r>
                </m:e>
                <m:sub>
                  <m:r>
                    <m:rPr/>
                    <m:t>I</m:t>
                  </m:r>
                </m:sub>
              </m:sSub>
            </m:oMath>
            <w:r>
              <w:t xml:space="preserve"> not used)</w:t>
            </w:r>
          </w:p>
        </w:tc>
      </w:tr>
      <w:tr w14:paraId="4A312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4A4C7C8">
            <w:pPr>
              <w:pStyle w:val="26"/>
              <w:jc w:val="center"/>
            </w:pPr>
            <w:r>
              <w:t>Positioning</w:t>
            </w:r>
          </w:p>
        </w:tc>
        <w:tc>
          <w:tcPr>
            <w:vAlign w:val="center"/>
          </w:tcPr>
          <w:p w14:paraId="7186C073">
            <w:pPr>
              <w:pStyle w:val="26"/>
              <w:jc w:val="center"/>
            </w:pPr>
            <w:r>
              <w:t>Hadronic high‑energy model (dual to B14 leptonic high‑energy end)</w:t>
            </w:r>
          </w:p>
        </w:tc>
        <w:tc>
          <w:tcPr>
            <w:vAlign w:val="center"/>
          </w:tcPr>
          <w:p w14:paraId="0F4C0785">
            <w:pPr>
              <w:pStyle w:val="26"/>
              <w:jc w:val="center"/>
            </w:pPr>
            <w:r>
              <w:t>Electron low‑energy scaling exercise (low‑high energy dual with A10)</w:t>
            </w:r>
          </w:p>
        </w:tc>
      </w:tr>
    </w:tbl>
    <w:p w14:paraId="3CEFF7AA">
      <w:pPr>
        <w:pStyle w:val="3"/>
      </w:pPr>
      <w:r>
        <w:rPr>
          <w:b/>
          <w:bCs/>
        </w:rPr>
        <w:t>Note:</w:t>
      </w:r>
      <w:r>
        <w:t xml:space="preserve"> B54 and A10 are isomorphic in axiom dependence and paradigmatic structure, but completely complementary in energy scale, dominant field, and testability. B54 currently remains at the stage of an algebraic exercise and has not developed a saturation criterion or propagation correction system comparable to A10.</w:t>
      </w:r>
    </w:p>
    <w:bookmarkEnd w:id="22"/>
    <w:p w14:paraId="15499BF7">
      <w:pPr>
        <w:pStyle w:val="5"/>
      </w:pPr>
      <w:bookmarkStart w:id="23" w:name="X428be6c14e76c5f0b562caf86af429e8d8b078a"/>
      <w:r>
        <w:t>6 Summary of Model Self‑Consistency and Theoretical Limitations</w:t>
      </w:r>
    </w:p>
    <w:p w14:paraId="495839E8">
      <w:pPr>
        <w:pStyle w:val="6"/>
      </w:pPr>
      <w:bookmarkStart w:id="24" w:name="selfconsistency-status"/>
      <w:r>
        <w:t>6.1 Self‑Consistency Status</w:t>
      </w:r>
    </w:p>
    <w:p w14:paraId="1BD59A9D">
      <w:pPr>
        <w:pStyle w:val="4"/>
      </w:pPr>
      <w:r>
        <w:t xml:space="preserve">Provided all hypotheses are accepted, the model’s scaling relationships, field evolution structure, and wave‑particle duality variation trends are internally logically self‑consistent. At the mathematical expression level, Eq. (1) is dimensionally closed after the introduction of </w:t>
      </w:r>
      <m:oMath>
        <m:sSubSup>
          <m:sSubSupPr/>
          <m:e>
            <m:r>
              <m:rPr/>
              <m:t>ℓ</m:t>
            </m:r>
          </m:e>
          <m:sub>
            <m:r>
              <m:rPr/>
              <m:t>0</m:t>
            </m:r>
          </m:sub>
          <m:sup>
            <m:r>
              <m:rPr/>
              <m:t>2</m:t>
            </m:r>
          </m:sup>
        </m:sSubSup>
      </m:oMath>
      <w:r>
        <w:t>.</w:t>
      </w:r>
    </w:p>
    <w:bookmarkEnd w:id="24"/>
    <w:p w14:paraId="3116FD6C">
      <w:pPr>
        <w:pStyle w:val="6"/>
      </w:pPr>
      <w:bookmarkStart w:id="25" w:name="objective-theoretical-limitations"/>
      <w:r>
        <w:t>6.2 Objective Theoretical Limitations</w:t>
      </w:r>
    </w:p>
    <w:p w14:paraId="647B9F07">
      <w:pPr>
        <w:pStyle w:val="26"/>
        <w:numPr>
          <w:ilvl w:val="0"/>
          <w:numId w:val="5"/>
        </w:numPr>
      </w:pPr>
      <w:r>
        <w:rPr>
          <w:b/>
          <w:bCs/>
        </w:rPr>
        <w:t>Hypothetical nature of Case (a):</w:t>
      </w:r>
      <w:r>
        <w:t xml:space="preserve"> </w:t>
      </w:r>
      <m:oMath>
        <m:r>
          <m:rPr/>
          <m:t>f</m:t>
        </m:r>
        <m:r>
          <m:rPr>
            <m:sty m:val="p"/>
          </m:rPr>
          <m:t>∝</m:t>
        </m:r>
        <m:sSubSup>
          <m:sSubSupPr/>
          <m:e>
            <m:r>
              <m:rPr/>
              <m:t>R</m:t>
            </m:r>
          </m:e>
          <m:sub>
            <m:r>
              <m:rPr/>
              <m:t>A</m:t>
            </m:r>
          </m:sub>
          <m:sup>
            <m:r>
              <m:rPr/>
              <m:t>4</m:t>
            </m:r>
          </m:sup>
        </m:sSubSup>
      </m:oMath>
      <w:r>
        <w:t xml:space="preserve"> lacks an independent derivation; </w:t>
      </w:r>
      <m:oMath>
        <m:sSub>
          <m:sSubPr/>
          <m:e>
            <m:r>
              <m:rPr/>
              <m:t>R</m:t>
            </m:r>
          </m:e>
          <m:sub>
            <m:r>
              <m:rPr/>
              <m:t>A</m:t>
            </m:r>
          </m:sub>
        </m:sSub>
        <m:r>
          <m:rPr>
            <m:sty m:val="p"/>
          </m:rPr>
          <m:t>∝</m:t>
        </m:r>
        <m:sSup>
          <m:sSupPr/>
          <m:e>
            <m:r>
              <m:rPr/>
              <m:t>γ</m:t>
            </m:r>
          </m:e>
          <m:sup>
            <m:r>
              <m:rPr>
                <m:sty m:val="p"/>
              </m:rPr>
              <m:t>−</m:t>
            </m:r>
            <m:r>
              <m:rPr/>
              <m:t>1</m:t>
            </m:r>
          </m:sup>
        </m:sSup>
      </m:oMath>
      <w:r>
        <w:t xml:space="preserve"> is a hypothetical conclusion;</w:t>
      </w:r>
    </w:p>
    <w:p w14:paraId="762D18D0">
      <w:pPr>
        <w:pStyle w:val="26"/>
        <w:numPr>
          <w:ilvl w:val="0"/>
          <w:numId w:val="5"/>
        </w:numPr>
      </w:pPr>
      <w:r>
        <w:rPr>
          <w:b/>
          <w:bCs/>
        </w:rPr>
        <w:t>Ad‑hoc nature of axioms:</w:t>
      </w:r>
      <w:r>
        <w:t xml:space="preserve"> Topological conservation and field‑function correspondence are both model‑specific axioms, lacking independent theoretical sources;</w:t>
      </w:r>
    </w:p>
    <w:p w14:paraId="425239B8">
      <w:pPr>
        <w:pStyle w:val="26"/>
        <w:numPr>
          <w:ilvl w:val="0"/>
          <w:numId w:val="5"/>
        </w:numPr>
      </w:pPr>
      <w:r>
        <w:rPr>
          <w:b/>
          <w:bCs/>
        </w:rPr>
        <w:t>Unclosed parameters:</w:t>
      </w:r>
      <w:r>
        <w:t xml:space="preserve"> Coupling constants and reference scales are not closed (all parameters are open, with only post‑hoc assignments illustrating numerical compatibility);</w:t>
      </w:r>
    </w:p>
    <w:p w14:paraId="736B3BE9">
      <w:pPr>
        <w:pStyle w:val="26"/>
        <w:numPr>
          <w:ilvl w:val="0"/>
          <w:numId w:val="5"/>
        </w:numPr>
      </w:pPr>
      <w:r>
        <w:rPr>
          <w:b/>
          <w:bCs/>
        </w:rPr>
        <w:t>Missing mechanism:</w:t>
      </w:r>
      <w:r>
        <w:t xml:space="preserve"> The causal mechanism from </w:t>
      </w:r>
      <m:oMath>
        <m:sSub>
          <m:sSubPr/>
          <m:e>
            <m:r>
              <m:rPr/>
              <m:t>R</m:t>
            </m:r>
          </m:e>
          <m:sub>
            <m:r>
              <m:rPr/>
              <m:t>A</m:t>
            </m:r>
          </m:sub>
        </m:sSub>
      </m:oMath>
      <w:r>
        <w:t xml:space="preserve"> to the diffraction angle has not been established, so no testable prediction is generated;</w:t>
      </w:r>
    </w:p>
    <w:p w14:paraId="66ED93BC">
      <w:pPr>
        <w:pStyle w:val="26"/>
        <w:numPr>
          <w:ilvl w:val="0"/>
          <w:numId w:val="5"/>
        </w:numPr>
      </w:pPr>
      <w:r>
        <w:rPr>
          <w:b/>
          <w:bCs/>
        </w:rPr>
        <w:t>Lack of observables:</w:t>
      </w:r>
      <w:r>
        <w:t xml:space="preserve"> Wave‑particle weights are theoretical constructs with no direct corresponding experimental observable at present.</w:t>
      </w:r>
    </w:p>
    <w:bookmarkEnd w:id="25"/>
    <w:p w14:paraId="5E92FE7B">
      <w:pPr>
        <w:pStyle w:val="6"/>
      </w:pPr>
      <w:bookmarkStart w:id="26" w:name="dimensional-closure-status"/>
      <w:r>
        <w:t>6.3 Dimensional Closure Status</w:t>
      </w:r>
    </w:p>
    <w:p w14:paraId="09957810">
      <w:pPr>
        <w:pStyle w:val="4"/>
      </w:pPr>
      <w:r>
        <w:t xml:space="preserve">Eq. (1) is dimensionally closed after the introduction of </w:t>
      </w:r>
      <m:oMath>
        <m:sSubSup>
          <m:sSubSupPr/>
          <m:e>
            <m:r>
              <m:rPr/>
              <m:t>ℓ</m:t>
            </m:r>
          </m:e>
          <m:sub>
            <m:r>
              <m:rPr/>
              <m:t>0</m:t>
            </m:r>
          </m:sub>
          <m:sup>
            <m:r>
              <m:rPr/>
              <m:t>2</m:t>
            </m:r>
          </m:sup>
        </m:sSubSup>
      </m:oMath>
      <w:r>
        <w:t xml:space="preserve">. The post‑hoc assignment schemes for </w:t>
      </w:r>
      <m:oMath>
        <m:sSub>
          <m:sSubPr/>
          <m:e>
            <m:r>
              <m:rPr/>
              <m:t>ℓ</m:t>
            </m:r>
          </m:e>
          <m:sub>
            <m:r>
              <m:rPr/>
              <m:t>0</m:t>
            </m:r>
          </m:sub>
        </m:sSub>
      </m:oMath>
      <w:r>
        <w:t xml:space="preserve"> endow it with numerical significance. There is no contradiction at the mathematical expression level.</w:t>
      </w:r>
    </w:p>
    <w:bookmarkEnd w:id="23"/>
    <w:bookmarkEnd w:id="26"/>
    <w:p w14:paraId="2E8DFC69">
      <w:pPr>
        <w:pStyle w:val="5"/>
      </w:pPr>
      <w:bookmarkStart w:id="27" w:name="conclusions-and-outlook"/>
      <w:r>
        <w:t>7 Conclusions and Outlook</w:t>
      </w:r>
    </w:p>
    <w:p w14:paraId="7EB54A25">
      <w:pPr>
        <w:pStyle w:val="6"/>
      </w:pPr>
      <w:bookmarkStart w:id="28" w:name="main-conclusions"/>
      <w:r>
        <w:t>7.1 Main Conclusions</w:t>
      </w:r>
    </w:p>
    <w:p w14:paraId="3B8F6C01">
      <w:pPr>
        <w:pStyle w:val="26"/>
        <w:numPr>
          <w:ilvl w:val="0"/>
          <w:numId w:val="6"/>
        </w:numPr>
      </w:pPr>
      <w:r>
        <w:t xml:space="preserve">Within the FCWFT three‑field axiomatic framework, this paper has completed the scaling algebraic exercise of </w:t>
      </w:r>
      <m:oMath>
        <m:sSub>
          <m:sSubPr/>
          <m:e>
            <m:r>
              <m:rPr/>
              <m:t>R</m:t>
            </m:r>
          </m:e>
          <m:sub>
            <m:r>
              <m:rPr/>
              <m:t>A</m:t>
            </m:r>
          </m:sub>
        </m:sSub>
        <m:r>
          <m:rPr>
            <m:sty m:val="p"/>
          </m:rPr>
          <m:t>∝</m:t>
        </m:r>
        <m:sSup>
          <m:sSupPr/>
          <m:e>
            <m:r>
              <m:rPr/>
              <m:t>γ</m:t>
            </m:r>
          </m:e>
          <m:sup>
            <m:r>
              <m:rPr>
                <m:sty m:val="p"/>
              </m:rPr>
              <m:t>−</m:t>
            </m:r>
            <m:r>
              <m:rPr/>
              <m:t>1</m:t>
            </m:r>
            <m:r>
              <m:rPr>
                <m:sty m:val="p"/>
              </m:rPr>
              <m:t>/</m:t>
            </m:r>
            <m:r>
              <m:rPr/>
              <m:t>5</m:t>
            </m:r>
          </m:sup>
        </m:sSup>
      </m:oMath>
      <w:r>
        <w:t xml:space="preserve"> under Case (b); this result is a direct algebraic corollary of the adopted axiom system;</w:t>
      </w:r>
    </w:p>
    <w:p w14:paraId="7F2739E4">
      <w:pPr>
        <w:pStyle w:val="26"/>
        <w:numPr>
          <w:ilvl w:val="0"/>
          <w:numId w:val="6"/>
        </w:numPr>
      </w:pPr>
      <w:r>
        <w:t xml:space="preserve">Through three post‑hoc assignment schemes, the numerical compatibility of the parameter </w:t>
      </w:r>
      <m:oMath>
        <m:sSub>
          <m:sSubPr/>
          <m:e>
            <m:r>
              <m:rPr/>
              <m:t>ℓ</m:t>
            </m:r>
          </m:e>
          <m:sub>
            <m:r>
              <m:rPr/>
              <m:t>0</m:t>
            </m:r>
          </m:sub>
        </m:sSub>
      </m:oMath>
      <w:r>
        <w:t xml:space="preserve"> with known microscopic scales is illustrated, among which the Bohr radius scheme places </w:t>
      </w:r>
      <m:oMath>
        <m:sSub>
          <m:sSubPr/>
          <m:e>
            <m:r>
              <m:rPr/>
              <m:t>R</m:t>
            </m:r>
          </m:e>
          <m:sub>
            <m:r>
              <m:rPr/>
              <m:t>A0</m:t>
            </m:r>
          </m:sub>
        </m:sSub>
      </m:oMath>
      <w:r>
        <w:t xml:space="preserve"> at the order of </w:t>
      </w:r>
      <m:oMath>
        <m:r>
          <m:rPr/>
          <m:t>0.265 </m:t>
        </m:r>
        <m:r>
          <m:rPr>
            <m:sty m:val="p"/>
          </m:rPr>
          <m:t>Å</m:t>
        </m:r>
      </m:oMath>
      <w:r>
        <w:t>;</w:t>
      </w:r>
    </w:p>
    <w:p w14:paraId="7C4749E7">
      <w:pPr>
        <w:pStyle w:val="26"/>
        <w:numPr>
          <w:ilvl w:val="0"/>
          <w:numId w:val="6"/>
        </w:numPr>
      </w:pPr>
      <w:r>
        <w:t>A dual comparison table with the A10 hadronic high‑energy cascade has been established, clarifying the low‑energy electron end positioning of B54 within the FCWFT lineage;</w:t>
      </w:r>
    </w:p>
    <w:p w14:paraId="16AEA8CD">
      <w:pPr>
        <w:pStyle w:val="26"/>
        <w:numPr>
          <w:ilvl w:val="0"/>
          <w:numId w:val="6"/>
        </w:numPr>
      </w:pPr>
      <w:r>
        <w:t>All open parameters and unestablished causal mechanisms of the framework are honestly acknowledged; no testable prediction is claimed.</w:t>
      </w:r>
    </w:p>
    <w:bookmarkEnd w:id="28"/>
    <w:p w14:paraId="360DEA94">
      <w:pPr>
        <w:pStyle w:val="6"/>
      </w:pPr>
      <w:bookmarkStart w:id="29" w:name="future-research-directions"/>
      <w:r>
        <w:t>7.2 Future Research Directions</w:t>
      </w:r>
    </w:p>
    <w:p w14:paraId="2998E8C9">
      <w:pPr>
        <w:pStyle w:val="26"/>
        <w:numPr>
          <w:ilvl w:val="0"/>
          <w:numId w:val="7"/>
        </w:numPr>
      </w:pPr>
      <w:r>
        <w:t xml:space="preserve">Seek an independent derivation for </w:t>
      </w:r>
      <m:oMath>
        <m:r>
          <m:rPr/>
          <m:t>f</m:t>
        </m:r>
        <m:r>
          <m:rPr>
            <m:sty m:val="p"/>
          </m:rPr>
          <m:t>∝</m:t>
        </m:r>
        <m:sSubSup>
          <m:sSubSupPr/>
          <m:e>
            <m:r>
              <m:rPr/>
              <m:t>R</m:t>
            </m:r>
          </m:e>
          <m:sub>
            <m:r>
              <m:rPr/>
              <m:t>A</m:t>
            </m:r>
          </m:sub>
          <m:sup>
            <m:r>
              <m:rPr/>
              <m:t>4</m:t>
            </m:r>
          </m:sup>
        </m:sSubSup>
      </m:oMath>
      <w:r>
        <w:t xml:space="preserve"> to eliminate the circular dependency in Case (a);</w:t>
      </w:r>
    </w:p>
    <w:p w14:paraId="68A99FE6">
      <w:pPr>
        <w:pStyle w:val="26"/>
        <w:numPr>
          <w:ilvl w:val="0"/>
          <w:numId w:val="7"/>
        </w:numPr>
      </w:pPr>
      <w:r>
        <w:t xml:space="preserve">Determine </w:t>
      </w:r>
      <m:oMath>
        <m:sSub>
          <m:sSubPr/>
          <m:e>
            <m:r>
              <m:rPr/>
              <m:t>ℓ</m:t>
            </m:r>
          </m:e>
          <m:sub>
            <m:r>
              <m:rPr/>
              <m:t>0</m:t>
            </m:r>
          </m:sub>
        </m:sSub>
      </m:oMath>
      <w:r>
        <w:t xml:space="preserve"> and </w:t>
      </w:r>
      <m:oMath>
        <m:sSub>
          <m:sSubPr/>
          <m:e>
            <m:r>
              <m:rPr/>
              <m:t>G</m:t>
            </m:r>
          </m:e>
          <m:sub>
            <m:r>
              <m:rPr>
                <m:sty m:val="p"/>
              </m:rPr>
              <m:t>FC</m:t>
            </m:r>
          </m:sub>
        </m:sSub>
      </m:oMath>
      <w:r>
        <w:t xml:space="preserve"> through experimental or theoretical constraints to close the framework parameters;</w:t>
      </w:r>
    </w:p>
    <w:p w14:paraId="0380AE2E">
      <w:pPr>
        <w:pStyle w:val="26"/>
        <w:numPr>
          <w:ilvl w:val="0"/>
          <w:numId w:val="7"/>
        </w:numPr>
      </w:pPr>
      <w:r>
        <w:t>Establish a specific causal mechanism between A‑field topological contraction and the TEM diffraction angle, upgrading the scaling exercise to a testable model;</w:t>
      </w:r>
    </w:p>
    <w:p w14:paraId="401E4D5A">
      <w:pPr>
        <w:pStyle w:val="26"/>
        <w:numPr>
          <w:ilvl w:val="0"/>
          <w:numId w:val="7"/>
        </w:numPr>
      </w:pPr>
      <w:r>
        <w:t>Develop a four‑level saturation criterion analogous to A10 to provide acceleration/cooling termination conditions for the electron low‑energy end;</w:t>
      </w:r>
    </w:p>
    <w:p w14:paraId="6DEB8A3F">
      <w:pPr>
        <w:pStyle w:val="26"/>
        <w:numPr>
          <w:ilvl w:val="0"/>
          <w:numId w:val="7"/>
        </w:numPr>
      </w:pPr>
      <w:r>
        <w:t>Further clarify the correspondence between the three‑field axiomatic structure and the standard model field theory system.</w:t>
      </w:r>
    </w:p>
    <w:bookmarkEnd w:id="29"/>
    <w:p w14:paraId="629C4D7A">
      <w:pPr>
        <w:pStyle w:val="6"/>
      </w:pPr>
      <w:bookmarkStart w:id="30" w:name="final-declaration"/>
      <w:r>
        <w:t>7.3 Final Declaration</w:t>
      </w:r>
    </w:p>
    <w:p w14:paraId="11EF884E">
      <w:pPr>
        <w:pStyle w:val="4"/>
      </w:pPr>
      <w:r>
        <w:t>This paper is an exploratory scaling exercise within the FCWFT system. All axioms, hypotheses, and algebraic corollaries explicitly state their current status (hypothetical/algebraic corollary/to be established/open problem) and contain no undisclosed implicit assumptions. This paper does not claim to have discovered new physical laws, nor does it claim to replace or modify standard quantum mechanics and QED. The academic value of this paper lies in: honestly acknowledging its limitations while filling the low‑energy electron gap in the FCWFT lineage, and forming a preliminary low‑high energy dual with A10.</w:t>
      </w:r>
    </w:p>
    <w:bookmarkEnd w:id="27"/>
    <w:bookmarkEnd w:id="30"/>
    <w:p w14:paraId="645B53E6">
      <w:pPr>
        <w:pStyle w:val="5"/>
      </w:pPr>
      <w:bookmarkStart w:id="31" w:name="X839472b026346bdadcc3d258e21c2a3898e962e"/>
      <w:r>
        <w:t>Appendix A: Comparison Table of Three Cases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1003"/>
        <w:gridCol w:w="1061"/>
        <w:gridCol w:w="2082"/>
        <w:gridCol w:w="2376"/>
      </w:tblGrid>
      <w:tr w14:paraId="51A14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4CFB442">
            <w:pPr>
              <w:pStyle w:val="26"/>
              <w:jc w:val="center"/>
            </w:pPr>
            <w:r>
              <w:rPr>
                <w:b/>
              </w:rPr>
              <w:t>Scenario</w:t>
            </w:r>
          </w:p>
        </w:tc>
        <w:tc>
          <w:tcPr>
            <w:shd w:val="clear" w:color="auto" w:fill="B9CDE5"/>
            <w:vAlign w:val="center"/>
          </w:tcPr>
          <w:p w14:paraId="77DADE4D">
            <w:pPr>
              <w:pStyle w:val="26"/>
              <w:jc w:val="center"/>
            </w:pPr>
            <m:oMathPara>
              <m:oMath>
                <m:r>
                  <m:rPr/>
                  <m:t>f</m:t>
                </m:r>
                <m:r>
                  <m:rPr>
                    <m:sty m:val="p"/>
                  </m:rPr>
                  <m:t>(</m:t>
                </m:r>
                <m:sSub>
                  <m:sSubPr/>
                  <m:e>
                    <m:r>
                      <m:rPr/>
                      <m:t>R</m:t>
                    </m:r>
                  </m:e>
                  <m:sub>
                    <m:r>
                      <m:rPr/>
                      <m:t>A</m:t>
                    </m:r>
                  </m:sub>
                </m:sSub>
                <m:r>
                  <m:rPr>
                    <m:sty m:val="p"/>
                  </m:rPr>
                  <m:t>)</m:t>
                </m:r>
              </m:oMath>
            </m:oMathPara>
          </w:p>
        </w:tc>
        <w:tc>
          <w:tcPr>
            <w:shd w:val="clear" w:color="auto" w:fill="B9CDE5"/>
            <w:vAlign w:val="center"/>
          </w:tcPr>
          <w:p w14:paraId="42378A94">
            <w:pPr>
              <w:pStyle w:val="26"/>
              <w:jc w:val="center"/>
            </w:pPr>
            <m:oMath>
              <m:sSub>
                <m:sSubPr/>
                <m:e>
                  <m:r>
                    <m:rPr/>
                    <m:t>R</m:t>
                  </m:r>
                </m:e>
                <m:sub>
                  <m:r>
                    <m:rPr/>
                    <m:t>A</m:t>
                  </m:r>
                </m:sub>
              </m:sSub>
            </m:oMath>
            <w:r>
              <w:rPr>
                <w:b/>
              </w:rPr>
              <w:t xml:space="preserve"> Scaling</w:t>
            </w:r>
          </w:p>
        </w:tc>
        <w:tc>
          <w:tcPr>
            <w:shd w:val="clear" w:color="auto" w:fill="B9CDE5"/>
            <w:vAlign w:val="center"/>
          </w:tcPr>
          <w:p w14:paraId="333AFB8B">
            <w:pPr>
              <w:pStyle w:val="26"/>
              <w:jc w:val="center"/>
            </w:pPr>
            <w:r>
              <w:rPr>
                <w:b/>
              </w:rPr>
              <w:t xml:space="preserve">Wave‑Particle Weight </w:t>
            </w:r>
            <m:oMath>
              <m:r>
                <m:rPr/>
                <m:t>P</m:t>
              </m:r>
              <m:r>
                <m:rPr>
                  <m:sty m:val="p"/>
                </m:rPr>
                <m:t>/</m:t>
              </m:r>
              <m:r>
                <m:rPr/>
                <m:t>W</m:t>
              </m:r>
            </m:oMath>
          </w:p>
        </w:tc>
        <w:tc>
          <w:tcPr>
            <w:shd w:val="clear" w:color="auto" w:fill="B9CDE5"/>
            <w:vAlign w:val="center"/>
          </w:tcPr>
          <w:p w14:paraId="0E7D9562">
            <w:pPr>
              <w:pStyle w:val="26"/>
              <w:jc w:val="center"/>
            </w:pPr>
            <w:r>
              <w:rPr>
                <w:b/>
              </w:rPr>
              <w:t>Status</w:t>
            </w:r>
          </w:p>
        </w:tc>
      </w:tr>
      <w:tr w14:paraId="63820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3589F60">
            <w:pPr>
              <w:pStyle w:val="26"/>
              <w:jc w:val="center"/>
            </w:pPr>
            <w:r>
              <w:t>(a) Topological Feedback</w:t>
            </w:r>
          </w:p>
        </w:tc>
        <w:tc>
          <w:tcPr>
            <w:vAlign w:val="center"/>
          </w:tcPr>
          <w:p w14:paraId="491C9CBE">
            <w:pPr>
              <w:pStyle w:val="26"/>
              <w:jc w:val="center"/>
            </w:pPr>
            <m:oMathPara>
              <m:oMath>
                <m:sSubSup>
                  <m:sSubSupPr/>
                  <m:e>
                    <m:r>
                      <m:rPr/>
                      <m:t>R</m:t>
                    </m:r>
                  </m:e>
                  <m:sub>
                    <m:r>
                      <m:rPr/>
                      <m:t>A</m:t>
                    </m:r>
                  </m:sub>
                  <m:sup>
                    <m:r>
                      <m:rPr/>
                      <m:t>4</m:t>
                    </m:r>
                  </m:sup>
                </m:sSubSup>
              </m:oMath>
            </m:oMathPara>
          </w:p>
        </w:tc>
        <w:tc>
          <w:tcPr>
            <w:vAlign w:val="center"/>
          </w:tcPr>
          <w:p w14:paraId="1B8124FD">
            <w:pPr>
              <w:pStyle w:val="26"/>
              <w:jc w:val="center"/>
            </w:pPr>
            <m:oMathPara>
              <m:oMath>
                <m:sSup>
                  <m:sSupPr/>
                  <m:e>
                    <m:r>
                      <m:rPr/>
                      <m:t>γ</m:t>
                    </m:r>
                  </m:e>
                  <m:sup>
                    <m:r>
                      <m:rPr>
                        <m:sty m:val="p"/>
                      </m:rPr>
                      <m:t>−</m:t>
                    </m:r>
                    <m:r>
                      <m:rPr/>
                      <m:t>1</m:t>
                    </m:r>
                  </m:sup>
                </m:sSup>
              </m:oMath>
            </m:oMathPara>
          </w:p>
        </w:tc>
        <w:tc>
          <w:tcPr>
            <w:vAlign w:val="center"/>
          </w:tcPr>
          <w:p w14:paraId="7AC8C1C9">
            <w:pPr>
              <w:pStyle w:val="26"/>
              <w:jc w:val="center"/>
            </w:pPr>
            <m:oMathPara>
              <m:oMath>
                <m:sSup>
                  <m:sSupPr/>
                  <m:e>
                    <m:r>
                      <m:rPr/>
                      <m:t>γ</m:t>
                    </m:r>
                  </m:e>
                  <m:sup>
                    <m:r>
                      <m:rPr/>
                      <m:t>2</m:t>
                    </m:r>
                  </m:sup>
                </m:sSup>
              </m:oMath>
            </m:oMathPara>
          </w:p>
        </w:tc>
        <w:tc>
          <w:tcPr>
            <w:vAlign w:val="center"/>
          </w:tcPr>
          <w:p w14:paraId="75AD448F">
            <w:pPr>
              <w:pStyle w:val="26"/>
              <w:jc w:val="center"/>
            </w:pPr>
            <w:r>
              <w:t>Hypothetical, lacks independent derivation</w:t>
            </w:r>
          </w:p>
        </w:tc>
      </w:tr>
      <w:tr w14:paraId="33BA4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C919562">
            <w:pPr>
              <w:pStyle w:val="26"/>
              <w:jc w:val="center"/>
            </w:pPr>
            <w:r>
              <w:t>(b) No Feedback</w:t>
            </w:r>
          </w:p>
        </w:tc>
        <w:tc>
          <w:tcPr>
            <w:vAlign w:val="center"/>
          </w:tcPr>
          <w:p w14:paraId="2F2EC809">
            <w:pPr>
              <w:pStyle w:val="26"/>
              <w:jc w:val="center"/>
            </w:pPr>
            <m:oMathPara>
              <m:oMath>
                <m:r>
                  <m:rPr>
                    <m:sty m:val="p"/>
                  </m:rPr>
                  <m:t>const</m:t>
                </m:r>
              </m:oMath>
            </m:oMathPara>
          </w:p>
        </w:tc>
        <w:tc>
          <w:tcPr>
            <w:vAlign w:val="center"/>
          </w:tcPr>
          <w:p w14:paraId="31A5C936">
            <w:pPr>
              <w:pStyle w:val="26"/>
              <w:jc w:val="center"/>
            </w:pPr>
            <m:oMathPara>
              <m:oMath>
                <m:sSup>
                  <m:sSupPr/>
                  <m:e>
                    <m:r>
                      <m:rPr/>
                      <m:t>γ</m:t>
                    </m:r>
                  </m:e>
                  <m:sup>
                    <m:r>
                      <m:rPr>
                        <m:sty m:val="p"/>
                      </m:rPr>
                      <m:t>−</m:t>
                    </m:r>
                    <m:r>
                      <m:rPr/>
                      <m:t>1</m:t>
                    </m:r>
                    <m:r>
                      <m:rPr>
                        <m:sty m:val="p"/>
                      </m:rPr>
                      <m:t>/</m:t>
                    </m:r>
                    <m:r>
                      <m:rPr/>
                      <m:t>5</m:t>
                    </m:r>
                  </m:sup>
                </m:sSup>
              </m:oMath>
            </m:oMathPara>
          </w:p>
        </w:tc>
        <w:tc>
          <w:tcPr>
            <w:vAlign w:val="center"/>
          </w:tcPr>
          <w:p w14:paraId="62A8674B">
            <w:pPr>
              <w:pStyle w:val="26"/>
              <w:jc w:val="center"/>
            </w:pPr>
            <m:oMathPara>
              <m:oMath>
                <m:sSup>
                  <m:sSupPr/>
                  <m:e>
                    <m:r>
                      <m:rPr/>
                      <m:t>γ</m:t>
                    </m:r>
                  </m:e>
                  <m:sup>
                    <m:r>
                      <m:rPr/>
                      <m:t>6</m:t>
                    </m:r>
                    <m:r>
                      <m:rPr>
                        <m:sty m:val="p"/>
                      </m:rPr>
                      <m:t>/</m:t>
                    </m:r>
                    <m:r>
                      <m:rPr/>
                      <m:t>5</m:t>
                    </m:r>
                  </m:sup>
                </m:sSup>
              </m:oMath>
            </m:oMathPara>
          </w:p>
        </w:tc>
        <w:tc>
          <w:tcPr>
            <w:vAlign w:val="center"/>
          </w:tcPr>
          <w:p w14:paraId="2BD69339">
            <w:pPr>
              <w:pStyle w:val="26"/>
              <w:jc w:val="center"/>
            </w:pPr>
            <w:r>
              <w:t>Algebraic corollary, parameters open</w:t>
            </w:r>
          </w:p>
        </w:tc>
      </w:tr>
      <w:tr w14:paraId="20030D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98AE134">
            <w:pPr>
              <w:pStyle w:val="26"/>
              <w:jc w:val="center"/>
            </w:pPr>
            <w:r>
              <w:t>(c) Other</w:t>
            </w:r>
          </w:p>
        </w:tc>
        <w:tc>
          <w:tcPr>
            <w:vAlign w:val="center"/>
          </w:tcPr>
          <w:p w14:paraId="5595A225">
            <w:pPr>
              <w:pStyle w:val="26"/>
              <w:jc w:val="center"/>
            </w:pPr>
            <w:r>
              <w:t>Pending</w:t>
            </w:r>
          </w:p>
        </w:tc>
        <w:tc>
          <w:tcPr>
            <w:vAlign w:val="center"/>
          </w:tcPr>
          <w:p w14:paraId="370E3808">
            <w:pPr>
              <w:pStyle w:val="26"/>
              <w:jc w:val="center"/>
            </w:pPr>
            <w:r>
              <w:t>Other</w:t>
            </w:r>
          </w:p>
        </w:tc>
        <w:tc>
          <w:tcPr>
            <w:vAlign w:val="center"/>
          </w:tcPr>
          <w:p w14:paraId="6AF8A879">
            <w:pPr>
              <w:pStyle w:val="26"/>
              <w:jc w:val="center"/>
            </w:pPr>
            <w:r>
              <w:t>Other</w:t>
            </w:r>
          </w:p>
        </w:tc>
        <w:tc>
          <w:tcPr>
            <w:vAlign w:val="center"/>
          </w:tcPr>
          <w:p w14:paraId="61345C7A">
            <w:pPr>
              <w:pStyle w:val="26"/>
              <w:jc w:val="center"/>
            </w:pPr>
            <w:r>
              <w:t>Open</w:t>
            </w:r>
          </w:p>
        </w:tc>
      </w:tr>
      <w:bookmarkEnd w:id="31"/>
    </w:tbl>
    <w:p w14:paraId="6B2E86E9">
      <w:pPr>
        <w:pStyle w:val="5"/>
      </w:pPr>
      <w:bookmarkStart w:id="32" w:name="X302bcde15ab12f32b9e27b46c5c4f8f3511fc9a"/>
      <w:r>
        <w:t xml:space="preserve">Appendix B: Numerical Impact of Post‑Hoc </w:t>
      </w:r>
      <m:oMath>
        <m:sSub>
          <m:sSubPr/>
          <m:e>
            <m:r>
              <m:rPr/>
              <m:t>ℓ</m:t>
            </m:r>
          </m:e>
          <m:sub>
            <m:r>
              <m:rPr/>
              <m:t>0</m:t>
            </m:r>
          </m:sub>
        </m:sSub>
      </m:oMath>
      <w:r>
        <w:t xml:space="preserve"> Assignment Schemes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37"/>
        <w:gridCol w:w="1039"/>
        <w:gridCol w:w="1922"/>
        <w:gridCol w:w="3398"/>
      </w:tblGrid>
      <w:tr w14:paraId="558E3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48D20B44">
            <w:pPr>
              <w:pStyle w:val="26"/>
              <w:jc w:val="center"/>
            </w:pPr>
            <w:r>
              <w:rPr>
                <w:b/>
              </w:rPr>
              <w:t>Scheme</w:t>
            </w:r>
          </w:p>
        </w:tc>
        <w:tc>
          <w:tcPr>
            <w:shd w:val="clear" w:color="auto" w:fill="B9CDE5"/>
            <w:vAlign w:val="center"/>
          </w:tcPr>
          <w:p w14:paraId="10BE223B">
            <w:pPr>
              <w:pStyle w:val="26"/>
              <w:jc w:val="center"/>
            </w:pPr>
            <m:oMath>
              <m:sSub>
                <m:sSubPr/>
                <m:e>
                  <m:r>
                    <m:rPr/>
                    <m:t>ℓ</m:t>
                  </m:r>
                </m:e>
                <m:sub>
                  <m:r>
                    <m:rPr/>
                    <m:t>0</m:t>
                  </m:r>
                </m:sub>
              </m:sSub>
            </m:oMath>
            <w:r>
              <w:rPr>
                <w:b/>
              </w:rPr>
              <w:t xml:space="preserve"> Value</w:t>
            </w:r>
          </w:p>
        </w:tc>
        <w:tc>
          <w:tcPr>
            <w:shd w:val="clear" w:color="auto" w:fill="B9CDE5"/>
            <w:vAlign w:val="center"/>
          </w:tcPr>
          <w:p w14:paraId="257430F6">
            <w:pPr>
              <w:pStyle w:val="26"/>
              <w:jc w:val="center"/>
            </w:pPr>
            <m:oMath>
              <m:sSub>
                <m:sSubPr/>
                <m:e>
                  <m:r>
                    <m:rPr/>
                    <m:t>R</m:t>
                  </m:r>
                </m:e>
                <m:sub>
                  <m:r>
                    <m:rPr/>
                    <m:t>A0</m:t>
                  </m:r>
                </m:sub>
              </m:sSub>
            </m:oMath>
            <w:r>
              <w:rPr>
                <w:b/>
              </w:rPr>
              <w:t xml:space="preserve"> Order of Magnitude</w:t>
            </w:r>
          </w:p>
        </w:tc>
        <w:tc>
          <w:tcPr>
            <w:shd w:val="clear" w:color="auto" w:fill="B9CDE5"/>
            <w:vAlign w:val="center"/>
          </w:tcPr>
          <w:p w14:paraId="3D41F170">
            <w:pPr>
              <w:pStyle w:val="26"/>
              <w:jc w:val="center"/>
            </w:pPr>
            <w:r>
              <w:rPr>
                <w:b/>
              </w:rPr>
              <w:t>Match with TEM Scale</w:t>
            </w:r>
          </w:p>
        </w:tc>
      </w:tr>
      <w:tr w14:paraId="62BB1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090C168">
            <w:pPr>
              <w:pStyle w:val="26"/>
              <w:jc w:val="center"/>
            </w:pPr>
            <w:r>
              <w:t>Classical Electron Radius</w:t>
            </w:r>
          </w:p>
        </w:tc>
        <w:tc>
          <w:tcPr>
            <w:vAlign w:val="center"/>
          </w:tcPr>
          <w:p w14:paraId="5A6075EB">
            <w:pPr>
              <w:pStyle w:val="26"/>
              <w:jc w:val="center"/>
            </w:pPr>
            <m:oMathPara>
              <m:oMath>
                <m:r>
                  <m:rPr/>
                  <m:t>2.82 </m:t>
                </m:r>
                <m:r>
                  <m:rPr>
                    <m:sty m:val="p"/>
                  </m:rPr>
                  <m:t>fm</m:t>
                </m:r>
              </m:oMath>
            </m:oMathPara>
          </w:p>
        </w:tc>
        <w:tc>
          <w:tcPr>
            <w:vAlign w:val="center"/>
          </w:tcPr>
          <w:p w14:paraId="5DC35774">
            <w:pPr>
              <w:pStyle w:val="26"/>
              <w:jc w:val="center"/>
            </w:pPr>
            <w:r>
              <w:t>Extremely small (</w:t>
            </w:r>
            <m:oMath>
              <m:r>
                <m:rPr>
                  <m:sty m:val="p"/>
                </m:rPr>
                <m:t>≪Å</m:t>
              </m:r>
            </m:oMath>
            <w:r>
              <w:t>)</w:t>
            </w:r>
          </w:p>
        </w:tc>
        <w:tc>
          <w:tcPr>
            <w:vAlign w:val="center"/>
          </w:tcPr>
          <w:p w14:paraId="49CA003A">
            <w:pPr>
              <w:pStyle w:val="26"/>
              <w:jc w:val="center"/>
            </w:pPr>
            <w:r>
              <w:t>❌ Mismatch</w:t>
            </w:r>
          </w:p>
        </w:tc>
      </w:tr>
      <w:tr w14:paraId="36563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28D0BA2">
            <w:pPr>
              <w:pStyle w:val="26"/>
              <w:jc w:val="center"/>
            </w:pPr>
            <w:r>
              <w:t>Bohr Radius</w:t>
            </w:r>
          </w:p>
        </w:tc>
        <w:tc>
          <w:tcPr>
            <w:vAlign w:val="center"/>
          </w:tcPr>
          <w:p w14:paraId="2034F274">
            <w:pPr>
              <w:pStyle w:val="26"/>
              <w:jc w:val="center"/>
            </w:pPr>
            <m:oMathPara>
              <m:oMath>
                <m:r>
                  <m:rPr/>
                  <m:t>0.529 </m:t>
                </m:r>
                <m:r>
                  <m:rPr>
                    <m:sty m:val="p"/>
                  </m:rPr>
                  <m:t>Å</m:t>
                </m:r>
              </m:oMath>
            </m:oMathPara>
          </w:p>
        </w:tc>
        <w:tc>
          <w:tcPr>
            <w:vAlign w:val="center"/>
          </w:tcPr>
          <w:p w14:paraId="37BD7419">
            <w:pPr>
              <w:pStyle w:val="26"/>
              <w:jc w:val="center"/>
            </w:pPr>
            <m:oMathPara>
              <m:oMath>
                <m:r>
                  <m:rPr>
                    <m:sty m:val="p"/>
                  </m:rPr>
                  <m:t>∼</m:t>
                </m:r>
                <m:r>
                  <m:rPr/>
                  <m:t>0.265 </m:t>
                </m:r>
                <m:r>
                  <m:rPr>
                    <m:sty m:val="p"/>
                  </m:rPr>
                  <m:t>Å</m:t>
                </m:r>
              </m:oMath>
            </m:oMathPara>
          </w:p>
        </w:tc>
        <w:tc>
          <w:tcPr>
            <w:vAlign w:val="center"/>
          </w:tcPr>
          <w:p w14:paraId="1523B673">
            <w:pPr>
              <w:pStyle w:val="26"/>
              <w:jc w:val="center"/>
            </w:pPr>
            <w:r>
              <w:t>⚠️ Numerically compatible, no first‑principle justification</w:t>
            </w:r>
          </w:p>
        </w:tc>
      </w:tr>
      <w:tr w14:paraId="006C8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84BCE0D">
            <w:pPr>
              <w:pStyle w:val="26"/>
              <w:jc w:val="center"/>
            </w:pPr>
            <w:r>
              <w:t>Compton Wavelength</w:t>
            </w:r>
          </w:p>
        </w:tc>
        <w:tc>
          <w:tcPr>
            <w:vAlign w:val="center"/>
          </w:tcPr>
          <w:p w14:paraId="16D8E9D9">
            <w:pPr>
              <w:pStyle w:val="26"/>
              <w:jc w:val="center"/>
            </w:pPr>
            <m:oMathPara>
              <m:oMath>
                <m:r>
                  <m:rPr/>
                  <m:t>2.43 </m:t>
                </m:r>
                <m:r>
                  <m:rPr>
                    <m:sty m:val="p"/>
                  </m:rPr>
                  <m:t>pm</m:t>
                </m:r>
              </m:oMath>
            </m:oMathPara>
          </w:p>
        </w:tc>
        <w:tc>
          <w:tcPr>
            <w:vAlign w:val="center"/>
          </w:tcPr>
          <w:p w14:paraId="39A7B436">
            <w:pPr>
              <w:pStyle w:val="26"/>
              <w:jc w:val="center"/>
            </w:pPr>
            <w:r>
              <w:t>Sub‑Å</w:t>
            </w:r>
          </w:p>
        </w:tc>
        <w:tc>
          <w:tcPr>
            <w:vAlign w:val="center"/>
          </w:tcPr>
          <w:p w14:paraId="640C251C">
            <w:pPr>
              <w:pStyle w:val="26"/>
              <w:jc w:val="center"/>
            </w:pPr>
            <w:r>
              <w:t>⚠️ Possible</w:t>
            </w:r>
          </w:p>
        </w:tc>
      </w:tr>
      <w:bookmarkEnd w:id="32"/>
    </w:tbl>
    <w:p w14:paraId="0BD38BBD">
      <w:pPr>
        <w:pStyle w:val="5"/>
      </w:pPr>
      <w:bookmarkStart w:id="33" w:name="X3ce5cbc77fe220ae1a8144233bd071785536318"/>
      <w:r>
        <w:t>Appendix C: Detailed Dimensional Analysis for Case (b) Scaling Exercise</w:t>
      </w:r>
    </w:p>
    <w:p w14:paraId="13C9C616">
      <w:pPr>
        <w:pStyle w:val="4"/>
      </w:pPr>
      <w:r>
        <w:t xml:space="preserve">From the dimensional match of Eq. (1) under </w:t>
      </w:r>
      <m:oMath>
        <m:r>
          <m:rPr/>
          <m:t>f</m:t>
        </m:r>
        <m:r>
          <m:rPr>
            <m:sty m:val="p"/>
          </m:rPr>
          <m:t>=const</m:t>
        </m:r>
      </m:oMath>
      <w:r>
        <w:t>:</w:t>
      </w:r>
    </w:p>
    <w:p w14:paraId="7E7FD6CA">
      <w:pPr>
        <w:pStyle w:val="3"/>
      </w:pPr>
      <m:oMathPara>
        <m:oMathParaPr>
          <m:jc m:val="center"/>
        </m:oMathParaPr>
        <m:oMath>
          <m:sSubSup>
            <m:sSubSupPr/>
            <m:e>
              <m:r>
                <m:rPr/>
                <m:t>ℓ</m:t>
              </m:r>
            </m:e>
            <m:sub>
              <m:r>
                <m:rPr/>
                <m:t>0</m:t>
              </m:r>
            </m:sub>
            <m:sup>
              <m:r>
                <m:rPr/>
                <m:t>2</m:t>
              </m:r>
            </m:sup>
          </m:sSubSup>
          <m:r>
            <m:rPr>
              <m:sty m:val="p"/>
            </m:rPr>
            <m:t>⋅</m:t>
          </m:r>
          <m:f>
            <m:fPr/>
            <m:num>
              <m:sSub>
                <m:sSubPr/>
                <m:e>
                  <m:r>
                    <m:rPr/>
                    <m:t>ρ</m:t>
                  </m:r>
                </m:e>
                <m:sub>
                  <m:r>
                    <m:rPr/>
                    <m:t>A</m:t>
                  </m:r>
                </m:sub>
              </m:sSub>
            </m:num>
            <m:den>
              <m:sSubSup>
                <m:sSubSupPr/>
                <m:e>
                  <m:r>
                    <m:rPr/>
                    <m:t>R</m:t>
                  </m:r>
                </m:e>
                <m:sub>
                  <m:r>
                    <m:rPr/>
                    <m:t>A</m:t>
                  </m:r>
                </m:sub>
                <m:sup>
                  <m:r>
                    <m:rPr/>
                    <m:t>2</m:t>
                  </m:r>
                </m:sup>
              </m:sSubSup>
            </m:den>
          </m:f>
          <m:r>
            <m:rPr>
              <m:sty m:val="p"/>
            </m:rPr>
            <m:t>∼</m:t>
          </m:r>
          <m:sSub>
            <m:sSubPr/>
            <m:e>
              <m:r>
                <m:rPr/>
                <m:t>G</m:t>
              </m:r>
            </m:e>
            <m:sub>
              <m:r>
                <m:rPr>
                  <m:sty m:val="p"/>
                </m:rPr>
                <m:t>FC</m:t>
              </m:r>
            </m:sub>
          </m:sSub>
          <m:sSub>
            <m:sSubPr/>
            <m:e>
              <m:r>
                <m:rPr/>
                <m:t>ρ</m:t>
              </m:r>
            </m:e>
            <m:sub>
              <m:r>
                <m:rPr/>
                <m:t>C</m:t>
              </m:r>
            </m:sub>
          </m:sSub>
        </m:oMath>
      </m:oMathPara>
    </w:p>
    <w:p w14:paraId="68C14693">
      <w:pPr>
        <w:pStyle w:val="4"/>
      </w:pPr>
      <w:r>
        <w:t xml:space="preserve">where </w:t>
      </w:r>
      <m:oMath>
        <m:sSub>
          <m:sSubPr/>
          <m:e>
            <m:r>
              <m:rPr/>
              <m:t>ρ</m:t>
            </m:r>
          </m:e>
          <m:sub>
            <m:r>
              <m:rPr/>
              <m:t>A</m:t>
            </m:r>
          </m:sub>
        </m:sSub>
        <m:r>
          <m:rPr>
            <m:sty m:val="p"/>
          </m:rPr>
          <m:t>∼</m:t>
        </m:r>
        <m:sSubSup>
          <m:sSubSupPr/>
          <m:e>
            <m:r>
              <m:rPr/>
              <m:t>R</m:t>
            </m:r>
          </m:e>
          <m:sub>
            <m:r>
              <m:rPr/>
              <m:t>A</m:t>
            </m:r>
          </m:sub>
          <m:sup>
            <m:r>
              <m:rPr>
                <m:sty m:val="p"/>
              </m:rPr>
              <m:t>−</m:t>
            </m:r>
            <m:r>
              <m:rPr/>
              <m:t>3</m:t>
            </m:r>
          </m:sup>
        </m:sSubSup>
        <m:r>
          <m:rPr>
            <m:sty m:val="p"/>
          </m:rPr>
          <m:t>,</m:t>
        </m:r>
        <m:sSub>
          <m:sSubPr/>
          <m:e>
            <m:r>
              <m:rPr/>
              <m:t>ρ</m:t>
            </m:r>
          </m:e>
          <m:sub>
            <m:r>
              <m:rPr/>
              <m:t>C</m:t>
            </m:r>
          </m:sub>
        </m:sSub>
        <m:r>
          <m:rPr>
            <m:sty m:val="p"/>
          </m:rPr>
          <m:t>∼</m:t>
        </m:r>
        <m:r>
          <m:rPr/>
          <m:t>γ</m:t>
        </m:r>
      </m:oMath>
      <w:r>
        <w:t>. Substituting gives:</w:t>
      </w:r>
    </w:p>
    <w:p w14:paraId="084A1469">
      <w:pPr>
        <w:pStyle w:val="3"/>
      </w:pPr>
      <m:oMathPara>
        <m:oMathParaPr>
          <m:jc m:val="center"/>
        </m:oMathParaPr>
        <m:oMath>
          <m:sSubSup>
            <m:sSubSupPr/>
            <m:e>
              <m:r>
                <m:rPr/>
                <m:t>ℓ</m:t>
              </m:r>
            </m:e>
            <m:sub>
              <m:r>
                <m:rPr/>
                <m:t>0</m:t>
              </m:r>
            </m:sub>
            <m:sup>
              <m:r>
                <m:rPr/>
                <m:t>2</m:t>
              </m:r>
            </m:sup>
          </m:sSubSup>
          <m:sSubSup>
            <m:sSubSupPr/>
            <m:e>
              <m:r>
                <m:rPr/>
                <m:t>R</m:t>
              </m:r>
            </m:e>
            <m:sub>
              <m:r>
                <m:rPr/>
                <m:t>A</m:t>
              </m:r>
            </m:sub>
            <m:sup>
              <m:r>
                <m:rPr>
                  <m:sty m:val="p"/>
                </m:rPr>
                <m:t>−</m:t>
              </m:r>
              <m:r>
                <m:rPr/>
                <m:t>5</m:t>
              </m:r>
            </m:sup>
          </m:sSubSup>
          <m:r>
            <m:rPr>
              <m:sty m:val="p"/>
            </m:rPr>
            <m:t>∼</m:t>
          </m:r>
          <m:r>
            <m:rPr/>
            <m:t>γ</m:t>
          </m:r>
          <m:r>
            <m:rPr>
              <m:sty m:val="p"/>
            </m:rPr>
            <m:t>⟹</m:t>
          </m:r>
          <m:sSub>
            <m:sSubPr/>
            <m:e>
              <m:r>
                <m:rPr/>
                <m:t>R</m:t>
              </m:r>
            </m:e>
            <m:sub>
              <m:r>
                <m:rPr/>
                <m:t>A</m:t>
              </m:r>
            </m:sub>
          </m:sSub>
          <m:r>
            <m:rPr>
              <m:sty m:val="p"/>
            </m:rPr>
            <m:t>∼</m:t>
          </m:r>
          <m:sSup>
            <m:sSupPr/>
            <m:e>
              <m:r>
                <m:rPr/>
                <m:t>γ</m:t>
              </m:r>
            </m:e>
            <m:sup>
              <m:r>
                <m:rPr>
                  <m:sty m:val="p"/>
                </m:rPr>
                <m:t>−</m:t>
              </m:r>
              <m:r>
                <m:rPr/>
                <m:t>1</m:t>
              </m:r>
              <m:r>
                <m:rPr>
                  <m:sty m:val="p"/>
                </m:rPr>
                <m:t>/</m:t>
              </m:r>
              <m:r>
                <m:rPr/>
                <m:t>5</m:t>
              </m:r>
            </m:sup>
          </m:sSup>
        </m:oMath>
      </m:oMathPara>
    </w:p>
    <w:p w14:paraId="1889B3A1">
      <w:pPr>
        <w:pStyle w:val="4"/>
      </w:pPr>
      <w:r>
        <w:t>This is Eq. (5). This derivation involves no additional assumptions and is a rigorous algebraic result under Case (b).</w:t>
      </w:r>
    </w:p>
    <w:bookmarkEnd w:id="33"/>
    <w:p w14:paraId="6CF7024B">
      <w:pPr>
        <w:pStyle w:val="5"/>
      </w:pPr>
      <w:bookmarkStart w:id="34" w:name="references"/>
      <w:r>
        <w:t>References</w:t>
      </w:r>
    </w:p>
    <w:p w14:paraId="1486967A">
      <w:pPr>
        <w:pStyle w:val="4"/>
      </w:pPr>
      <w:r>
        <w:t>[1] Dirac P A M. The quantum theory of the electron. Proc. R. Soc. A, 1928, 117: 610.</w:t>
      </w:r>
      <w:r>
        <w:br w:type="textWrapping"/>
      </w:r>
      <w:r>
        <w:t>[2] Peskin M E, Schroeder D V. An Introduction to Quantum Field Theory. CRC Press, 1995.</w:t>
      </w:r>
      <w:r>
        <w:br w:type="textWrapping"/>
      </w:r>
      <w:r>
        <w:t>[3] de Broglie L. Recherches sur la théorie des quanta. Ann. Phys., 1925, 3: 22.</w:t>
      </w:r>
      <w:r>
        <w:br w:type="textWrapping"/>
      </w:r>
      <w:r>
        <w:t>[4] Davisson C, Germer L H. Diffraction of electrons by a crystal of nickel. Phys. Rev., 1927, 30: 705.</w:t>
      </w:r>
      <w:r>
        <w:br w:type="textWrapping"/>
      </w:r>
      <w:r>
        <w:t>[5] Erni R, et al. Atomic‑resolution imaging with a sub‑50‑pm electron probe. Phys. Rev. Lett., 2009, 102: 096101.</w:t>
      </w:r>
      <w:r>
        <w:br w:type="textWrapping"/>
      </w:r>
      <w:r>
        <w:t>[6] Cowley J M, Moodie A F. The scattering of electrons by atoms and crystals. Acta Cryst., 1957, 10: 609.</w:t>
      </w:r>
      <w:r>
        <w:br w:type="textWrapping"/>
      </w:r>
      <w:r>
        <w:t>[7] Majert S, Kohl H. Relativistic effects in elastic scattering of electrons. Ultramicroscopy, 2019, 197: 60.</w:t>
      </w:r>
      <w:r>
        <w:br w:type="textWrapping"/>
      </w:r>
      <w:r>
        <w:t>[8] Scully M O, Englert B‑G, Walther H. Quantum optical tests of complementarity. Nature, 1991, 351: 111.</w:t>
      </w:r>
      <w:r>
        <w:br w:type="textWrapping"/>
      </w:r>
      <w:r>
        <w:t>[9] Kirkland E J. Advanced Computing in Electron Microscopy. Springer, 3rd ed., 2020.</w:t>
      </w:r>
      <w:r>
        <w:br w:type="textWrapping"/>
      </w:r>
      <w:r>
        <w:t>[10] Rose H H. Geometrical Charged‑Particle Optics. Springer, 2009.</w:t>
      </w:r>
      <w:r>
        <w:br w:type="textWrapping"/>
      </w:r>
      <w:r>
        <w:t>[11] Reimer L. Transmission Electron Microscopy: Physics of Image Formation and Microanalysis. Springer, 1997.</w:t>
      </w:r>
      <w:r>
        <w:br w:type="textWrapping"/>
      </w:r>
      <w:r>
        <w:t>[12] Li Z J, Zhao G Y, Xue Y Y. A10: FCWFT framework neutron star merger giant β transformation cascade: B‑field topological pipeline hadron acceleration, heavy nucleus photodisintegration and super‑GZK cosmic ray first‑principle model, 2026 (internal series).</w:t>
      </w:r>
      <w:r>
        <w:br w:type="textWrapping"/>
      </w:r>
      <w:r>
        <w:t>[13] Li Z J, Zhao G Y, Xue Y Y. B14: Gamma‑ray burst shock bowstring cascade under FCWFT framework, 2026 (internal series).</w:t>
      </w:r>
      <w:r>
        <w:br w:type="textWrapping"/>
      </w:r>
      <w:r>
        <w:t>[14] Li Z J, Zhao G Y, Xue Y Y. B35/B36: Three‑field axioms and particle mass spectrum, 2026 (internal series).</w:t>
      </w:r>
    </w:p>
    <w:p w14:paraId="61F01ECA">
      <w:pPr>
        <w:pStyle w:val="3"/>
      </w:pPr>
      <w:bookmarkStart w:id="35" w:name="_GoBack"/>
      <w:bookmarkEnd w:id="35"/>
    </w:p>
    <w:bookmarkEnd w:id="0"/>
    <w:bookmarkEnd w:id="34"/>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MS PGothic">
    <w:panose1 w:val="020B0600070205080204"/>
    <w:charset w:val="80"/>
    <w:family w:val="auto"/>
    <w:pitch w:val="default"/>
    <w:sig w:usb0="E00002FF" w:usb1="6AC7FDFB" w:usb2="08000012" w:usb3="00000000" w:csb0="4002009F" w:csb1="DFD70000"/>
  </w:font>
  <w:font w:name="Segoe UI Emoji">
    <w:panose1 w:val="020B0502040204020203"/>
    <w:charset w:val="00"/>
    <w:family w:val="auto"/>
    <w:pitch w:val="default"/>
    <w:sig w:usb0="00000001"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367E3A4E"/>
    <w:rsid w:val="380A4A6F"/>
    <w:rsid w:val="444A6219"/>
    <w:rsid w:val="51BB0241"/>
    <w:rsid w:val="5A365D37"/>
    <w:rsid w:val="5F400B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basedOn w:val="37"/>
    <w:uiPriority w:val="0"/>
    <w:rPr>
      <w:b/>
      <w:color w:val="007020"/>
    </w:rPr>
  </w:style>
  <w:style w:type="character" w:customStyle="1" w:styleId="50">
    <w:name w:val="DataTypeTok"/>
    <w:basedOn w:val="37"/>
    <w:uiPriority w:val="0"/>
    <w:rPr>
      <w:color w:val="902000"/>
    </w:rPr>
  </w:style>
  <w:style w:type="character" w:customStyle="1" w:styleId="51">
    <w:name w:val="DecValTok"/>
    <w:basedOn w:val="37"/>
    <w:uiPriority w:val="0"/>
    <w:rPr>
      <w:color w:val="40A070"/>
    </w:rPr>
  </w:style>
  <w:style w:type="character" w:customStyle="1" w:styleId="52">
    <w:name w:val="BaseNTok"/>
    <w:basedOn w:val="37"/>
    <w:uiPriority w:val="0"/>
    <w:rPr>
      <w:color w:val="40A070"/>
    </w:rPr>
  </w:style>
  <w:style w:type="character" w:customStyle="1" w:styleId="53">
    <w:name w:val="FloatTok"/>
    <w:basedOn w:val="37"/>
    <w:uiPriority w:val="0"/>
    <w:rPr>
      <w:color w:val="40A070"/>
    </w:rPr>
  </w:style>
  <w:style w:type="character" w:customStyle="1" w:styleId="54">
    <w:name w:val="ConstantTok"/>
    <w:basedOn w:val="37"/>
    <w:uiPriority w:val="0"/>
    <w:rPr>
      <w:color w:val="880000"/>
    </w:rPr>
  </w:style>
  <w:style w:type="character" w:customStyle="1" w:styleId="55">
    <w:name w:val="CharTok"/>
    <w:basedOn w:val="37"/>
    <w:uiPriority w:val="0"/>
    <w:rPr>
      <w:color w:val="4070A0"/>
    </w:rPr>
  </w:style>
  <w:style w:type="character" w:customStyle="1" w:styleId="56">
    <w:name w:val="SpecialCharTok"/>
    <w:basedOn w:val="37"/>
    <w:uiPriority w:val="0"/>
    <w:rPr>
      <w:color w:val="4070A0"/>
    </w:rPr>
  </w:style>
  <w:style w:type="character" w:customStyle="1" w:styleId="57">
    <w:name w:val="StringTok"/>
    <w:basedOn w:val="37"/>
    <w:uiPriority w:val="0"/>
    <w:rPr>
      <w:color w:val="4070A0"/>
    </w:rPr>
  </w:style>
  <w:style w:type="character" w:customStyle="1" w:styleId="58">
    <w:name w:val="VerbatimStringTok"/>
    <w:basedOn w:val="37"/>
    <w:uiPriority w:val="0"/>
    <w:rPr>
      <w:color w:val="4070A0"/>
    </w:rPr>
  </w:style>
  <w:style w:type="character" w:customStyle="1" w:styleId="59">
    <w:name w:val="SpecialStringTok"/>
    <w:basedOn w:val="37"/>
    <w:uiPriority w:val="0"/>
    <w:rPr>
      <w:color w:val="BB6688"/>
    </w:rPr>
  </w:style>
  <w:style w:type="character" w:customStyle="1" w:styleId="60">
    <w:name w:val="ImportTok"/>
    <w:basedOn w:val="37"/>
    <w:uiPriority w:val="0"/>
    <w:rPr>
      <w:b/>
      <w:color w:val="008000"/>
    </w:rPr>
  </w:style>
  <w:style w:type="character" w:customStyle="1" w:styleId="61">
    <w:name w:val="CommentTok"/>
    <w:basedOn w:val="37"/>
    <w:uiPriority w:val="0"/>
    <w:rPr>
      <w:i/>
      <w:color w:val="60A0B0"/>
    </w:rPr>
  </w:style>
  <w:style w:type="character" w:customStyle="1" w:styleId="62">
    <w:name w:val="DocumentationTok"/>
    <w:basedOn w:val="37"/>
    <w:uiPriority w:val="0"/>
    <w:rPr>
      <w:i/>
      <w:color w:val="BA2121"/>
    </w:rPr>
  </w:style>
  <w:style w:type="character" w:customStyle="1" w:styleId="63">
    <w:name w:val="AnnotationTok"/>
    <w:basedOn w:val="37"/>
    <w:uiPriority w:val="0"/>
    <w:rPr>
      <w:b/>
      <w:i/>
      <w:color w:val="60A0B0"/>
    </w:rPr>
  </w:style>
  <w:style w:type="character" w:customStyle="1" w:styleId="64">
    <w:name w:val="CommentVarTok"/>
    <w:basedOn w:val="37"/>
    <w:uiPriority w:val="0"/>
    <w:rPr>
      <w:b/>
      <w:i/>
      <w:color w:val="60A0B0"/>
    </w:rPr>
  </w:style>
  <w:style w:type="character" w:customStyle="1" w:styleId="65">
    <w:name w:val="OtherTok"/>
    <w:basedOn w:val="37"/>
    <w:uiPriority w:val="0"/>
    <w:rPr>
      <w:color w:val="007020"/>
    </w:rPr>
  </w:style>
  <w:style w:type="character" w:customStyle="1" w:styleId="66">
    <w:name w:val="FunctionTok"/>
    <w:basedOn w:val="37"/>
    <w:uiPriority w:val="0"/>
    <w:rPr>
      <w:color w:val="06287E"/>
    </w:rPr>
  </w:style>
  <w:style w:type="character" w:customStyle="1" w:styleId="67">
    <w:name w:val="VariableTok"/>
    <w:basedOn w:val="37"/>
    <w:uiPriority w:val="0"/>
    <w:rPr>
      <w:color w:val="19177C"/>
    </w:rPr>
  </w:style>
  <w:style w:type="character" w:customStyle="1" w:styleId="68">
    <w:name w:val="ControlFlowTok"/>
    <w:basedOn w:val="37"/>
    <w:uiPriority w:val="0"/>
    <w:rPr>
      <w:b/>
      <w:color w:val="007020"/>
    </w:rPr>
  </w:style>
  <w:style w:type="character" w:customStyle="1" w:styleId="69">
    <w:name w:val="OperatorTok"/>
    <w:basedOn w:val="37"/>
    <w:uiPriority w:val="0"/>
    <w:rPr>
      <w:color w:val="666666"/>
    </w:rPr>
  </w:style>
  <w:style w:type="character" w:customStyle="1" w:styleId="70">
    <w:name w:val="BuiltInTok"/>
    <w:basedOn w:val="37"/>
    <w:uiPriority w:val="0"/>
    <w:rPr>
      <w:color w:val="008000"/>
    </w:rPr>
  </w:style>
  <w:style w:type="character" w:customStyle="1" w:styleId="71">
    <w:name w:val="ExtensionTok"/>
    <w:basedOn w:val="37"/>
    <w:uiPriority w:val="0"/>
  </w:style>
  <w:style w:type="character" w:customStyle="1" w:styleId="72">
    <w:name w:val="PreprocessorTok"/>
    <w:basedOn w:val="37"/>
    <w:uiPriority w:val="0"/>
    <w:rPr>
      <w:color w:val="BC7A00"/>
    </w:rPr>
  </w:style>
  <w:style w:type="character" w:customStyle="1" w:styleId="73">
    <w:name w:val="AttributeTok"/>
    <w:basedOn w:val="37"/>
    <w:uiPriority w:val="0"/>
    <w:rPr>
      <w:color w:val="7D9029"/>
    </w:rPr>
  </w:style>
  <w:style w:type="character" w:customStyle="1" w:styleId="74">
    <w:name w:val="RegionMarkerTok"/>
    <w:basedOn w:val="37"/>
    <w:uiPriority w:val="0"/>
  </w:style>
  <w:style w:type="character" w:customStyle="1" w:styleId="75">
    <w:name w:val="InformationTok"/>
    <w:basedOn w:val="37"/>
    <w:uiPriority w:val="0"/>
    <w:rPr>
      <w:b/>
      <w:i/>
      <w:color w:val="60A0B0"/>
    </w:rPr>
  </w:style>
  <w:style w:type="character" w:customStyle="1" w:styleId="76">
    <w:name w:val="WarningTok"/>
    <w:basedOn w:val="37"/>
    <w:uiPriority w:val="0"/>
    <w:rPr>
      <w:b/>
      <w:i/>
      <w:color w:val="60A0B0"/>
    </w:rPr>
  </w:style>
  <w:style w:type="character" w:customStyle="1" w:styleId="77">
    <w:name w:val="AlertTok"/>
    <w:basedOn w:val="37"/>
    <w:uiPriority w:val="0"/>
    <w:rPr>
      <w:b/>
      <w:color w:val="FF0000"/>
    </w:rPr>
  </w:style>
  <w:style w:type="character" w:customStyle="1" w:styleId="78">
    <w:name w:val="ErrorTok"/>
    <w:basedOn w:val="37"/>
    <w:uiPriority w:val="0"/>
    <w:rPr>
      <w:b/>
      <w:color w:val="FF0000"/>
    </w:rPr>
  </w:style>
  <w:style w:type="character" w:customStyle="1" w:styleId="79">
    <w:name w:val="NormalTok"/>
    <w:basedOn w:val="37"/>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15</Pages>
  <Words>983</Words>
  <Characters>5955</Characters>
  <Lines>283</Lines>
  <Paragraphs>310</Paragraphs>
  <TotalTime>3</TotalTime>
  <ScaleCrop>false</ScaleCrop>
  <LinksUpToDate>false</LinksUpToDate>
  <CharactersWithSpaces>6852</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2026-09-29T05:53:00Z</dcterms:created>
  <dc:creator>迈斯纳效应</dc:creator>
  <cp:lastModifiedBy>迈斯纳效应</cp:lastModifiedBy>
  <dcterms:modified xsi:type="dcterms:W3CDTF">2026-09-29T05:54:17Z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2052-12.1.0.28505</vt:lpwstr>
  </property>
  <property fmtid="{D5CDD505-2E9C-101B-9397-08002B2CF9AE}" pid="4" name="ICV">
    <vt:lpwstr>33534047C8F6454EB1E18F8E4A827AEF_12</vt:lpwstr>
  </property>
</Properties>
</file>