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DCBCD">
      <w:pPr>
        <w:pStyle w:val="2"/>
      </w:pPr>
      <w:bookmarkStart w:id="0" w:name="X1687c0b09ad04ccd5f4797390dd8851864fe616"/>
      <w:r>
        <w:rPr>
          <w:rFonts w:hint="eastAsia"/>
        </w:rPr>
        <w:t>B54：FCWFT</w:t>
      </w:r>
      <w:r>
        <w:t xml:space="preserve"> </w:t>
      </w:r>
      <w:r>
        <w:rPr>
          <w:rFonts w:hint="eastAsia"/>
        </w:rPr>
        <w:t>框架下相对论电子</w:t>
      </w:r>
      <w:r>
        <w:t xml:space="preserve"> A </w:t>
      </w:r>
      <w:r>
        <w:rPr>
          <w:rFonts w:hint="eastAsia"/>
        </w:rPr>
        <w:t>场拓扑标度的探索性研究——与</w:t>
      </w:r>
      <w:r>
        <w:t xml:space="preserve"> A10 </w:t>
      </w:r>
      <w:r>
        <w:rPr>
          <w:rFonts w:hint="eastAsia"/>
        </w:rPr>
        <w:t>强子级联的低能对偶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归属谱系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三场公理低能电子体系（与</w:t>
      </w:r>
      <w:r>
        <w:t xml:space="preserve"> A10 </w:t>
      </w:r>
      <w:r>
        <w:rPr>
          <w:rFonts w:hint="eastAsia"/>
        </w:rPr>
        <w:t>强子高能级联对偶）</w:t>
      </w:r>
      <w:r>
        <w:br w:type="textWrapping"/>
      </w:r>
      <w:r>
        <w:rPr>
          <w:rFonts w:hint="eastAsia"/>
          <w:b/>
          <w:bCs/>
        </w:rPr>
        <w:t>接续工作</w:t>
      </w:r>
      <w:r>
        <w:rPr>
          <w:rFonts w:hint="eastAsia"/>
        </w:rPr>
        <w:t>：B35/B36（三场公理、粒子质量谱）、A10（中子星合并强子级联）、B14（伽马暴轻子级联）</w:t>
      </w:r>
      <w:r>
        <w:br w:type="textWrapping"/>
      </w: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5B5D0CD6">
      <w:pPr>
        <w:pStyle w:val="4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36F13C50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：03.65.-w,</w:t>
      </w:r>
      <w:r>
        <w:t xml:space="preserve"> 31.15.-p, 41.75.-i, 07.78.+s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：FCWFT；A</w:t>
      </w:r>
      <w:r>
        <w:t xml:space="preserve"> </w:t>
      </w:r>
      <w:r>
        <w:rPr>
          <w:rFonts w:hint="eastAsia"/>
        </w:rPr>
        <w:t>场拓扑尺度；相对论电子；波粒二象性；TEM</w:t>
      </w:r>
      <w:r>
        <w:t xml:space="preserve"> </w:t>
      </w:r>
      <w:r>
        <w:rPr>
          <w:rFonts w:hint="eastAsia"/>
        </w:rPr>
        <w:t>原子分辨；低能对偶；探索性标度练习</w:t>
      </w:r>
    </w:p>
    <w:p w14:paraId="359176EC">
      <w:pPr>
        <w:pStyle w:val="5"/>
      </w:pPr>
      <w:bookmarkStart w:id="1" w:name="摘要"/>
      <w:r>
        <w:rPr>
          <w:rFonts w:hint="eastAsia"/>
        </w:rPr>
        <w:t>摘要</w:t>
      </w:r>
    </w:p>
    <w:p w14:paraId="608DAAF9">
      <w:pPr>
        <w:pStyle w:val="4"/>
      </w:pPr>
      <w:r>
        <w:rPr>
          <w:rFonts w:hint="eastAsia"/>
        </w:rPr>
        <w:t>本文在</w:t>
      </w:r>
      <w:r>
        <w:t xml:space="preserve"> FCWFT </w:t>
      </w:r>
      <w:r>
        <w:rPr>
          <w:rFonts w:hint="eastAsia"/>
        </w:rPr>
        <w:t>三场分解框架下，对相对论电子的</w:t>
      </w:r>
      <w:r>
        <w:t xml:space="preserve"> A </w:t>
      </w:r>
      <w:r>
        <w:rPr>
          <w:rFonts w:hint="eastAsia"/>
        </w:rPr>
        <w:t>场（自旋</w:t>
      </w:r>
      <w:r>
        <w:t xml:space="preserve"> </w:t>
      </w:r>
      <w:r>
        <w:rPr>
          <w:rFonts w:hint="eastAsia"/>
        </w:rPr>
        <w:t>1，承载波动性）拓扑弥散尺度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的相对论标度进行探索性代数练习。基于</w:t>
      </w:r>
      <w:r>
        <w:t xml:space="preserve"> A–C </w:t>
      </w:r>
      <w:r>
        <w:rPr>
          <w:rFonts w:hint="eastAsia"/>
        </w:rPr>
        <w:t>拓扑泊松型约束方程与拓扑信息守恒公理，在最简单的无拓扑反馈假设（</w:t>
      </w: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)=const</m:t>
        </m:r>
      </m:oMath>
      <w:r>
        <w:rPr>
          <w:rFonts w:hint="eastAsia"/>
        </w:rPr>
        <w:t>）下，通过量纲标度匹配得到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γ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5</m:t>
            </m:r>
          </m:sup>
        </m:sSup>
      </m:oMath>
      <w:r>
        <w:rPr>
          <w:rFonts w:hint="eastAsia"/>
        </w:rPr>
        <w:t>。该标度关系是所采纳公理体系的代数推论，而非动力学推导；所有参数（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/>
              <m:t>A0</m:t>
            </m:r>
          </m:sub>
        </m:sSub>
      </m:oMath>
      <w:r>
        <w:rPr>
          <w:rFonts w:hint="eastAsia"/>
        </w:rPr>
        <w:t>）均为开放参数，文中仅以玻尔半径尺度为例进行事后赋值，以展示数值相容性。</w:t>
      </w:r>
    </w:p>
    <w:p w14:paraId="644B5781">
      <w:pPr>
        <w:pStyle w:val="3"/>
      </w:pPr>
      <w:r>
        <w:rPr>
          <w:rFonts w:hint="eastAsia"/>
        </w:rPr>
        <w:t>本文定性讨论了该标度与原子分辨透射电子显微术（TEM）的可能联系，但未建立从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到衍射角的因果机制，因此不声称任何可检验预言。本文将自身定位为</w:t>
      </w:r>
      <w:r>
        <w:t xml:space="preserve"> A10 </w:t>
      </w:r>
      <w:r>
        <w:rPr>
          <w:rFonts w:hint="eastAsia"/>
        </w:rPr>
        <w:t>强子高能级联的低能对偶，共享同一三场范式和同样的参数开放性声明。本文不替代或竞争标准相对论电子描述（德布罗意关系、狄拉克方程、多切片</w:t>
      </w:r>
      <w:r>
        <w:t xml:space="preserve"> TEM </w:t>
      </w:r>
      <w:r>
        <w:rPr>
          <w:rFonts w:hint="eastAsia"/>
        </w:rPr>
        <w:t>模拟），仅记录一次</w:t>
      </w:r>
      <w:r>
        <w:t xml:space="preserve"> FCWFT </w:t>
      </w:r>
      <w:r>
        <w:rPr>
          <w:rFonts w:hint="eastAsia"/>
        </w:rPr>
        <w:t>内部语言的标度练习。</w:t>
      </w:r>
    </w:p>
    <w:bookmarkEnd w:id="1"/>
    <w:p w14:paraId="0C38F3E8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5F97122D">
      <w:pPr>
        <w:pStyle w:val="6"/>
      </w:pPr>
      <w:bookmarkStart w:id="3" w:name="标准相对论电子理论基础"/>
      <w:r>
        <w:t xml:space="preserve">1.1 </w:t>
      </w:r>
      <w:r>
        <w:rPr>
          <w:rFonts w:hint="eastAsia"/>
        </w:rPr>
        <w:t>标准相对论电子理论基础</w:t>
      </w:r>
    </w:p>
    <w:p w14:paraId="332E518D">
      <w:pPr>
        <w:pStyle w:val="4"/>
      </w:pPr>
      <w:r>
        <w:rPr>
          <w:rFonts w:hint="eastAsia"/>
        </w:rPr>
        <w:t>现代相对论电子物理与电子显微成像理论建立在德布罗意波动关系、狄拉克相对论量子力学与量子电动力学（QED）框架之上。电子衍射、干涉、原子尺度成像实验长期与标准理论高度吻合，形成稳定、可靠、可工程复现的理论体系。</w:t>
      </w:r>
    </w:p>
    <w:p w14:paraId="093AE5E2">
      <w:pPr>
        <w:pStyle w:val="3"/>
      </w:pPr>
      <w:r>
        <w:rPr>
          <w:rFonts w:hint="eastAsia"/>
        </w:rPr>
        <w:t>标准理论能够准确描述电子波长、衍射行为、相对论成像修正、散射截面与显微衬度机制，是球差校正</w:t>
      </w:r>
      <w:r>
        <w:t xml:space="preserve"> TEM </w:t>
      </w:r>
      <w:r>
        <w:rPr>
          <w:rFonts w:hint="eastAsia"/>
        </w:rPr>
        <w:t>原子分辨成像的理论基础。具体而言：</w:t>
      </w:r>
    </w:p>
    <w:p w14:paraId="3DFDC65A">
      <w:pPr>
        <w:pStyle w:val="26"/>
        <w:numPr>
          <w:ilvl w:val="0"/>
          <w:numId w:val="1"/>
        </w:numPr>
      </w:pPr>
      <w:r>
        <w:rPr>
          <w:rFonts w:hint="eastAsia"/>
        </w:rPr>
        <w:t>德布罗意关系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p</m:t>
        </m:r>
      </m:oMath>
      <w:r>
        <w:t xml:space="preserve"> </w:t>
      </w:r>
      <w:r>
        <w:rPr>
          <w:rFonts w:hint="eastAsia"/>
        </w:rPr>
        <w:t>直接给出电子波长与动量的关系，已被戴维森-革末实验（1927）等大量实验验证；</w:t>
      </w:r>
    </w:p>
    <w:p w14:paraId="7A3C0AB1">
      <w:pPr>
        <w:pStyle w:val="26"/>
        <w:numPr>
          <w:ilvl w:val="0"/>
          <w:numId w:val="1"/>
        </w:numPr>
      </w:pPr>
      <w:r>
        <w:rPr>
          <w:rFonts w:hint="eastAsia"/>
        </w:rPr>
        <w:t>狄拉克方程描述了相对论电子的自旋与电磁耦合，非相对论极限回到薛定谔方程；</w:t>
      </w:r>
    </w:p>
    <w:p w14:paraId="5339AE91">
      <w:pPr>
        <w:pStyle w:val="26"/>
        <w:numPr>
          <w:ilvl w:val="0"/>
          <w:numId w:val="1"/>
        </w:numPr>
      </w:pPr>
      <w:r>
        <w:t xml:space="preserve">QED </w:t>
      </w:r>
      <w:r>
        <w:rPr>
          <w:rFonts w:hint="eastAsia"/>
        </w:rPr>
        <w:t>精确描述了电子与电磁场的相互作用；</w:t>
      </w:r>
    </w:p>
    <w:p w14:paraId="679B67A5">
      <w:pPr>
        <w:pStyle w:val="26"/>
        <w:numPr>
          <w:ilvl w:val="0"/>
          <w:numId w:val="1"/>
        </w:numPr>
      </w:pPr>
      <w:r>
        <w:rPr>
          <w:rFonts w:hint="eastAsia"/>
        </w:rPr>
        <w:t>多切片法（Cowley</w:t>
      </w:r>
      <w:r>
        <w:t xml:space="preserve"> &amp; Moodie </w:t>
      </w:r>
      <w:r>
        <w:rPr>
          <w:rFonts w:hint="eastAsia"/>
        </w:rPr>
        <w:t>1957）结合相对论修正（Majert</w:t>
      </w:r>
      <w:r>
        <w:t xml:space="preserve"> &amp; Kohl </w:t>
      </w:r>
      <w:r>
        <w:rPr>
          <w:rFonts w:hint="eastAsia"/>
        </w:rPr>
        <w:t>2019），可高精度复现</w:t>
      </w:r>
      <w:r>
        <w:t xml:space="preserve"> TEM </w:t>
      </w:r>
      <w:r>
        <w:rPr>
          <w:rFonts w:hint="eastAsia"/>
        </w:rPr>
        <w:t>成像结果。</w:t>
      </w:r>
    </w:p>
    <w:bookmarkEnd w:id="3"/>
    <w:p w14:paraId="627CE773">
      <w:pPr>
        <w:pStyle w:val="6"/>
      </w:pPr>
      <w:bookmarkStart w:id="4" w:name="本文的探索性定位"/>
      <w:r>
        <w:t xml:space="preserve">1.2 </w:t>
      </w:r>
      <w:r>
        <w:rPr>
          <w:rFonts w:hint="eastAsia"/>
        </w:rPr>
        <w:t>本文的探索性定位</w:t>
      </w:r>
    </w:p>
    <w:p w14:paraId="33CFC6E2">
      <w:pPr>
        <w:pStyle w:val="4"/>
      </w:pPr>
      <w:r>
        <w:rPr>
          <w:rFonts w:hint="eastAsia"/>
        </w:rPr>
        <w:t>本文不声称标准理论在此存在缺陷，也不试图替代标准理论。本文的目标是：在</w:t>
      </w:r>
      <w:r>
        <w:t xml:space="preserve"> FCWFT </w:t>
      </w:r>
      <w:r>
        <w:rPr>
          <w:rFonts w:hint="eastAsia"/>
        </w:rPr>
        <w:t>三场公理的语言体系内，对相对论电子的波粒权重分配提出一种标度猜想，并将其作为与</w:t>
      </w:r>
      <w:r>
        <w:t xml:space="preserve"> A10 </w:t>
      </w:r>
      <w:r>
        <w:rPr>
          <w:rFonts w:hint="eastAsia"/>
        </w:rPr>
        <w:t>强子高能级联低能端的对偶对照。这种练习的价值在于：</w:t>
      </w:r>
    </w:p>
    <w:p w14:paraId="0492D27B">
      <w:pPr>
        <w:pStyle w:val="26"/>
        <w:numPr>
          <w:ilvl w:val="0"/>
          <w:numId w:val="1"/>
        </w:numPr>
      </w:pPr>
      <w:r>
        <w:rPr>
          <w:rFonts w:hint="eastAsia"/>
        </w:rPr>
        <w:t>若标度关系能与标准理论的形式等价，则可作为</w:t>
      </w:r>
      <w:r>
        <w:t xml:space="preserve"> FCWFT </w:t>
      </w:r>
      <w:r>
        <w:rPr>
          <w:rFonts w:hint="eastAsia"/>
        </w:rPr>
        <w:t>内部教学的辅助语言；</w:t>
      </w:r>
    </w:p>
    <w:p w14:paraId="177C9E03">
      <w:pPr>
        <w:pStyle w:val="26"/>
        <w:numPr>
          <w:ilvl w:val="0"/>
          <w:numId w:val="1"/>
        </w:numPr>
      </w:pPr>
      <w:r>
        <w:rPr>
          <w:rFonts w:hint="eastAsia"/>
        </w:rPr>
        <w:t>若标度关系与标准理论存在差异，则可为后续研究指明可能的检验方向——但这一方向需要先在框架内建立起完整的因果机制。</w:t>
      </w:r>
    </w:p>
    <w:bookmarkEnd w:id="4"/>
    <w:p w14:paraId="5129054E">
      <w:pPr>
        <w:pStyle w:val="6"/>
      </w:pPr>
      <w:bookmarkStart w:id="5" w:name="与-a10-的对偶定位"/>
      <w:r>
        <w:t xml:space="preserve">1.3 </w:t>
      </w:r>
      <w:r>
        <w:rPr>
          <w:rFonts w:hint="eastAsia"/>
        </w:rPr>
        <w:t>与</w:t>
      </w:r>
      <w:r>
        <w:t xml:space="preserve"> A10 </w:t>
      </w:r>
      <w:r>
        <w:rPr>
          <w:rFonts w:hint="eastAsia"/>
        </w:rPr>
        <w:t>的对偶定位</w:t>
      </w:r>
    </w:p>
    <w:p w14:paraId="6A0CEC07">
      <w:pPr>
        <w:pStyle w:val="4"/>
      </w:pPr>
      <w:r>
        <w:t xml:space="preserve">A10 </w:t>
      </w:r>
      <w:r>
        <w:rPr>
          <w:rFonts w:hint="eastAsia"/>
        </w:rPr>
        <w:t>处理的是中子星合并中</w:t>
      </w:r>
      <w:r>
        <w:t xml:space="preserve"> B </w:t>
      </w:r>
      <w:r>
        <w:rPr>
          <w:rFonts w:hint="eastAsia"/>
        </w:rPr>
        <w:t>场拓扑管道对铁族重核的超高能加速（EeV–ZeV），属于强子高能端；本文处理的是自由电子的</w:t>
      </w:r>
      <w:r>
        <w:t xml:space="preserve"> A </w:t>
      </w:r>
      <w:r>
        <w:rPr>
          <w:rFonts w:hint="eastAsia"/>
        </w:rPr>
        <w:t>场拓扑尺度在低能端（sub-MeV</w:t>
      </w:r>
      <w:r>
        <w:t xml:space="preserve"> </w:t>
      </w:r>
      <w:r>
        <w:rPr>
          <w:rFonts w:hint="eastAsia"/>
        </w:rPr>
        <w:t>至数百</w:t>
      </w:r>
      <w:r>
        <w:t xml:space="preserve"> </w:t>
      </w:r>
      <w:r>
        <w:rPr>
          <w:rFonts w:hint="eastAsia"/>
        </w:rPr>
        <w:t>keV）的相对论标度。两者在能量标度、主导场、加速/标度机制上完全互补，但在公理依赖、参数开放性、饱和判据结构上严格同构，共同构成</w:t>
      </w:r>
      <w:r>
        <w:t xml:space="preserve"> FCWFT </w:t>
      </w:r>
      <w:r>
        <w:rPr>
          <w:rFonts w:hint="eastAsia"/>
        </w:rPr>
        <w:t>从低能到高能的初步对偶框架。</w:t>
      </w:r>
    </w:p>
    <w:bookmarkEnd w:id="2"/>
    <w:bookmarkEnd w:id="5"/>
    <w:p w14:paraId="0AB6B696">
      <w:pPr>
        <w:pStyle w:val="5"/>
      </w:pPr>
      <w:bookmarkStart w:id="6" w:name="fcwft-三场公理体系工作假设"/>
      <w:r>
        <w:t xml:space="preserve">2 FCWFT </w:t>
      </w:r>
      <w:r>
        <w:rPr>
          <w:rFonts w:hint="eastAsia"/>
        </w:rPr>
        <w:t>三场公理体系（工作假设）</w:t>
      </w:r>
    </w:p>
    <w:p w14:paraId="734A0C5B">
      <w:pPr>
        <w:pStyle w:val="4"/>
      </w:pPr>
      <w:r>
        <w:rPr>
          <w:rFonts w:hint="eastAsia"/>
        </w:rPr>
        <w:t>以下内容均为理论工作假设，非已证实物理定律，所有推论有效性依赖假设成立。</w:t>
      </w:r>
    </w:p>
    <w:p w14:paraId="47FFAF18">
      <w:pPr>
        <w:pStyle w:val="6"/>
      </w:pPr>
      <w:bookmarkStart w:id="7" w:name="基本场结构假设"/>
      <w:r>
        <w:t xml:space="preserve">2.1 </w:t>
      </w:r>
      <w:r>
        <w:rPr>
          <w:rFonts w:hint="eastAsia"/>
        </w:rPr>
        <w:t>基本场结构假设</w:t>
      </w:r>
    </w:p>
    <w:p w14:paraId="04D15E2A">
      <w:pPr>
        <w:pStyle w:val="4"/>
      </w:pPr>
      <w:r>
        <w:rPr>
          <w:rFonts w:hint="eastAsia"/>
        </w:rPr>
        <w:t>假设微观物理体系存在三类相互正交、自由度解耦的拓扑涡旋基本场：</w:t>
      </w:r>
    </w:p>
    <w:p w14:paraId="4F2D7ECE">
      <w:pPr>
        <w:pStyle w:val="26"/>
        <w:numPr>
          <w:ilvl w:val="0"/>
          <w:numId w:val="2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场（自旋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1）</w:t>
      </w:r>
      <w:r>
        <w:rPr>
          <w:rFonts w:hint="eastAsia"/>
        </w:rPr>
        <w:t>：承载量子相位、空间波动弥散、电磁规范耦合结构，作为体系波动性来源；</w:t>
      </w:r>
    </w:p>
    <w:p w14:paraId="5425BF82">
      <w:pPr>
        <w:pStyle w:val="26"/>
        <w:numPr>
          <w:ilvl w:val="0"/>
          <w:numId w:val="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场（自旋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1/2）</w:t>
      </w:r>
      <w:r>
        <w:rPr>
          <w:rFonts w:hint="eastAsia"/>
        </w:rPr>
        <w:t>：承载色荷、弱荷、电荷、自旋等内禀量子数，仅维持粒子属性，不参与时空弥散演化；</w:t>
      </w:r>
    </w:p>
    <w:p w14:paraId="245F6F67">
      <w:pPr>
        <w:pStyle w:val="26"/>
        <w:numPr>
          <w:ilvl w:val="0"/>
          <w:numId w:val="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场（自旋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0）</w:t>
      </w:r>
      <w:r>
        <w:rPr>
          <w:rFonts w:hint="eastAsia"/>
        </w:rPr>
        <w:t>：承载惯性质量、空间局域化效应，作为体系粒子性来源。</w:t>
      </w:r>
    </w:p>
    <w:bookmarkEnd w:id="7"/>
    <w:p w14:paraId="3AA5AA9B">
      <w:pPr>
        <w:pStyle w:val="6"/>
      </w:pPr>
      <w:bookmarkStart w:id="8" w:name="量子态直积分解假设"/>
      <w:r>
        <w:t xml:space="preserve">2.2 </w:t>
      </w:r>
      <w:r>
        <w:rPr>
          <w:rFonts w:hint="eastAsia"/>
        </w:rPr>
        <w:t>量子态直积分解假设</w:t>
      </w:r>
    </w:p>
    <w:p w14:paraId="361A5D6D">
      <w:pPr>
        <w:pStyle w:val="4"/>
      </w:pPr>
      <w:r>
        <w:rPr>
          <w:rFonts w:hint="eastAsia"/>
        </w:rPr>
        <w:t>自由基本粒子量子态可分解为三场张量直积：</w:t>
      </w:r>
    </w:p>
    <w:p w14:paraId="4E4C664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ψ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17946B85">
      <w:pPr>
        <w:pStyle w:val="4"/>
      </w:pPr>
      <w:r>
        <w:rPr>
          <w:rFonts w:hint="eastAsia"/>
        </w:rPr>
        <w:t>三场演化正交、结构解耦。对自由电子，B</w:t>
      </w:r>
      <w:r>
        <w:t xml:space="preserve"> </w:t>
      </w:r>
      <w:r>
        <w:rPr>
          <w:rFonts w:hint="eastAsia"/>
        </w:rPr>
        <w:t>场量子数守恒，动力学演化仅由</w:t>
      </w:r>
      <w:r>
        <w:t xml:space="preserve"> A、C </w:t>
      </w:r>
      <w:r>
        <w:rPr>
          <w:rFonts w:hint="eastAsia"/>
        </w:rPr>
        <w:t>两场耦合决定。</w:t>
      </w:r>
    </w:p>
    <w:bookmarkEnd w:id="8"/>
    <w:p w14:paraId="26AE0CEB">
      <w:pPr>
        <w:pStyle w:val="6"/>
      </w:pPr>
      <w:bookmarkStart w:id="9" w:name="ac-拓扑约束方程假设"/>
      <w:r>
        <w:t xml:space="preserve">2.3 A–C </w:t>
      </w:r>
      <w:r>
        <w:rPr>
          <w:rFonts w:hint="eastAsia"/>
        </w:rPr>
        <w:t>拓扑约束方程假设</w:t>
      </w:r>
    </w:p>
    <w:p w14:paraId="3D3EE714">
      <w:pPr>
        <w:pStyle w:val="4"/>
      </w:pPr>
      <w:r>
        <w:rPr>
          <w:rFonts w:hint="eastAsia"/>
        </w:rPr>
        <w:t>假设</w:t>
      </w:r>
      <w:r>
        <w:t xml:space="preserve"> A </w:t>
      </w:r>
      <w:r>
        <w:rPr>
          <w:rFonts w:hint="eastAsia"/>
        </w:rPr>
        <w:t>场空间分布与</w:t>
      </w:r>
      <w:r>
        <w:t xml:space="preserve"> C </w:t>
      </w:r>
      <w:r>
        <w:rPr>
          <w:rFonts w:hint="eastAsia"/>
        </w:rPr>
        <w:t>场质量凝聚满足拓扑泊松约束：</w:t>
      </w:r>
    </w:p>
    <w:p w14:paraId="409DE6D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r>
            <m:rPr/>
            <m:t>4π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FC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)</m:t>
          </m:r>
          <m:r>
            <m:rPr/>
            <m:t> 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6E23BC9B">
      <w:pPr>
        <w:pStyle w:val="4"/>
      </w:pPr>
      <w:r>
        <w:rPr>
          <w:rFonts w:hint="eastAsia"/>
        </w:rPr>
        <w:t>其中：</w:t>
      </w:r>
    </w:p>
    <w:p w14:paraId="5FD13500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场拓扑波动密度；</w:t>
      </w:r>
    </w:p>
    <w:p w14:paraId="5919E313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场质量凝聚密度；</w:t>
      </w:r>
    </w:p>
    <w:p w14:paraId="0EA4263A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：框架内引入的特征长度尺度（待定，用于保证量纲闭合）；</w:t>
      </w:r>
    </w:p>
    <w:p w14:paraId="75D82F1A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</m:oMath>
      <w:r>
        <w:rPr>
          <w:rFonts w:hint="eastAsia"/>
        </w:rPr>
        <w:t>：无量纲拓扑耦合常数（待定）；</w:t>
      </w:r>
    </w:p>
    <w:p w14:paraId="56293C0B">
      <w:pPr>
        <w:pStyle w:val="26"/>
        <w:numPr>
          <w:ilvl w:val="0"/>
          <w:numId w:val="1"/>
        </w:numPr>
      </w:pP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：无量纲拓扑自洽修正函数。</w:t>
      </w:r>
    </w:p>
    <w:p w14:paraId="28775B21">
      <w:pPr>
        <w:pStyle w:val="4"/>
      </w:pPr>
      <w:r>
        <w:rPr>
          <w:rFonts w:hint="eastAsia"/>
          <w:b/>
          <w:bCs/>
        </w:rPr>
        <w:t>量纲说明</w:t>
      </w:r>
      <w:r>
        <w:rPr>
          <w:rFonts w:hint="eastAsia"/>
        </w:rPr>
        <w:t>：引入</w:t>
      </w:r>
      <w:r>
        <w:t xml:space="preserve"> </w:t>
      </w:r>
      <m:oMath>
        <m:sSubSup>
          <m:sSubSupPr/>
          <m:e>
            <m:r>
              <m:rPr/>
              <m:t>ℓ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后，方程</w:t>
      </w:r>
      <w:r>
        <w:t xml:space="preserve"> (1) </w:t>
      </w:r>
      <w:r>
        <w:rPr>
          <w:rFonts w:hint="eastAsia"/>
        </w:rPr>
        <w:t>左端量纲为</w:t>
      </w:r>
      <w:r>
        <w:t xml:space="preserve"> </w:t>
      </w:r>
      <m:oMath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，与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一致；右端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，乘以无量纲的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后亦为</w:t>
      </w:r>
      <w:r>
        <w:t xml:space="preserve"> </w:t>
      </w:r>
      <m:oMath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。方程</w:t>
      </w:r>
      <w:r>
        <w:t xml:space="preserve"> (1) </w:t>
      </w:r>
      <w:r>
        <w:rPr>
          <w:rFonts w:hint="eastAsia"/>
        </w:rPr>
        <w:t>量纲闭合。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>的具体数值为框架待定参数。</w:t>
      </w:r>
    </w:p>
    <w:bookmarkEnd w:id="9"/>
    <w:p w14:paraId="2A932EC6">
      <w:pPr>
        <w:pStyle w:val="6"/>
      </w:pPr>
      <w:bookmarkStart w:id="10" w:name="拓扑信息守恒假设"/>
      <w:r>
        <w:t xml:space="preserve">2.4 </w:t>
      </w:r>
      <w:r>
        <w:rPr>
          <w:rFonts w:hint="eastAsia"/>
        </w:rPr>
        <w:t>拓扑信息守恒假设</w:t>
      </w:r>
    </w:p>
    <w:p w14:paraId="146E9E6B">
      <w:pPr>
        <w:pStyle w:val="4"/>
      </w:pPr>
      <w:r>
        <w:rPr>
          <w:rFonts w:hint="eastAsia"/>
        </w:rPr>
        <w:t>假设无外场封闭量子拓扑体系满足：</w:t>
      </w:r>
    </w:p>
    <w:p w14:paraId="0D9A9182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ℐ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sSubSup>
            <m:sSubSup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  <m:sup>
              <m:r>
                <m:rPr/>
                <m:t>5</m:t>
              </m:r>
            </m:sup>
          </m:sSubSup>
          <m:r>
            <m:rPr>
              <m:sty m:val="p"/>
            </m:rPr>
            <m:t>=const</m:t>
          </m:r>
          <m:r>
            <m:rPr/>
            <m:t> </m:t>
          </m:r>
          <m:r>
            <m:rPr>
              <m:sty m:val="p"/>
            </m:rPr>
            <m:t>(</m:t>
          </m:r>
          <m:r>
            <m:rPr/>
            <m:t>2</m:t>
          </m:r>
          <m:r>
            <m:rPr>
              <m:sty m:val="p"/>
            </m:rPr>
            <m:t>)</m:t>
          </m:r>
        </m:oMath>
      </m:oMathPara>
    </w:p>
    <w:p w14:paraId="2CE44760">
      <w:pPr>
        <w:pStyle w:val="4"/>
      </w:pP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代表</w:t>
      </w:r>
      <w:r>
        <w:t xml:space="preserve"> A </w:t>
      </w:r>
      <w:r>
        <w:rPr>
          <w:rFonts w:hint="eastAsia"/>
        </w:rPr>
        <w:t>场空间特征弥散尺度。</w:t>
      </w:r>
    </w:p>
    <w:bookmarkEnd w:id="10"/>
    <w:p w14:paraId="507A3CBB">
      <w:pPr>
        <w:pStyle w:val="6"/>
      </w:pPr>
      <w:bookmarkStart w:id="11" w:name="模型未定参数与开放性假设"/>
      <w:r>
        <w:t xml:space="preserve">2.5 </w:t>
      </w:r>
      <w:r>
        <w:rPr>
          <w:rFonts w:hint="eastAsia"/>
        </w:rPr>
        <w:t>模型未定参数与开放性假设</w:t>
      </w:r>
    </w:p>
    <w:p w14:paraId="0D375F76">
      <w:pPr>
        <w:pStyle w:val="4"/>
      </w:pPr>
      <w:r>
        <w:rPr>
          <w:rFonts w:hint="eastAsia"/>
        </w:rPr>
        <w:t>为保证学术透明，明确列出模型未封闭项：</w:t>
      </w:r>
    </w:p>
    <w:p w14:paraId="417E0C8E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>的量纲与数值均未确定；</w:t>
      </w:r>
    </w:p>
    <w:p w14:paraId="2F35C8D2">
      <w:pPr>
        <w:pStyle w:val="26"/>
        <w:numPr>
          <w:ilvl w:val="0"/>
          <w:numId w:val="3"/>
        </w:numPr>
      </w:pP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的函数形式待定；</w:t>
      </w:r>
    </w:p>
    <w:p w14:paraId="7C26798A">
      <w:pPr>
        <w:pStyle w:val="26"/>
        <w:numPr>
          <w:ilvl w:val="0"/>
          <w:numId w:val="3"/>
        </w:numPr>
      </w:pPr>
      <w:r>
        <w:rPr>
          <w:rFonts w:hint="eastAsia"/>
        </w:rPr>
        <w:t>拓扑信息守恒为模型特设假设；</w:t>
      </w:r>
    </w:p>
    <w:p w14:paraId="371915F7">
      <w:pPr>
        <w:pStyle w:val="26"/>
        <w:numPr>
          <w:ilvl w:val="0"/>
          <w:numId w:val="3"/>
        </w:numPr>
      </w:pPr>
      <w:r>
        <w:rPr>
          <w:rFonts w:hint="eastAsia"/>
        </w:rPr>
        <w:t>基准拓扑尺度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A0</m:t>
            </m:r>
          </m:sub>
        </m:sSub>
      </m:oMath>
      <w:r>
        <w:t xml:space="preserve"> </w:t>
      </w:r>
      <w:r>
        <w:rPr>
          <w:rFonts w:hint="eastAsia"/>
        </w:rPr>
        <w:t>为拟合参考尺度。</w:t>
      </w:r>
    </w:p>
    <w:p w14:paraId="7BF1CEF1">
      <w:pPr>
        <w:pStyle w:val="4"/>
      </w:pPr>
      <w:r>
        <w:rPr>
          <w:rFonts w:hint="eastAsia"/>
        </w:rPr>
        <w:t>本框架存在开放性参数，不属于零参数严格理论。</w:t>
      </w:r>
    </w:p>
    <w:bookmarkEnd w:id="6"/>
    <w:bookmarkEnd w:id="11"/>
    <w:p w14:paraId="254BA9A4">
      <w:pPr>
        <w:pStyle w:val="5"/>
      </w:pPr>
      <w:bookmarkStart w:id="12" w:name="ac-跷跷板标度练习框架内代数推论"/>
      <w:r>
        <w:t xml:space="preserve">3 A–C </w:t>
      </w:r>
      <w:r>
        <w:rPr>
          <w:rFonts w:hint="eastAsia"/>
        </w:rPr>
        <w:t>跷跷板标度练习（框架内代数推论）</w:t>
      </w:r>
    </w:p>
    <w:p w14:paraId="10D73118">
      <w:pPr>
        <w:pStyle w:val="6"/>
      </w:pPr>
      <w:bookmarkStart w:id="13" w:name="c-场质量凝聚密度相对论标度"/>
      <w:r>
        <w:t xml:space="preserve">3.1 C </w:t>
      </w:r>
      <w:r>
        <w:rPr>
          <w:rFonts w:hint="eastAsia"/>
        </w:rPr>
        <w:t>场质量凝聚密度相对论标度</w:t>
      </w:r>
    </w:p>
    <w:p w14:paraId="664BAFE5">
      <w:pPr>
        <w:pStyle w:val="4"/>
      </w:pPr>
      <w:r>
        <w:rPr>
          <w:rFonts w:hint="eastAsia"/>
        </w:rPr>
        <w:t>依据狭义相对论，电子纵向惯性质量满足：</w:t>
      </w:r>
    </w:p>
    <w:p w14:paraId="23F8088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inertial</m:t>
              </m:r>
            </m:sub>
          </m:sSub>
          <m:r>
            <m:rPr>
              <m:sty m:val="p"/>
            </m:rPr>
            <m:t>=</m:t>
          </m:r>
          <m:r>
            <m:rPr/>
            <m:t>γ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</m:oMath>
      </m:oMathPara>
    </w:p>
    <w:p w14:paraId="3908B1D2">
      <w:pPr>
        <w:pStyle w:val="4"/>
      </w:pPr>
      <w:r>
        <w:rPr>
          <w:rFonts w:hint="eastAsia"/>
        </w:rPr>
        <w:t>在“C</w:t>
      </w:r>
      <w:r>
        <w:t xml:space="preserve"> </w:t>
      </w:r>
      <w:r>
        <w:rPr>
          <w:rFonts w:hint="eastAsia"/>
        </w:rPr>
        <w:t>场承载惯性质量”的假设前提下，C</w:t>
      </w:r>
      <w:r>
        <w:t xml:space="preserve"> </w:t>
      </w:r>
      <w:r>
        <w:rPr>
          <w:rFonts w:hint="eastAsia"/>
        </w:rPr>
        <w:t>场凝聚密度正比于惯性质量：</w:t>
      </w:r>
    </w:p>
    <w:p w14:paraId="4A9C6A6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γ</m:t>
          </m:r>
          <m:r>
            <m:rPr>
              <m:sty m:val="p"/>
            </m:rPr>
            <m:t>)=</m:t>
          </m:r>
          <m:r>
            <m:rPr/>
            <m:t>γ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C0</m:t>
              </m:r>
            </m:sub>
          </m:sSub>
          <m:r>
            <m:rPr/>
            <m:t> </m:t>
          </m:r>
          <m:r>
            <m:rPr>
              <m:sty m:val="p"/>
            </m:rPr>
            <m:t>(</m:t>
          </m:r>
          <m:r>
            <m:rPr/>
            <m:t>3</m:t>
          </m:r>
          <m:r>
            <m:rPr>
              <m:sty m:val="p"/>
            </m:rPr>
            <m:t>)</m:t>
          </m:r>
        </m:oMath>
      </m:oMathPara>
    </w:p>
    <w:p w14:paraId="3726C152">
      <w:pPr>
        <w:pStyle w:val="4"/>
      </w:pPr>
      <w:r>
        <w:rPr>
          <w:rFonts w:hint="eastAsia"/>
        </w:rPr>
        <w:t>该关系依赖模型假设，非强制物理必然。</w:t>
      </w:r>
    </w:p>
    <w:bookmarkEnd w:id="13"/>
    <w:p w14:paraId="41F7AE09">
      <w:pPr>
        <w:pStyle w:val="6"/>
      </w:pPr>
      <w:bookmarkStart w:id="14" w:name="情形b无拓扑反馈下的标度猜想"/>
      <w:r>
        <w:t xml:space="preserve">3.2 </w:t>
      </w:r>
      <w:r>
        <w:rPr>
          <w:rFonts w:hint="eastAsia"/>
        </w:rPr>
        <w:t>情形(b)：无拓扑反馈下的标度猜想</w:t>
      </w:r>
    </w:p>
    <w:p w14:paraId="2EEA6AB8">
      <w:pPr>
        <w:pStyle w:val="4"/>
      </w:pPr>
      <w:r>
        <w:rPr>
          <w:rFonts w:hint="eastAsia"/>
        </w:rPr>
        <w:t>考虑情形(b)：</w:t>
      </w: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)=const</m:t>
        </m:r>
      </m:oMath>
      <w:r>
        <w:rPr>
          <w:rFonts w:hint="eastAsia"/>
        </w:rPr>
        <w:t>（即不存在额外的拓扑反馈修正）。这是数学上最简单的假设，也是本文唯一进行代数练习的情形。</w:t>
      </w:r>
    </w:p>
    <w:p w14:paraId="0D6FD91E">
      <w:pPr>
        <w:pStyle w:val="3"/>
      </w:pPr>
      <w:r>
        <w:rPr>
          <w:rFonts w:hint="eastAsia"/>
        </w:rPr>
        <w:t>由空间概率归一化，A</w:t>
      </w:r>
      <w:r>
        <w:t xml:space="preserve"> </w:t>
      </w:r>
      <w:r>
        <w:rPr>
          <w:rFonts w:hint="eastAsia"/>
        </w:rPr>
        <w:t>场密度满足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bSup>
      </m:oMath>
      <w:r>
        <w:rPr>
          <w:rFonts w:hint="eastAsia"/>
        </w:rPr>
        <w:t>。结合拓扑信息守恒式</w:t>
      </w:r>
      <w:r>
        <w:t xml:space="preserve"> </w:t>
      </w:r>
      <w:r>
        <w:rPr>
          <w:rFonts w:hint="eastAsia"/>
        </w:rPr>
        <w:t>(2)，二者相容。</w:t>
      </w:r>
    </w:p>
    <w:p w14:paraId="4CEA320C">
      <w:pPr>
        <w:pStyle w:val="3"/>
      </w:pPr>
      <w:r>
        <w:rPr>
          <w:rFonts w:hint="eastAsia"/>
        </w:rPr>
        <w:t>将标度关系代入式</w:t>
      </w:r>
      <w:r>
        <w:t xml:space="preserve"> </w:t>
      </w:r>
      <w:r>
        <w:rPr>
          <w:rFonts w:hint="eastAsia"/>
        </w:rPr>
        <w:t>(1)：</w:t>
      </w:r>
    </w:p>
    <w:p w14:paraId="624B048D">
      <w:pPr>
        <w:pStyle w:val="26"/>
        <w:numPr>
          <w:ilvl w:val="0"/>
          <w:numId w:val="1"/>
        </w:numPr>
      </w:pPr>
      <w:r>
        <w:rPr>
          <w:rFonts w:hint="eastAsia"/>
        </w:rPr>
        <w:t>左端：</w:t>
      </w:r>
      <m:oMath>
        <m:sSubSup>
          <m:sSubSupPr/>
          <m:e>
            <m:r>
              <m:rPr/>
              <m:t>ℓ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ℓ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bSup>
      </m:oMath>
    </w:p>
    <w:p w14:paraId="6227F1D2">
      <w:pPr>
        <w:pStyle w:val="26"/>
        <w:numPr>
          <w:ilvl w:val="0"/>
          <w:numId w:val="1"/>
        </w:numPr>
      </w:pPr>
      <w:r>
        <w:rPr>
          <w:rFonts w:hint="eastAsia"/>
        </w:rPr>
        <w:t>右端：</w:t>
      </w:r>
      <m:oMath>
        <m:r>
          <m:rPr>
            <m:sty m:val="p"/>
          </m:rPr>
          <m:t>−</m:t>
        </m:r>
        <m:r>
          <m:rPr/>
          <m:t>4π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)∝</m:t>
        </m:r>
        <m:r>
          <m:rPr/>
          <m:t>γ</m:t>
        </m:r>
        <m:r>
          <m:rPr>
            <m:sty m:val="p"/>
          </m:rPr>
          <m:t>⋅const</m:t>
        </m:r>
      </m:oMath>
    </w:p>
    <w:p w14:paraId="0AE21BD1">
      <w:pPr>
        <w:pStyle w:val="4"/>
      </w:pPr>
      <w:r>
        <w:rPr>
          <w:rFonts w:hint="eastAsia"/>
        </w:rPr>
        <w:t>因此：</w:t>
      </w:r>
    </w:p>
    <w:p w14:paraId="6566833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bSup>
          <m:r>
            <m:rPr>
              <m:sty m:val="p"/>
            </m:rPr>
            <m:t>∝</m:t>
          </m:r>
          <m:r>
            <m:rPr/>
            <m:t>γ </m:t>
          </m:r>
          <m:r>
            <m:rPr>
              <m:sty m:val="p"/>
            </m:rPr>
            <m:t>(</m:t>
          </m:r>
          <m:r>
            <m:rPr/>
            <m:t>4</m:t>
          </m:r>
          <m:r>
            <m:rPr>
              <m:sty m:val="p"/>
            </m:rPr>
            <m:t>)</m:t>
          </m:r>
        </m:oMath>
      </m:oMathPara>
    </w:p>
    <w:p w14:paraId="510E4DD6">
      <w:pPr>
        <w:pStyle w:val="4"/>
      </w:pPr>
      <w:r>
        <w:rPr>
          <w:rFonts w:hint="eastAsia"/>
        </w:rPr>
        <w:t>由式</w:t>
      </w:r>
      <w:r>
        <w:t xml:space="preserve"> (4) </w:t>
      </w:r>
      <w:r>
        <w:rPr>
          <w:rFonts w:hint="eastAsia"/>
        </w:rPr>
        <w:t>解得：</w:t>
      </w:r>
    </w:p>
    <w:p w14:paraId="7689006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γ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A0</m:t>
                  </m:r>
                </m:sub>
              </m:sSub>
            </m:num>
            <m:den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5</m:t>
                  </m:r>
                </m:sup>
              </m:sSup>
            </m:den>
          </m:f>
          <m:r>
            <m:rPr/>
            <m:t> </m:t>
          </m:r>
          <m:r>
            <m:rPr>
              <m:sty m:val="p"/>
            </m:rPr>
            <m:t>(</m:t>
          </m:r>
          <m:r>
            <m:rPr/>
            <m:t>5</m:t>
          </m:r>
          <m:r>
            <m:rPr>
              <m:sty m:val="p"/>
            </m:rPr>
            <m:t>)</m:t>
          </m:r>
        </m:oMath>
      </m:oMathPara>
    </w:p>
    <w:p w14:paraId="5515BC6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A0</m:t>
            </m:r>
          </m:sub>
        </m:sSub>
        <m:r>
          <m:rPr>
            <m:sty m:val="p"/>
          </m:rPr>
          <m:t>=(</m:t>
        </m:r>
        <m:sSubSup>
          <m:sSubSupPr/>
          <m:e>
            <m:r>
              <m:rPr/>
              <m:t>ℓ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C0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5</m:t>
            </m:r>
          </m:sup>
        </m:sSup>
      </m:oMath>
      <w:r>
        <w:t xml:space="preserve"> </w:t>
      </w:r>
      <w:r>
        <w:rPr>
          <w:rFonts w:hint="eastAsia"/>
        </w:rPr>
        <w:t>是由框架参数组合而成的常数（其数值仍待定）。</w:t>
      </w:r>
    </w:p>
    <w:p w14:paraId="621C3AC5">
      <w:pPr>
        <w:pStyle w:val="3"/>
      </w:pPr>
      <w:r>
        <w:rPr>
          <w:rFonts w:hint="eastAsia"/>
          <w:b/>
          <w:bCs/>
        </w:rPr>
        <w:t>标度练习</w:t>
      </w:r>
      <w:r>
        <w:rPr>
          <w:b/>
          <w:bCs/>
        </w:rPr>
        <w:t xml:space="preserve"> 1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框架的</w:t>
      </w:r>
      <w:r>
        <w:t xml:space="preserve"> A–C </w:t>
      </w:r>
      <w:r>
        <w:rPr>
          <w:rFonts w:hint="eastAsia"/>
        </w:rPr>
        <w:t>拓扑约束方程</w:t>
      </w:r>
      <w:r>
        <w:t xml:space="preserve"> (1) </w:t>
      </w:r>
      <w:r>
        <w:rPr>
          <w:rFonts w:hint="eastAsia"/>
        </w:rPr>
        <w:t>与拓扑信息守恒公理</w:t>
      </w:r>
      <w:r>
        <w:t xml:space="preserve"> (2) </w:t>
      </w:r>
      <w:r>
        <w:rPr>
          <w:rFonts w:hint="eastAsia"/>
        </w:rPr>
        <w:t>下，若拓扑修正函数取无反馈形式</w:t>
      </w:r>
      <w:r>
        <w:t xml:space="preserve"> </w:t>
      </w:r>
      <m:oMath>
        <m:r>
          <m:rPr/>
          <m:t>f</m:t>
        </m:r>
        <m:r>
          <m:rPr>
            <m:sty m:val="p"/>
          </m:rPr>
          <m:t>=const</m:t>
        </m:r>
      </m:oMath>
      <w:r>
        <w:rPr>
          <w:rFonts w:hint="eastAsia"/>
        </w:rPr>
        <w:t>，则</w:t>
      </w:r>
      <w:r>
        <w:t xml:space="preserve"> A </w:t>
      </w:r>
      <w:r>
        <w:rPr>
          <w:rFonts w:hint="eastAsia"/>
        </w:rPr>
        <w:t>场拓扑弥散尺度满足式</w:t>
      </w:r>
      <w:r>
        <w:t xml:space="preserve"> </w:t>
      </w:r>
      <w:r>
        <w:rPr>
          <w:rFonts w:hint="eastAsia"/>
        </w:rPr>
        <w:t>(5)。该结果是量纲标度匹配的直接代数推论，不涉及动力学时间演化。</w:t>
      </w:r>
    </w:p>
    <w:bookmarkEnd w:id="14"/>
    <w:p w14:paraId="1A790DD9">
      <w:pPr>
        <w:pStyle w:val="6"/>
      </w:pPr>
      <w:bookmarkStart w:id="15" w:name="情形a的保留"/>
      <w:r>
        <w:t xml:space="preserve">3.3 </w:t>
      </w:r>
      <w:r>
        <w:rPr>
          <w:rFonts w:hint="eastAsia"/>
        </w:rPr>
        <w:t>情形(a)的保留</w:t>
      </w:r>
    </w:p>
    <w:p w14:paraId="5632075C">
      <w:pPr>
        <w:pStyle w:val="4"/>
      </w:pPr>
      <w:r>
        <w:rPr>
          <w:rFonts w:hint="eastAsia"/>
        </w:rPr>
        <w:t>作为对比，情形(a)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)∝</m:t>
        </m:r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/>
              <m:t>4</m:t>
            </m:r>
          </m:sup>
        </m:sSubSup>
      </m:oMath>
      <w:r>
        <w:t xml:space="preserve"> </w:t>
      </w:r>
      <w:r>
        <w:rPr>
          <w:rFonts w:hint="eastAsia"/>
        </w:rPr>
        <w:t>对应存在拓扑反馈的情形，此时由式</w:t>
      </w:r>
      <w:r>
        <w:t xml:space="preserve"> (1) </w:t>
      </w:r>
      <w:r>
        <w:rPr>
          <w:rFonts w:hint="eastAsia"/>
        </w:rPr>
        <w:t>推出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γ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。但该补充假设</w:t>
      </w:r>
      <w:r>
        <w:t xml:space="preserve"> </w:t>
      </w:r>
      <m:oMath>
        <m:r>
          <m:rPr/>
          <m:t>f</m:t>
        </m:r>
        <m:r>
          <m:rPr>
            <m:sty m:val="p"/>
          </m:rPr>
          <m:t>∝</m:t>
        </m:r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/>
              <m:t>4</m:t>
            </m:r>
          </m:sup>
        </m:sSubSup>
      </m:oMath>
      <w:r>
        <w:t xml:space="preserve"> </w:t>
      </w:r>
      <w:r>
        <w:rPr>
          <w:rFonts w:hint="eastAsia"/>
        </w:rPr>
        <w:t>目前缺乏独立推导，故情形(a)的推论属于框架内假设性结论，而非代数推论。本文保留情形(a)供后续讨论，但不将其作为已完成的练习。</w:t>
      </w:r>
    </w:p>
    <w:bookmarkEnd w:id="15"/>
    <w:p w14:paraId="3F1C0869">
      <w:pPr>
        <w:pStyle w:val="6"/>
      </w:pPr>
      <w:bookmarkStart w:id="16" w:name="波粒权重标度关系情形b"/>
      <w:r>
        <w:t xml:space="preserve">3.4 </w:t>
      </w:r>
      <w:r>
        <w:rPr>
          <w:rFonts w:hint="eastAsia"/>
        </w:rPr>
        <w:t>波粒权重标度关系（情形b）</w:t>
      </w:r>
    </w:p>
    <w:p w14:paraId="1AC771C2">
      <w:pPr>
        <w:pStyle w:val="4"/>
      </w:pPr>
      <w:r>
        <w:rPr>
          <w:rFonts w:hint="eastAsia"/>
        </w:rPr>
        <w:t>基于场功能假设定义：波动性权重</w:t>
      </w:r>
      <w:r>
        <w:t xml:space="preserve"> </w:t>
      </w:r>
      <m:oMath>
        <m:r>
          <m:rPr/>
          <m:t>W</m:t>
        </m:r>
        <m:r>
          <m:rPr>
            <m:sty m:val="p"/>
          </m:rPr>
          <m:t>∝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，粒子性权重</w:t>
      </w:r>
      <w:r>
        <w:t xml:space="preserve"> </w:t>
      </w:r>
      <m:oMath>
        <m:r>
          <m:rPr/>
          <m:t>P</m:t>
        </m:r>
        <m:r>
          <m:rPr>
            <m:sty m:val="p"/>
          </m:rPr>
          <m:t>∝</m:t>
        </m:r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>。</w:t>
      </w:r>
    </w:p>
    <w:p w14:paraId="2424A9C6">
      <w:pPr>
        <w:pStyle w:val="3"/>
      </w:pPr>
      <w:r>
        <w:rPr>
          <w:rFonts w:hint="eastAsia"/>
        </w:rPr>
        <w:t>在情形(b)下，由式</w:t>
      </w:r>
      <w:r>
        <w:t xml:space="preserve"> (3) </w:t>
      </w:r>
      <w:r>
        <w:rPr>
          <w:rFonts w:hint="eastAsia"/>
        </w:rPr>
        <w:t>与式</w:t>
      </w:r>
      <w:r>
        <w:t xml:space="preserve"> </w:t>
      </w:r>
      <w:r>
        <w:rPr>
          <w:rFonts w:hint="eastAsia"/>
        </w:rPr>
        <w:t>(5)：</w:t>
      </w:r>
    </w:p>
    <w:p w14:paraId="359DAD9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P</m:t>
              </m:r>
            </m:num>
            <m:den>
              <m:r>
                <m:rPr/>
                <m:t>W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r>
            <m:rPr>
              <m:sty m:val="p"/>
            </m:rPr>
            <m:t>∝</m:t>
          </m:r>
          <m:f>
            <m:fPr/>
            <m:num>
              <m:r>
                <m:rPr/>
                <m:t>γ</m:t>
              </m:r>
            </m:num>
            <m:den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6</m:t>
              </m:r>
              <m:r>
                <m:rPr>
                  <m:sty m:val="p"/>
                </m:rPr>
                <m:t>/</m:t>
              </m:r>
              <m:r>
                <m:rPr/>
                <m:t>5</m:t>
              </m:r>
            </m:sup>
          </m:sSup>
          <m:r>
            <m:rPr/>
            <m:t> </m:t>
          </m:r>
          <m:r>
            <m:rPr>
              <m:sty m:val="p"/>
            </m:rPr>
            <m:t>(</m:t>
          </m:r>
          <m:r>
            <m:rPr/>
            <m:t>6</m:t>
          </m:r>
          <m:r>
            <m:rPr>
              <m:sty m:val="p"/>
            </m:rPr>
            <m:t>)</m:t>
          </m:r>
        </m:oMath>
      </m:oMathPara>
    </w:p>
    <w:p w14:paraId="35707985">
      <w:pPr>
        <w:pStyle w:val="4"/>
      </w:pPr>
      <w:r>
        <w:rPr>
          <w:rFonts w:hint="eastAsia"/>
          <w:b/>
          <w:bCs/>
        </w:rPr>
        <w:t>标度练习</w:t>
      </w:r>
      <w:r>
        <w:rPr>
          <w:b/>
          <w:bCs/>
        </w:rPr>
        <w:t xml:space="preserve"> 2</w:t>
      </w:r>
      <w:r>
        <w:rPr>
          <w:rFonts w:hint="eastAsia"/>
        </w:rPr>
        <w:t>：情形(b)下，波粒权重比满足</w:t>
      </w:r>
      <w:r>
        <w:t xml:space="preserve"> </w:t>
      </w:r>
      <m:oMath>
        <m:r>
          <m:rPr/>
          <m:t>P</m:t>
        </m:r>
        <m:r>
          <m:rPr>
            <m:sty m:val="p"/>
          </m:rPr>
          <m:t>/</m:t>
        </m:r>
        <m:r>
          <m:rPr/>
          <m:t>W</m:t>
        </m:r>
        <m:r>
          <m:rPr>
            <m:sty m:val="p"/>
          </m:rPr>
          <m:t>∝</m:t>
        </m:r>
        <m:sSup>
          <m:sSupPr/>
          <m:e>
            <m:r>
              <m:rPr/>
              <m:t>γ</m:t>
            </m:r>
          </m:e>
          <m:sup>
            <m:r>
              <m:rPr/>
              <m:t>6</m:t>
            </m:r>
            <m:r>
              <m:rPr>
                <m:sty m:val="p"/>
              </m:rPr>
              <m:t>/</m:t>
            </m:r>
            <m:r>
              <m:rPr/>
              <m:t>5</m:t>
            </m:r>
          </m:sup>
        </m:sSup>
      </m:oMath>
      <w:r>
        <w:rPr>
          <w:rFonts w:hint="eastAsia"/>
        </w:rPr>
        <w:t>，与情形(a)的</w:t>
      </w:r>
      <w:r>
        <w:t xml:space="preserve"> </w:t>
      </w:r>
      <m:oMath>
        <m:sSup>
          <m:sSupPr/>
          <m:e>
            <m:r>
              <m:rPr/>
              <m:t>γ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不同。这是两种情形在框架内可区分的代数特征。</w:t>
      </w:r>
    </w:p>
    <w:bookmarkEnd w:id="16"/>
    <w:p w14:paraId="4070DDEB">
      <w:pPr>
        <w:pStyle w:val="6"/>
      </w:pPr>
      <w:bookmarkStart w:id="17" w:name="待定参数-ell_0-的事后赋值方案"/>
      <w:r>
        <w:t xml:space="preserve">3.5 </w:t>
      </w:r>
      <w:r>
        <w:rPr>
          <w:rFonts w:hint="eastAsia"/>
        </w:rPr>
        <w:t>待定参数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的事后赋值方案</w:t>
      </w:r>
    </w:p>
    <w:p w14:paraId="68FB1506">
      <w:pPr>
        <w:pStyle w:val="4"/>
      </w:pPr>
      <w:r>
        <w:rPr>
          <w:rFonts w:hint="eastAsia"/>
        </w:rPr>
        <w:t>为展示数值相容性，本节列出三种将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关联至已知微观尺度的方案。以下均为事后赋值假设，非推导：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1571"/>
        <w:gridCol w:w="2815"/>
        <w:gridCol w:w="1494"/>
      </w:tblGrid>
      <w:tr w14:paraId="0704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4F89F22">
            <w:pPr>
              <w:pStyle w:val="26"/>
              <w:jc w:val="center"/>
            </w:pPr>
            <w:r>
              <w:rPr>
                <w:rFonts w:hint="eastAsia"/>
                <w:b/>
              </w:rPr>
              <w:t>关联方案</w:t>
            </w:r>
          </w:p>
        </w:tc>
        <w:tc>
          <w:tcPr>
            <w:shd w:val="clear" w:color="auto" w:fill="B9CDE5"/>
            <w:vAlign w:val="center"/>
          </w:tcPr>
          <w:p w14:paraId="3F3A4336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取值</w:t>
            </w:r>
          </w:p>
        </w:tc>
        <w:tc>
          <w:tcPr>
            <w:shd w:val="clear" w:color="auto" w:fill="B9CDE5"/>
            <w:vAlign w:val="center"/>
          </w:tcPr>
          <w:p w14:paraId="07B6708F">
            <w:pPr>
              <w:pStyle w:val="26"/>
              <w:jc w:val="center"/>
            </w:pPr>
            <w:r>
              <w:rPr>
                <w:rFonts w:hint="eastAsia"/>
                <w:b/>
              </w:rPr>
              <w:t>物理含义</w:t>
            </w:r>
          </w:p>
        </w:tc>
        <w:tc>
          <w:tcPr>
            <w:shd w:val="clear" w:color="auto" w:fill="B9CDE5"/>
            <w:vAlign w:val="center"/>
          </w:tcPr>
          <w:p w14:paraId="17E2BC56">
            <w:pPr>
              <w:pStyle w:val="26"/>
              <w:jc w:val="center"/>
            </w:pPr>
            <w:r>
              <w:rPr>
                <w:rFonts w:hint="eastAsia"/>
                <w:b/>
              </w:rPr>
              <w:t>对应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A0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量级</w:t>
            </w:r>
          </w:p>
        </w:tc>
      </w:tr>
      <w:tr w14:paraId="5731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EAA03D">
            <w:pPr>
              <w:pStyle w:val="26"/>
              <w:jc w:val="center"/>
            </w:pPr>
            <w:r>
              <w:rPr>
                <w:rFonts w:hint="eastAsia"/>
              </w:rPr>
              <w:t>方案Ⅰ：电子经典半径关联</w:t>
            </w:r>
          </w:p>
        </w:tc>
        <w:tc>
          <w:tcPr>
            <w:vAlign w:val="center"/>
          </w:tcPr>
          <w:p w14:paraId="3421685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/>
                  <m:t>2.82 </m:t>
                </m:r>
                <m:r>
                  <m:rPr>
                    <m:sty m:val="p"/>
                  </m:rPr>
                  <m:t>fm</m:t>
                </m:r>
              </m:oMath>
            </m:oMathPara>
          </w:p>
        </w:tc>
        <w:tc>
          <w:tcPr>
            <w:vAlign w:val="center"/>
          </w:tcPr>
          <w:p w14:paraId="352D1DFB">
            <w:pPr>
              <w:pStyle w:val="26"/>
              <w:jc w:val="center"/>
            </w:pPr>
            <w:r>
              <w:rPr>
                <w:rFonts w:hint="eastAsia"/>
              </w:rPr>
              <w:t>与电子自能尺度关联</w:t>
            </w:r>
          </w:p>
        </w:tc>
        <w:tc>
          <w:tcPr>
            <w:vAlign w:val="center"/>
          </w:tcPr>
          <w:p w14:paraId="3E464721">
            <w:pPr>
              <w:pStyle w:val="26"/>
              <w:jc w:val="center"/>
            </w:pPr>
            <w:r>
              <w:rPr>
                <w:rFonts w:hint="eastAsia"/>
              </w:rPr>
              <w:t>极小（</w:t>
            </w:r>
            <m:oMath>
              <m:r>
                <m:rPr>
                  <m:sty m:val="p"/>
                </m:rPr>
                <m:t>≪Å</m:t>
              </m:r>
            </m:oMath>
            <w:r>
              <w:rPr>
                <w:rFonts w:hint="eastAsia"/>
              </w:rPr>
              <w:t>）</w:t>
            </w:r>
          </w:p>
        </w:tc>
      </w:tr>
      <w:tr w14:paraId="117BC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05B8D7">
            <w:pPr>
              <w:pStyle w:val="26"/>
              <w:jc w:val="center"/>
            </w:pPr>
            <w:r>
              <w:rPr>
                <w:rFonts w:hint="eastAsia"/>
              </w:rPr>
              <w:t>方案Ⅱ：玻尔半径关联</w:t>
            </w:r>
          </w:p>
        </w:tc>
        <w:tc>
          <w:tcPr>
            <w:vAlign w:val="center"/>
          </w:tcPr>
          <w:p w14:paraId="0A1061F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/>
                  <m:t>0.529 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  <w:tc>
          <w:tcPr>
            <w:vAlign w:val="center"/>
          </w:tcPr>
          <w:p w14:paraId="2BBC53BB">
            <w:pPr>
              <w:pStyle w:val="26"/>
              <w:jc w:val="center"/>
            </w:pPr>
            <w:r>
              <w:rPr>
                <w:rFonts w:hint="eastAsia"/>
              </w:rPr>
              <w:t>与原子的特征量子尺度关联</w:t>
            </w:r>
          </w:p>
        </w:tc>
        <w:tc>
          <w:tcPr>
            <w:vAlign w:val="center"/>
          </w:tcPr>
          <w:p w14:paraId="66C0809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0.265 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</w:tr>
      <w:tr w14:paraId="11F0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77AFCF">
            <w:pPr>
              <w:pStyle w:val="26"/>
              <w:jc w:val="center"/>
            </w:pPr>
            <w:r>
              <w:rPr>
                <w:rFonts w:hint="eastAsia"/>
              </w:rPr>
              <w:t>方案Ⅲ：康普顿波长关联</w:t>
            </w:r>
          </w:p>
        </w:tc>
        <w:tc>
          <w:tcPr>
            <w:vAlign w:val="center"/>
          </w:tcPr>
          <w:p w14:paraId="65B773E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/>
                  <m:t>2.43 </m:t>
                </m:r>
                <m:r>
                  <m:rPr>
                    <m:sty m:val="p"/>
                  </m:rPr>
                  <m:t>pm</m:t>
                </m:r>
              </m:oMath>
            </m:oMathPara>
          </w:p>
        </w:tc>
        <w:tc>
          <w:tcPr>
            <w:vAlign w:val="center"/>
          </w:tcPr>
          <w:p w14:paraId="7E648FEB">
            <w:pPr>
              <w:pStyle w:val="26"/>
              <w:jc w:val="center"/>
            </w:pPr>
            <w:r>
              <w:rPr>
                <w:rFonts w:hint="eastAsia"/>
              </w:rPr>
              <w:t>与电子的量子-相对论特征尺度关联</w:t>
            </w:r>
          </w:p>
        </w:tc>
        <w:tc>
          <w:tcPr>
            <w:vAlign w:val="center"/>
          </w:tcPr>
          <w:p w14:paraId="3DFAEBE7">
            <w:pPr>
              <w:pStyle w:val="26"/>
              <w:jc w:val="center"/>
            </w:pPr>
            <w:r>
              <w:rPr>
                <w:rFonts w:hint="eastAsia"/>
              </w:rPr>
              <w:t>亚</w:t>
            </w:r>
            <w:r>
              <w:t xml:space="preserve"> </w:t>
            </w:r>
            <m:oMath>
              <m:r>
                <m:rPr>
                  <m:sty m:val="p"/>
                </m:rPr>
                <m:t>Å</m:t>
              </m:r>
            </m:oMath>
          </w:p>
        </w:tc>
      </w:tr>
    </w:tbl>
    <w:p w14:paraId="7C436A16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：方案Ⅱ使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A0</m:t>
            </m:r>
          </m:sub>
        </m:sSub>
      </m:oMath>
      <w:r>
        <w:t xml:space="preserve"> </w:t>
      </w:r>
      <w:r>
        <w:rPr>
          <w:rFonts w:hint="eastAsia"/>
        </w:rPr>
        <w:t>落在</w:t>
      </w:r>
      <w:r>
        <w:t xml:space="preserve"> </w:t>
      </w:r>
      <m:oMath>
        <m:r>
          <m:rPr/>
          <m:t>0.265 </m:t>
        </m:r>
        <m:r>
          <m:rPr>
            <m:sty m:val="p"/>
          </m:rPr>
          <m:t>Å</m:t>
        </m:r>
      </m:oMath>
      <w:r>
        <w:t xml:space="preserve"> </w:t>
      </w:r>
      <w:r>
        <w:rPr>
          <w:rFonts w:hint="eastAsia"/>
        </w:rPr>
        <w:t>量级，与</w:t>
      </w:r>
      <w:r>
        <w:t xml:space="preserve"> TEM </w:t>
      </w:r>
      <w:r>
        <w:rPr>
          <w:rFonts w:hint="eastAsia"/>
        </w:rPr>
        <w:t>原子分辨尺度数值相容，但此相容性源于参数选取，不构成对框架的支持。所有方案均无第一性原理依据。</w:t>
      </w:r>
    </w:p>
    <w:bookmarkEnd w:id="12"/>
    <w:bookmarkEnd w:id="17"/>
    <w:p w14:paraId="53D6B2F5">
      <w:pPr>
        <w:pStyle w:val="5"/>
      </w:pPr>
      <w:bookmarkStart w:id="18" w:name="特征尺度数值示例"/>
      <w:r>
        <w:t xml:space="preserve">4 </w:t>
      </w:r>
      <w:r>
        <w:rPr>
          <w:rFonts w:hint="eastAsia"/>
        </w:rPr>
        <w:t>特征尺度数值示例</w:t>
      </w:r>
    </w:p>
    <w:p w14:paraId="7226A883">
      <w:pPr>
        <w:pStyle w:val="6"/>
      </w:pPr>
      <w:bookmarkStart w:id="19" w:name="标准理论物理量实验基准"/>
      <w:r>
        <w:t xml:space="preserve">4.1 </w:t>
      </w:r>
      <w:r>
        <w:rPr>
          <w:rFonts w:hint="eastAsia"/>
        </w:rPr>
        <w:t>标准理论物理量（实验基准）</w:t>
      </w:r>
    </w:p>
    <w:p w14:paraId="54132046">
      <w:pPr>
        <w:pStyle w:val="4"/>
      </w:pPr>
      <w:r>
        <w:rPr>
          <w:rFonts w:hint="eastAsia"/>
        </w:rPr>
        <w:t>取典型相对论电子参数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0.8c</m:t>
        </m:r>
      </m:oMath>
      <w:r>
        <w:rPr>
          <w:rFonts w:hint="eastAsia"/>
        </w:rPr>
        <w:t>，</w:t>
      </w:r>
      <m:oMath>
        <m:r>
          <m:rPr/>
          <m:t>γ</m:t>
        </m:r>
        <m:r>
          <m:rPr>
            <m:sty m:val="p"/>
          </m:rPr>
          <m:t>=</m:t>
        </m:r>
        <m:r>
          <m:rPr/>
          <m:t>5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：</w:t>
      </w:r>
    </w:p>
    <w:p w14:paraId="58E34562">
      <w:pPr>
        <w:pStyle w:val="3"/>
      </w:pPr>
      <w:r>
        <w:rPr>
          <w:rFonts w:hint="eastAsia"/>
        </w:rPr>
        <w:t>德布罗意波长：</w:t>
      </w:r>
    </w:p>
    <w:p w14:paraId="0B711E2B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γ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v</m:t>
              </m:r>
            </m:den>
          </m:f>
          <m:r>
            <m:rPr>
              <m:sty m:val="p"/>
            </m:rPr>
            <m:t>=</m:t>
          </m:r>
          <m:r>
            <m:rPr/>
            <m:t>1.82 </m:t>
          </m:r>
          <m:r>
            <m:rPr>
              <m:sty m:val="p"/>
            </m:rPr>
            <m:t>pm</m:t>
          </m:r>
        </m:oMath>
      </m:oMathPara>
    </w:p>
    <w:p w14:paraId="6E8D7C4B">
      <w:pPr>
        <w:pStyle w:val="4"/>
      </w:pPr>
      <w:r>
        <w:rPr>
          <w:rFonts w:hint="eastAsia"/>
        </w:rPr>
        <w:t>相对论动能：</w:t>
      </w:r>
    </w:p>
    <w:p w14:paraId="4ED8C8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r>
            <m:rPr/>
            <m:t>174.4 </m:t>
          </m:r>
          <m:r>
            <m:rPr>
              <m:sty m:val="p"/>
            </m:rPr>
            <m:t>keV</m:t>
          </m:r>
        </m:oMath>
      </m:oMathPara>
    </w:p>
    <w:p w14:paraId="280CE882">
      <w:pPr>
        <w:pStyle w:val="4"/>
      </w:pPr>
      <w:r>
        <w:rPr>
          <w:rFonts w:hint="eastAsia"/>
        </w:rPr>
        <w:t>以上为标准理论与实验公认结果。</w:t>
      </w:r>
    </w:p>
    <w:bookmarkEnd w:id="19"/>
    <w:p w14:paraId="23B78FC6">
      <w:pPr>
        <w:pStyle w:val="6"/>
      </w:pPr>
      <w:bookmarkStart w:id="20" w:name="情形b的拓扑尺度数值方案ⅱ示例"/>
      <w:r>
        <w:t xml:space="preserve">4.2 </w:t>
      </w:r>
      <w:r>
        <w:rPr>
          <w:rFonts w:hint="eastAsia"/>
        </w:rPr>
        <w:t>情形(b)的拓扑尺度数值（方案Ⅱ示例）</w:t>
      </w:r>
    </w:p>
    <w:p w14:paraId="1537D2AD">
      <w:pPr>
        <w:pStyle w:val="4"/>
      </w:pPr>
      <w:r>
        <w:rPr>
          <w:rFonts w:hint="eastAsia"/>
        </w:rPr>
        <w:t>在方案Ⅱ标定（</w:t>
      </w:r>
      <m:oMath>
        <m:sSub>
          <m:sSubPr/>
          <m:e>
            <m:r>
              <m:rPr/>
              <m:t>R</m:t>
            </m:r>
          </m:e>
          <m:sub>
            <m:r>
              <m:rPr/>
              <m:t>A0</m:t>
            </m:r>
          </m:sub>
        </m:sSub>
        <m:r>
          <m:rPr>
            <m:sty m:val="p"/>
          </m:rPr>
          <m:t>≈</m:t>
        </m:r>
        <m:r>
          <m:rPr/>
          <m:t>0.265 </m:t>
        </m:r>
        <m:r>
          <m:rPr>
            <m:sty m:val="p"/>
          </m:rPr>
          <m:t>Å</m:t>
        </m:r>
      </m:oMath>
      <w:r>
        <w:rPr>
          <w:rFonts w:hint="eastAsia"/>
        </w:rPr>
        <w:t>）下，由式</w:t>
      </w:r>
      <w:r>
        <w:t xml:space="preserve"> </w:t>
      </w:r>
      <w:r>
        <w:rPr>
          <w:rFonts w:hint="eastAsia"/>
        </w:rPr>
        <w:t>(5)：</w:t>
      </w:r>
    </w:p>
    <w:p w14:paraId="7DA43F0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0.8c</m:t>
          </m:r>
          <m:r>
            <m:rPr>
              <m:sty m:val="p"/>
            </m:rPr>
            <m:t>)=</m:t>
          </m:r>
          <m:r>
            <m:rPr/>
            <m:t>0.265 </m:t>
          </m:r>
          <m:r>
            <m:rPr>
              <m:sty m:val="p"/>
            </m:rPr>
            <m:t>Å×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5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5</m:t>
              </m:r>
            </m:sup>
          </m:sSup>
          <m:r>
            <m:rPr>
              <m:sty m:val="p"/>
            </m:rPr>
            <m:t>≈</m:t>
          </m:r>
          <m:r>
            <m:rPr/>
            <m:t>0.265</m:t>
          </m:r>
          <m:r>
            <m:rPr>
              <m:sty m:val="p"/>
            </m:rPr>
            <m:t>×</m:t>
          </m:r>
          <m:r>
            <m:rPr/>
            <m:t>0.902</m:t>
          </m:r>
          <m:r>
            <m:rPr>
              <m:sty m:val="p"/>
            </m:rPr>
            <m:t>≈</m:t>
          </m:r>
          <m:r>
            <m:rPr/>
            <m:t>0.239 </m:t>
          </m:r>
          <m:r>
            <m:rPr>
              <m:sty m:val="p"/>
            </m:rPr>
            <m:t>Å</m:t>
          </m:r>
        </m:oMath>
      </m:oMathPara>
    </w:p>
    <w:p w14:paraId="03A482F4">
      <w:pPr>
        <w:pStyle w:val="4"/>
      </w:pPr>
      <w:r>
        <w:rPr>
          <w:rFonts w:hint="eastAsia"/>
        </w:rPr>
        <w:t>对比：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9"/>
        <w:gridCol w:w="3132"/>
        <w:gridCol w:w="2195"/>
      </w:tblGrid>
      <w:tr w14:paraId="0D1B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530356F">
            <w:pPr>
              <w:pStyle w:val="26"/>
              <w:jc w:val="center"/>
            </w:pPr>
            <w:r>
              <w:rPr>
                <w:rFonts w:hint="eastAsia"/>
                <w:b/>
              </w:rPr>
              <w:t>标度情形</w:t>
            </w:r>
          </w:p>
        </w:tc>
        <w:tc>
          <w:tcPr>
            <w:shd w:val="clear" w:color="auto" w:fill="B9CDE5"/>
            <w:vAlign w:val="center"/>
          </w:tcPr>
          <w:p w14:paraId="13C8850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0.8c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56EF1930">
            <w:pPr>
              <w:pStyle w:val="26"/>
              <w:jc w:val="center"/>
            </w:pPr>
            <w:r>
              <w:rPr>
                <w:rFonts w:hint="eastAsia"/>
                <w:b/>
              </w:rPr>
              <w:t>与</w:t>
            </w:r>
            <w:r>
              <w:rPr>
                <w:b/>
              </w:rPr>
              <w:t xml:space="preserve"> </w:t>
            </w:r>
            <m:oMath>
              <m:r>
                <m:rPr/>
                <m:t>λ</m:t>
              </m:r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的比值</w:t>
            </w:r>
          </w:p>
        </w:tc>
      </w:tr>
      <w:tr w14:paraId="25A24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41A651">
            <w:pPr>
              <w:pStyle w:val="26"/>
              <w:jc w:val="center"/>
            </w:pPr>
            <w:r>
              <w:rPr>
                <w:rFonts w:hint="eastAsia"/>
              </w:rPr>
              <w:t>情形(a)（</w:t>
            </w:r>
            <m:oMath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79DA8649">
            <w:pPr>
              <w:pStyle w:val="26"/>
              <w:jc w:val="center"/>
            </w:pPr>
            <m:oMathPara>
              <m:oMath>
                <m:r>
                  <m:rPr/>
                  <m:t>0.159 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  <w:tc>
          <w:tcPr>
            <w:vAlign w:val="center"/>
          </w:tcPr>
          <w:p w14:paraId="374FDCA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87</m:t>
                </m:r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 w14:paraId="1E1B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94B639">
            <w:pPr>
              <w:pStyle w:val="26"/>
              <w:jc w:val="center"/>
            </w:pPr>
            <w:r>
              <w:rPr>
                <w:rFonts w:hint="eastAsia"/>
              </w:rPr>
              <w:t>情形(b)（</w:t>
            </w:r>
            <m:oMath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5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4B6A6D7A">
            <w:pPr>
              <w:pStyle w:val="26"/>
              <w:jc w:val="center"/>
            </w:pPr>
            <m:oMathPara>
              <m:oMath>
                <m:r>
                  <m:rPr/>
                  <m:t>0.239 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  <w:tc>
          <w:tcPr>
            <w:vAlign w:val="center"/>
          </w:tcPr>
          <w:p w14:paraId="7FB1880F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131</m:t>
                </m:r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 w14:paraId="0963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3CA456">
            <w:pPr>
              <w:pStyle w:val="26"/>
              <w:jc w:val="center"/>
            </w:pPr>
            <w:r>
              <w:rPr>
                <w:rFonts w:hint="eastAsia"/>
              </w:rPr>
              <w:t>德布罗意波长</w:t>
            </w:r>
            <w:r>
              <w:t xml:space="preserve"> </w:t>
            </w:r>
            <m:oMath>
              <m:r>
                <m:rPr/>
                <m:t>λ</m:t>
              </m:r>
            </m:oMath>
          </w:p>
        </w:tc>
        <w:tc>
          <w:tcPr>
            <w:vAlign w:val="center"/>
          </w:tcPr>
          <w:p w14:paraId="2F0B2F82">
            <w:pPr>
              <w:pStyle w:val="26"/>
              <w:jc w:val="center"/>
            </w:pPr>
            <m:oMathPara>
              <m:oMath>
                <m:r>
                  <m:rPr/>
                  <m:t>1.82 </m:t>
                </m:r>
                <m:r>
                  <m:rPr>
                    <m:sty m:val="p"/>
                  </m:rPr>
                  <m:t>pm=</m:t>
                </m:r>
                <m:r>
                  <m:rPr/>
                  <m:t>0.0182 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  <w:tc>
          <w:tcPr>
            <w:vAlign w:val="center"/>
          </w:tcPr>
          <w:p w14:paraId="0788AE27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×</m:t>
                </m:r>
              </m:oMath>
            </m:oMathPara>
          </w:p>
        </w:tc>
      </w:tr>
    </w:tbl>
    <w:p w14:paraId="47A642BA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：两种情形的拓扑尺度均远大于德布罗意波长，物理含义不同，不构成冲突或匹配关系。</w:t>
      </w:r>
    </w:p>
    <w:bookmarkEnd w:id="20"/>
    <w:p w14:paraId="321FFB7F">
      <w:pPr>
        <w:pStyle w:val="6"/>
      </w:pPr>
      <w:bookmarkStart w:id="21" w:name="物理概念严格区分"/>
      <w:r>
        <w:t xml:space="preserve">4.3 </w:t>
      </w:r>
      <w:r>
        <w:rPr>
          <w:rFonts w:hint="eastAsia"/>
        </w:rPr>
        <w:t>物理概念严格区分</w:t>
      </w:r>
    </w:p>
    <w:p w14:paraId="4D67BBB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德布罗意波长</w:t>
      </w:r>
      <w:r>
        <w:rPr>
          <w:rFonts w:hint="eastAsia"/>
        </w:rPr>
        <w:t>：电磁散射、晶体衍射、干涉成像的观测波长，属于标准电磁响应量；</w:t>
      </w:r>
    </w:p>
    <w:p w14:paraId="251E9C88">
      <w:pPr>
        <w:pStyle w:val="26"/>
        <w:numPr>
          <w:ilvl w:val="0"/>
          <w:numId w:val="4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场拓扑尺度</w:t>
      </w:r>
      <w:r>
        <w:rPr>
          <w:rFonts w:hint="eastAsia"/>
        </w:rPr>
        <w:t>：模型假设的量子态内禀局域拓扑范围，属于理论构造量。</w:t>
      </w:r>
    </w:p>
    <w:p w14:paraId="1192191B">
      <w:pPr>
        <w:pStyle w:val="4"/>
      </w:pPr>
      <w:r>
        <w:rPr>
          <w:rFonts w:hint="eastAsia"/>
        </w:rPr>
        <w:t>二者量纲相同（均为长度），但物理含义与观测方式不同，不进行数值比对与对错判定。</w:t>
      </w:r>
    </w:p>
    <w:bookmarkEnd w:id="18"/>
    <w:bookmarkEnd w:id="21"/>
    <w:p w14:paraId="161EC727">
      <w:pPr>
        <w:pStyle w:val="5"/>
      </w:pPr>
      <w:bookmarkStart w:id="22" w:name="与-a10-的对偶对照表"/>
      <w:r>
        <w:t xml:space="preserve">5 </w:t>
      </w:r>
      <w:r>
        <w:rPr>
          <w:rFonts w:hint="eastAsia"/>
        </w:rPr>
        <w:t>与</w:t>
      </w:r>
      <w:r>
        <w:t xml:space="preserve"> A10 </w:t>
      </w:r>
      <w:r>
        <w:rPr>
          <w:rFonts w:hint="eastAsia"/>
        </w:rPr>
        <w:t>的对偶对照表</w:t>
      </w:r>
    </w:p>
    <w:p w14:paraId="779ABF03">
      <w:pPr>
        <w:pStyle w:val="4"/>
      </w:pPr>
      <w:r>
        <w:rPr>
          <w:rFonts w:hint="eastAsia"/>
        </w:rPr>
        <w:t>下表列出</w:t>
      </w:r>
      <w:r>
        <w:t xml:space="preserve"> B54 </w:t>
      </w:r>
      <w:r>
        <w:rPr>
          <w:rFonts w:hint="eastAsia"/>
        </w:rPr>
        <w:t>与</w:t>
      </w:r>
      <w:r>
        <w:t xml:space="preserve"> A10 </w:t>
      </w:r>
      <w:r>
        <w:rPr>
          <w:rFonts w:hint="eastAsia"/>
        </w:rPr>
        <w:t>在关键特征上的对照，以体现谱系自洽性。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3747"/>
        <w:gridCol w:w="3326"/>
      </w:tblGrid>
      <w:tr w14:paraId="4C48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4B4B681">
            <w:pPr>
              <w:pStyle w:val="26"/>
              <w:jc w:val="center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  <w:vAlign w:val="center"/>
          </w:tcPr>
          <w:p w14:paraId="513CDF39">
            <w:pPr>
              <w:pStyle w:val="26"/>
              <w:jc w:val="center"/>
            </w:pPr>
            <w:r>
              <w:rPr>
                <w:rFonts w:hint="eastAsia"/>
                <w:b/>
              </w:rPr>
              <w:t>A10（强子高能级联）</w:t>
            </w:r>
          </w:p>
        </w:tc>
        <w:tc>
          <w:tcPr>
            <w:shd w:val="clear" w:color="auto" w:fill="B9CDE5"/>
            <w:vAlign w:val="center"/>
          </w:tcPr>
          <w:p w14:paraId="03B0916C">
            <w:pPr>
              <w:pStyle w:val="26"/>
              <w:jc w:val="center"/>
            </w:pPr>
            <w:r>
              <w:rPr>
                <w:rFonts w:hint="eastAsia"/>
                <w:b/>
              </w:rPr>
              <w:t>B54（电子低能标度练习）</w:t>
            </w:r>
          </w:p>
        </w:tc>
      </w:tr>
      <w:tr w14:paraId="44E4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vAlign w:val="center"/>
          </w:tcPr>
          <w:p w14:paraId="64438CA2">
            <w:pPr>
              <w:pStyle w:val="26"/>
              <w:jc w:val="center"/>
            </w:pPr>
            <w:r>
              <w:rPr>
                <w:rFonts w:hint="eastAsia"/>
              </w:rPr>
              <w:t>主导场</w:t>
            </w:r>
          </w:p>
        </w:tc>
        <w:tc>
          <w:tcPr>
            <w:vAlign w:val="center"/>
          </w:tcPr>
          <w:p w14:paraId="5274465D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场（色荷拓扑）</w:t>
            </w:r>
          </w:p>
        </w:tc>
        <w:tc>
          <w:tcPr>
            <w:vAlign w:val="center"/>
          </w:tcPr>
          <w:p w14:paraId="39C84023">
            <w:pPr>
              <w:pStyle w:val="26"/>
              <w:jc w:val="center"/>
            </w:pPr>
            <w:r>
              <w:t xml:space="preserve">A </w:t>
            </w:r>
            <w:r>
              <w:rPr>
                <w:rFonts w:hint="eastAsia"/>
              </w:rPr>
              <w:t>场（电磁波动）</w:t>
            </w:r>
          </w:p>
        </w:tc>
      </w:tr>
      <w:tr w14:paraId="77EB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7E7C4A">
            <w:pPr>
              <w:pStyle w:val="26"/>
              <w:jc w:val="center"/>
            </w:pPr>
            <w:r>
              <w:rPr>
                <w:rFonts w:hint="eastAsia"/>
              </w:rPr>
              <w:t>主导粒子</w:t>
            </w:r>
          </w:p>
        </w:tc>
        <w:tc>
          <w:tcPr>
            <w:vAlign w:val="center"/>
          </w:tcPr>
          <w:p w14:paraId="01011223">
            <w:pPr>
              <w:pStyle w:val="26"/>
              <w:jc w:val="center"/>
            </w:pPr>
            <w:r>
              <w:rPr>
                <w:rFonts w:hint="eastAsia"/>
              </w:rPr>
              <w:t>铁族重核（</w:t>
            </w: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r>
                <m:rPr/>
                <m:t>26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56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10068DB5">
            <w:pPr>
              <w:pStyle w:val="26"/>
              <w:jc w:val="center"/>
            </w:pPr>
            <w:r>
              <w:rPr>
                <w:rFonts w:hint="eastAsia"/>
              </w:rPr>
              <w:t>自由电子</w:t>
            </w:r>
          </w:p>
        </w:tc>
      </w:tr>
      <w:tr w14:paraId="37AA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D0F6864">
            <w:pPr>
              <w:pStyle w:val="26"/>
              <w:jc w:val="center"/>
            </w:pPr>
            <w:r>
              <w:rPr>
                <w:rFonts w:hint="eastAsia"/>
              </w:rPr>
              <w:t>能量标度</w:t>
            </w:r>
          </w:p>
        </w:tc>
        <w:tc>
          <w:tcPr>
            <w:vAlign w:val="center"/>
          </w:tcPr>
          <w:p w14:paraId="142C1926">
            <w:pPr>
              <w:pStyle w:val="26"/>
              <w:jc w:val="center"/>
            </w:pPr>
            <w:r>
              <w:rPr>
                <w:rFonts w:hint="eastAsia"/>
              </w:rPr>
              <w:t>EeV–ZeV（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18</m:t>
                  </m:r>
                </m:sup>
              </m:sSup>
            </m:oMath>
            <w:r>
              <w:t>–</w:t>
            </w:r>
            <m:oMath>
              <m:r>
                <m:rPr/>
                <m:t>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20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eV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0E5AA9CF">
            <w:pPr>
              <w:pStyle w:val="26"/>
              <w:jc w:val="center"/>
            </w:pPr>
            <w:r>
              <w:t xml:space="preserve">sub-MeV </w:t>
            </w:r>
            <w:r>
              <w:rPr>
                <w:rFonts w:hint="eastAsia"/>
              </w:rPr>
              <w:t>至数百</w:t>
            </w:r>
            <w:r>
              <w:t xml:space="preserve"> keV</w:t>
            </w:r>
          </w:p>
        </w:tc>
      </w:tr>
      <w:tr w14:paraId="50AD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6A507E">
            <w:pPr>
              <w:pStyle w:val="26"/>
              <w:jc w:val="center"/>
            </w:pPr>
            <w:r>
              <w:rPr>
                <w:rFonts w:hint="eastAsia"/>
              </w:rPr>
              <w:t>洛伦兹因子</w:t>
            </w:r>
          </w:p>
        </w:tc>
        <w:tc>
          <w:tcPr>
            <w:vAlign w:val="center"/>
          </w:tcPr>
          <w:p w14:paraId="26EFAC44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10</m:t>
                  </m:r>
                </m:sup>
              </m:sSup>
            </m:oMath>
            <w:r>
              <w:t>–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11</m:t>
                  </m:r>
                </m:sup>
              </m:sSup>
            </m:oMath>
          </w:p>
        </w:tc>
        <w:tc>
          <w:tcPr>
            <w:vAlign w:val="center"/>
          </w:tcPr>
          <w:p w14:paraId="7E55DB4D">
            <w:pPr>
              <w:pStyle w:val="26"/>
              <w:jc w:val="center"/>
            </w:pPr>
            <m:oMath>
              <m:r>
                <m:rPr/>
                <m:t>γ</m:t>
              </m:r>
              <m:r>
                <m:rPr>
                  <m:sty m:val="p"/>
                </m:rPr>
                <m:t>∼</m:t>
              </m:r>
              <m:r>
                <m:rPr/>
                <m:t>1</m:t>
              </m:r>
            </m:oMath>
            <w:r>
              <w:t>–</w:t>
            </w:r>
            <m:oMath>
              <m:r>
                <m:rPr/>
                <m:t>10</m:t>
              </m:r>
            </m:oMath>
          </w:p>
        </w:tc>
      </w:tr>
      <w:tr w14:paraId="70B2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8DD40E">
            <w:pPr>
              <w:pStyle w:val="26"/>
              <w:jc w:val="center"/>
            </w:pPr>
            <w:r>
              <w:rPr>
                <w:rFonts w:hint="eastAsia"/>
              </w:rPr>
              <w:t>加速/标度机制</w:t>
            </w:r>
          </w:p>
        </w:tc>
        <w:tc>
          <w:tcPr>
            <w:vAlign w:val="center"/>
          </w:tcPr>
          <w:p w14:paraId="79501612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场拓扑管道超玻姆单向加速</w:t>
            </w:r>
          </w:p>
        </w:tc>
        <w:tc>
          <w:tcPr>
            <w:vAlign w:val="center"/>
          </w:tcPr>
          <w:p w14:paraId="3C12333E">
            <w:pPr>
              <w:pStyle w:val="26"/>
              <w:jc w:val="center"/>
            </w:pPr>
            <w:r>
              <w:t xml:space="preserve">A–C </w:t>
            </w:r>
            <w:r>
              <w:rPr>
                <w:rFonts w:hint="eastAsia"/>
              </w:rPr>
              <w:t>拓扑泊松约束量纲标度</w:t>
            </w:r>
          </w:p>
        </w:tc>
      </w:tr>
      <w:tr w14:paraId="2062C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8AB274">
            <w:pPr>
              <w:pStyle w:val="26"/>
              <w:jc w:val="center"/>
            </w:pPr>
            <w:r>
              <w:rPr>
                <w:rFonts w:hint="eastAsia"/>
              </w:rPr>
              <w:t>参数状态</w:t>
            </w:r>
          </w:p>
        </w:tc>
        <w:tc>
          <w:tcPr>
            <w:vAlign w:val="center"/>
          </w:tcPr>
          <w:p w14:paraId="05D8AFB4">
            <w:pPr>
              <w:pStyle w:val="26"/>
              <w:jc w:val="center"/>
            </w:pPr>
            <w:r>
              <w:rPr>
                <w:rFonts w:hint="eastAsia"/>
              </w:rPr>
              <w:t>开放（</w:t>
            </w: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pipe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  <w:tc>
          <w:tcPr>
            <w:vAlign w:val="center"/>
          </w:tcPr>
          <w:p w14:paraId="5AC321D2">
            <w:pPr>
              <w:pStyle w:val="26"/>
              <w:jc w:val="center"/>
            </w:pPr>
            <w:r>
              <w:rPr>
                <w:rFonts w:hint="eastAsia"/>
              </w:rPr>
              <w:t>开放（</w:t>
            </w:r>
            <m:oMath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A0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  <w:tr w14:paraId="165B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13603BF">
            <w:pPr>
              <w:pStyle w:val="26"/>
              <w:jc w:val="center"/>
            </w:pPr>
            <w:r>
              <w:rPr>
                <w:rFonts w:hint="eastAsia"/>
              </w:rPr>
              <w:t>饱和判据</w:t>
            </w:r>
          </w:p>
        </w:tc>
        <w:tc>
          <w:tcPr>
            <w:vAlign w:val="center"/>
          </w:tcPr>
          <w:p w14:paraId="1781A367">
            <w:pPr>
              <w:pStyle w:val="26"/>
              <w:jc w:val="center"/>
            </w:pPr>
            <w:r>
              <w:rPr>
                <w:rFonts w:hint="eastAsia"/>
              </w:rPr>
              <w:t>四级物理饱和（玻姆/光裂解/KN/拓扑耗散）</w:t>
            </w:r>
          </w:p>
        </w:tc>
        <w:tc>
          <w:tcPr>
            <w:vAlign w:val="center"/>
          </w:tcPr>
          <w:p w14:paraId="2746548B">
            <w:pPr>
              <w:pStyle w:val="26"/>
              <w:jc w:val="center"/>
            </w:pPr>
            <w:r>
              <w:rPr>
                <w:rFonts w:hint="eastAsia"/>
              </w:rPr>
              <w:t>未建立（仅标度练习，无加速机制）</w:t>
            </w:r>
          </w:p>
        </w:tc>
      </w:tr>
      <w:tr w14:paraId="5BAD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596629">
            <w:pPr>
              <w:pStyle w:val="26"/>
              <w:jc w:val="center"/>
            </w:pPr>
            <w:r>
              <w:rPr>
                <w:rFonts w:hint="eastAsia"/>
              </w:rPr>
              <w:t>传播修正</w:t>
            </w:r>
          </w:p>
        </w:tc>
        <w:tc>
          <w:tcPr>
            <w:vAlign w:val="center"/>
          </w:tcPr>
          <w:p w14:paraId="7615B791">
            <w:pPr>
              <w:pStyle w:val="26"/>
              <w:jc w:val="center"/>
            </w:pPr>
            <w:r>
              <w:rPr>
                <w:rFonts w:hint="eastAsia"/>
              </w:rPr>
              <w:t>三并联（近源/拓扑截面压制/LIV）</w:t>
            </w:r>
          </w:p>
        </w:tc>
        <w:tc>
          <w:tcPr>
            <w:vAlign w:val="center"/>
          </w:tcPr>
          <w:p w14:paraId="1BA2A486">
            <w:pPr>
              <w:pStyle w:val="26"/>
              <w:jc w:val="center"/>
            </w:pPr>
            <w:r>
              <w:rPr>
                <w:rFonts w:hint="eastAsia"/>
              </w:rPr>
              <w:t>不涉及（电子在</w:t>
            </w:r>
            <w:r>
              <w:t xml:space="preserve"> TEM </w:t>
            </w:r>
            <w:r>
              <w:rPr>
                <w:rFonts w:hint="eastAsia"/>
              </w:rPr>
              <w:t>尺度传播）</w:t>
            </w:r>
          </w:p>
        </w:tc>
      </w:tr>
      <w:tr w14:paraId="2D7B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6C9447">
            <w:pPr>
              <w:pStyle w:val="26"/>
              <w:jc w:val="center"/>
            </w:pPr>
            <w:r>
              <w:rPr>
                <w:rFonts w:hint="eastAsia"/>
              </w:rPr>
              <w:t>可检验性</w:t>
            </w:r>
          </w:p>
        </w:tc>
        <w:tc>
          <w:tcPr>
            <w:vAlign w:val="center"/>
          </w:tcPr>
          <w:p w14:paraId="0C144344">
            <w:pPr>
              <w:pStyle w:val="26"/>
              <w:jc w:val="center"/>
            </w:pPr>
            <w:r>
              <w:rPr>
                <w:rFonts w:hint="eastAsia"/>
              </w:rPr>
              <w:t>有定性预言（空间聚类、成分、多信使时延）</w:t>
            </w:r>
          </w:p>
        </w:tc>
        <w:tc>
          <w:tcPr>
            <w:vAlign w:val="center"/>
          </w:tcPr>
          <w:p w14:paraId="6D6D8E09">
            <w:pPr>
              <w:pStyle w:val="26"/>
              <w:jc w:val="center"/>
            </w:pPr>
            <w:r>
              <w:rPr>
                <w:rFonts w:hint="eastAsia"/>
              </w:rPr>
              <w:t>未建立因果机制，不声称可检验预言</w:t>
            </w:r>
          </w:p>
        </w:tc>
      </w:tr>
      <w:tr w14:paraId="62E3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vAlign w:val="center"/>
          </w:tcPr>
          <w:p w14:paraId="08EA86D0">
            <w:pPr>
              <w:pStyle w:val="26"/>
              <w:jc w:val="center"/>
            </w:pPr>
            <w:r>
              <w:rPr>
                <w:rFonts w:hint="eastAsia"/>
              </w:rPr>
              <w:t>公理依赖</w:t>
            </w:r>
          </w:p>
        </w:tc>
        <w:tc>
          <w:tcPr>
            <w:vAlign w:val="center"/>
          </w:tcPr>
          <w:p w14:paraId="6C2DD356">
            <w:pPr>
              <w:pStyle w:val="26"/>
              <w:jc w:val="center"/>
            </w:pPr>
            <w:r>
              <w:t xml:space="preserve">FCWFT </w:t>
            </w:r>
            <w:r>
              <w:rPr>
                <w:rFonts w:hint="eastAsia"/>
              </w:rPr>
              <w:t>三场公理</w:t>
            </w:r>
            <w:r>
              <w:t xml:space="preserve"> +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0.1835</m:t>
              </m:r>
            </m:oMath>
          </w:p>
        </w:tc>
        <w:tc>
          <w:tcPr>
            <w:vAlign w:val="center"/>
          </w:tcPr>
          <w:p w14:paraId="41041503">
            <w:pPr>
              <w:pStyle w:val="26"/>
              <w:jc w:val="center"/>
            </w:pPr>
            <w:r>
              <w:t xml:space="preserve">FCWFT </w:t>
            </w:r>
            <w:r>
              <w:rPr>
                <w:rFonts w:hint="eastAsia"/>
              </w:rPr>
              <w:t>三场公理（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未使用）</w:t>
            </w:r>
          </w:p>
        </w:tc>
      </w:tr>
      <w:tr w14:paraId="2DD2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12C41F">
            <w:pPr>
              <w:pStyle w:val="26"/>
              <w:jc w:val="center"/>
            </w:pPr>
            <w:r>
              <w:rPr>
                <w:rFonts w:hint="eastAsia"/>
              </w:rPr>
              <w:t>定位</w:t>
            </w:r>
          </w:p>
        </w:tc>
        <w:tc>
          <w:tcPr>
            <w:vAlign w:val="center"/>
          </w:tcPr>
          <w:p w14:paraId="5AE5E4FE">
            <w:pPr>
              <w:pStyle w:val="26"/>
              <w:jc w:val="center"/>
            </w:pPr>
            <w:r>
              <w:rPr>
                <w:rFonts w:hint="eastAsia"/>
              </w:rPr>
              <w:t>强子高能端模型（与</w:t>
            </w:r>
            <w:r>
              <w:t xml:space="preserve"> B14 </w:t>
            </w:r>
            <w:r>
              <w:rPr>
                <w:rFonts w:hint="eastAsia"/>
              </w:rPr>
              <w:t>轻子高能端对偶）</w:t>
            </w:r>
          </w:p>
        </w:tc>
        <w:tc>
          <w:tcPr>
            <w:vAlign w:val="center"/>
          </w:tcPr>
          <w:p w14:paraId="5669F593">
            <w:pPr>
              <w:pStyle w:val="26"/>
              <w:jc w:val="center"/>
            </w:pPr>
            <w:r>
              <w:rPr>
                <w:rFonts w:hint="eastAsia"/>
              </w:rPr>
              <w:t>电子低能端标度练习（与</w:t>
            </w:r>
            <w:r>
              <w:t xml:space="preserve"> A10 </w:t>
            </w:r>
            <w:r>
              <w:rPr>
                <w:rFonts w:hint="eastAsia"/>
              </w:rPr>
              <w:t>高低能对偶）</w:t>
            </w:r>
          </w:p>
        </w:tc>
      </w:tr>
    </w:tbl>
    <w:p w14:paraId="00391F53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：B54</w:t>
      </w:r>
      <w:r>
        <w:t xml:space="preserve"> </w:t>
      </w:r>
      <w:r>
        <w:rPr>
          <w:rFonts w:hint="eastAsia"/>
        </w:rPr>
        <w:t>与</w:t>
      </w:r>
      <w:r>
        <w:t xml:space="preserve"> A10 </w:t>
      </w:r>
      <w:r>
        <w:rPr>
          <w:rFonts w:hint="eastAsia"/>
        </w:rPr>
        <w:t>在公理依赖和范式结构上同构，但在能量标度、主导场、可检验性上完全互补。B54</w:t>
      </w:r>
      <w:r>
        <w:t xml:space="preserve"> </w:t>
      </w:r>
      <w:r>
        <w:rPr>
          <w:rFonts w:hint="eastAsia"/>
        </w:rPr>
        <w:t>目前停留在代数练习阶段，尚未发展出与</w:t>
      </w:r>
      <w:r>
        <w:t xml:space="preserve"> A10 </w:t>
      </w:r>
      <w:r>
        <w:rPr>
          <w:rFonts w:hint="eastAsia"/>
        </w:rPr>
        <w:t>相当的饱和判据和传播修正体系。</w:t>
      </w:r>
    </w:p>
    <w:bookmarkEnd w:id="22"/>
    <w:p w14:paraId="4F607CDA">
      <w:pPr>
        <w:pStyle w:val="5"/>
      </w:pPr>
      <w:bookmarkStart w:id="23" w:name="模型自洽性与理论局限总结"/>
      <w:r>
        <w:t xml:space="preserve">6 </w:t>
      </w:r>
      <w:r>
        <w:rPr>
          <w:rFonts w:hint="eastAsia"/>
        </w:rPr>
        <w:t>模型自洽性与理论局限总结</w:t>
      </w:r>
    </w:p>
    <w:p w14:paraId="5964AE94">
      <w:pPr>
        <w:pStyle w:val="6"/>
      </w:pPr>
      <w:bookmarkStart w:id="24" w:name="自洽性情况"/>
      <w:r>
        <w:t xml:space="preserve">6.1 </w:t>
      </w:r>
      <w:r>
        <w:rPr>
          <w:rFonts w:hint="eastAsia"/>
        </w:rPr>
        <w:t>自洽性情况</w:t>
      </w:r>
    </w:p>
    <w:p w14:paraId="2069D598">
      <w:pPr>
        <w:pStyle w:val="4"/>
      </w:pPr>
      <w:r>
        <w:rPr>
          <w:rFonts w:hint="eastAsia"/>
        </w:rPr>
        <w:t>在全部假设接受前提下，模型标度关系、场演化结构、波粒对偶变化趋势内部逻辑自洽。数学表达式层面，方程</w:t>
      </w:r>
      <w:r>
        <w:t xml:space="preserve"> (1) </w:t>
      </w:r>
      <w:r>
        <w:rPr>
          <w:rFonts w:hint="eastAsia"/>
        </w:rPr>
        <w:t>经引入</w:t>
      </w:r>
      <w:r>
        <w:t xml:space="preserve"> </w:t>
      </w:r>
      <m:oMath>
        <m:sSubSup>
          <m:sSubSupPr/>
          <m:e>
            <m:r>
              <m:rPr/>
              <m:t>ℓ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后量纲闭合。</w:t>
      </w:r>
    </w:p>
    <w:bookmarkEnd w:id="24"/>
    <w:p w14:paraId="0C4E3438">
      <w:pPr>
        <w:pStyle w:val="6"/>
      </w:pPr>
      <w:bookmarkStart w:id="25" w:name="客观存在的理论局限"/>
      <w:r>
        <w:t xml:space="preserve">6.2 </w:t>
      </w:r>
      <w:r>
        <w:rPr>
          <w:rFonts w:hint="eastAsia"/>
        </w:rPr>
        <w:t>客观存在的理论局限</w:t>
      </w:r>
    </w:p>
    <w:p w14:paraId="35C27637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情形(a)的假设性</w:t>
      </w:r>
      <w:r>
        <w:rPr>
          <w:rFonts w:hint="eastAsia"/>
        </w:rPr>
        <w:t>：</w:t>
      </w:r>
      <m:oMath>
        <m:r>
          <m:rPr/>
          <m:t>f</m:t>
        </m:r>
        <m:r>
          <m:rPr>
            <m:sty m:val="p"/>
          </m:rPr>
          <m:t>∝</m:t>
        </m:r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/>
              <m:t>4</m:t>
            </m:r>
          </m:sup>
        </m:sSubSup>
      </m:oMath>
      <w:r>
        <w:t xml:space="preserve"> </w:t>
      </w:r>
      <w:r>
        <w:rPr>
          <w:rFonts w:hint="eastAsia"/>
        </w:rPr>
        <w:t>缺乏独立推导，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γ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属假设性结论；</w:t>
      </w:r>
    </w:p>
    <w:p w14:paraId="1C9B3C62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公理特设性</w:t>
      </w:r>
      <w:r>
        <w:rPr>
          <w:rFonts w:hint="eastAsia"/>
        </w:rPr>
        <w:t>：拓扑守恒、场功能对应均为特设公理，无独立理论来源；</w:t>
      </w:r>
    </w:p>
    <w:p w14:paraId="3761DEC9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参数未封闭</w:t>
      </w:r>
      <w:r>
        <w:rPr>
          <w:rFonts w:hint="eastAsia"/>
        </w:rPr>
        <w:t>：耦合常数、基准尺度未封闭（所有参数均为开放，仅通过事后赋值展示数值相容性）；</w:t>
      </w:r>
    </w:p>
    <w:p w14:paraId="4978072C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机制缺失</w:t>
      </w:r>
      <w:r>
        <w:rPr>
          <w:rFonts w:hint="eastAsia"/>
        </w:rPr>
        <w:t>：从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到衍射角的因果机制未建立，因此不产生可检验预言；</w:t>
      </w:r>
    </w:p>
    <w:p w14:paraId="704BB87C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观测量缺乏</w:t>
      </w:r>
      <w:r>
        <w:rPr>
          <w:rFonts w:hint="eastAsia"/>
        </w:rPr>
        <w:t>：波粒权重为理论构造量，暂无直接实验观测量对应。</w:t>
      </w:r>
    </w:p>
    <w:bookmarkEnd w:id="25"/>
    <w:p w14:paraId="5FC65C77">
      <w:pPr>
        <w:pStyle w:val="6"/>
      </w:pPr>
      <w:bookmarkStart w:id="26" w:name="量纲闭合状态"/>
      <w:r>
        <w:t xml:space="preserve">6.3 </w:t>
      </w:r>
      <w:r>
        <w:rPr>
          <w:rFonts w:hint="eastAsia"/>
        </w:rPr>
        <w:t>量纲闭合状态</w:t>
      </w:r>
    </w:p>
    <w:p w14:paraId="6E4E24BD">
      <w:pPr>
        <w:pStyle w:val="4"/>
      </w:pPr>
      <w:r>
        <w:rPr>
          <w:rFonts w:hint="eastAsia"/>
        </w:rPr>
        <w:t>方程</w:t>
      </w:r>
      <w:r>
        <w:t xml:space="preserve"> (1) </w:t>
      </w:r>
      <w:r>
        <w:rPr>
          <w:rFonts w:hint="eastAsia"/>
        </w:rPr>
        <w:t>经引入</w:t>
      </w:r>
      <w:r>
        <w:t xml:space="preserve"> </w:t>
      </w:r>
      <m:oMath>
        <m:sSubSup>
          <m:sSubSupPr/>
          <m:e>
            <m:r>
              <m:rPr/>
              <m:t>ℓ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后量纲闭合，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的事后赋值方案赋予其数值意义。数学表达层面无矛盾。</w:t>
      </w:r>
    </w:p>
    <w:bookmarkEnd w:id="23"/>
    <w:bookmarkEnd w:id="26"/>
    <w:p w14:paraId="7B0511C9">
      <w:pPr>
        <w:pStyle w:val="5"/>
      </w:pPr>
      <w:bookmarkStart w:id="27" w:name="结论与展望"/>
      <w:r>
        <w:t xml:space="preserve">7 </w:t>
      </w:r>
      <w:r>
        <w:rPr>
          <w:rFonts w:hint="eastAsia"/>
        </w:rPr>
        <w:t>结论与展望</w:t>
      </w:r>
    </w:p>
    <w:p w14:paraId="4DD4F897">
      <w:pPr>
        <w:pStyle w:val="6"/>
      </w:pPr>
      <w:bookmarkStart w:id="28" w:name="主要结论"/>
      <w:r>
        <w:t xml:space="preserve">7.1 </w:t>
      </w:r>
      <w:r>
        <w:rPr>
          <w:rFonts w:hint="eastAsia"/>
        </w:rPr>
        <w:t>主要结论</w:t>
      </w:r>
    </w:p>
    <w:p w14:paraId="50088342">
      <w:pPr>
        <w:pStyle w:val="26"/>
        <w:numPr>
          <w:ilvl w:val="0"/>
          <w:numId w:val="6"/>
        </w:numPr>
      </w:pPr>
      <w:r>
        <w:rPr>
          <w:rFonts w:hint="eastAsia"/>
        </w:rPr>
        <w:t>本文在</w:t>
      </w:r>
      <w:r>
        <w:t xml:space="preserve"> FCWFT </w:t>
      </w:r>
      <w:r>
        <w:rPr>
          <w:rFonts w:hint="eastAsia"/>
        </w:rPr>
        <w:t>三场公理框架内，完成了情形(b)下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γ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5</m:t>
            </m:r>
          </m:sup>
        </m:sSup>
      </m:oMath>
      <w:r>
        <w:t xml:space="preserve"> </w:t>
      </w:r>
      <w:r>
        <w:rPr>
          <w:rFonts w:hint="eastAsia"/>
        </w:rPr>
        <w:t>的标度代数练习，该结果是所采纳公理体系的直接代数推论；</w:t>
      </w:r>
    </w:p>
    <w:p w14:paraId="06BA7DAD">
      <w:pPr>
        <w:pStyle w:val="26"/>
        <w:numPr>
          <w:ilvl w:val="0"/>
          <w:numId w:val="6"/>
        </w:numPr>
      </w:pPr>
      <w:r>
        <w:rPr>
          <w:rFonts w:hint="eastAsia"/>
        </w:rPr>
        <w:t>通过三种事后赋值方案展示了参数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与已知微观尺度的数值相容性，其中玻尔半径方案使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A0</m:t>
            </m:r>
          </m:sub>
        </m:sSub>
      </m:oMath>
      <w:r>
        <w:t xml:space="preserve"> </w:t>
      </w:r>
      <w:r>
        <w:rPr>
          <w:rFonts w:hint="eastAsia"/>
        </w:rPr>
        <w:t>落在</w:t>
      </w:r>
      <w:r>
        <w:t xml:space="preserve"> </w:t>
      </w:r>
      <m:oMath>
        <m:r>
          <m:rPr/>
          <m:t>0.265 </m:t>
        </m:r>
        <m:r>
          <m:rPr>
            <m:sty m:val="p"/>
          </m:rPr>
          <m:t>Å</m:t>
        </m:r>
      </m:oMath>
      <w:r>
        <w:t xml:space="preserve"> </w:t>
      </w:r>
      <w:r>
        <w:rPr>
          <w:rFonts w:hint="eastAsia"/>
        </w:rPr>
        <w:t>量级；</w:t>
      </w:r>
    </w:p>
    <w:p w14:paraId="5072E54F">
      <w:pPr>
        <w:pStyle w:val="26"/>
        <w:numPr>
          <w:ilvl w:val="0"/>
          <w:numId w:val="6"/>
        </w:numPr>
      </w:pPr>
      <w:r>
        <w:rPr>
          <w:rFonts w:hint="eastAsia"/>
        </w:rPr>
        <w:t>建立了与</w:t>
      </w:r>
      <w:r>
        <w:t xml:space="preserve"> A10 </w:t>
      </w:r>
      <w:r>
        <w:rPr>
          <w:rFonts w:hint="eastAsia"/>
        </w:rPr>
        <w:t>强子高能级联的对偶对照表，明确了</w:t>
      </w:r>
      <w:r>
        <w:t xml:space="preserve"> B54 </w:t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谱系中的低能电子端定位；</w:t>
      </w:r>
    </w:p>
    <w:p w14:paraId="5D7252AA">
      <w:pPr>
        <w:pStyle w:val="26"/>
        <w:numPr>
          <w:ilvl w:val="0"/>
          <w:numId w:val="6"/>
        </w:numPr>
      </w:pPr>
      <w:r>
        <w:rPr>
          <w:rFonts w:hint="eastAsia"/>
        </w:rPr>
        <w:t>诚实承认框架的所有开放性参数和未建立的因果机制，不声称任何可检验预言。</w:t>
      </w:r>
    </w:p>
    <w:bookmarkEnd w:id="28"/>
    <w:p w14:paraId="69C9B9A0">
      <w:pPr>
        <w:pStyle w:val="6"/>
      </w:pPr>
      <w:bookmarkStart w:id="29" w:name="未来研究方向"/>
      <w:r>
        <w:t xml:space="preserve">7.2 </w:t>
      </w:r>
      <w:r>
        <w:rPr>
          <w:rFonts w:hint="eastAsia"/>
        </w:rPr>
        <w:t>未来研究方向</w:t>
      </w:r>
    </w:p>
    <w:p w14:paraId="75695169">
      <w:pPr>
        <w:pStyle w:val="26"/>
        <w:numPr>
          <w:ilvl w:val="0"/>
          <w:numId w:val="7"/>
        </w:numPr>
      </w:pPr>
      <w:r>
        <w:rPr>
          <w:rFonts w:hint="eastAsia"/>
        </w:rPr>
        <w:t>寻找</w:t>
      </w:r>
      <w:r>
        <w:t xml:space="preserve"> </w:t>
      </w:r>
      <m:oMath>
        <m:r>
          <m:rPr/>
          <m:t>f</m:t>
        </m:r>
        <m:r>
          <m:rPr>
            <m:sty m:val="p"/>
          </m:rPr>
          <m:t>∝</m:t>
        </m:r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/>
              <m:t>4</m:t>
            </m:r>
          </m:sup>
        </m:sSubSup>
      </m:oMath>
      <w:r>
        <w:t xml:space="preserve"> </w:t>
      </w:r>
      <w:r>
        <w:rPr>
          <w:rFonts w:hint="eastAsia"/>
        </w:rPr>
        <w:t>的独立推导，消除情形(a)的循环依赖；</w:t>
      </w:r>
    </w:p>
    <w:p w14:paraId="19F479D8">
      <w:pPr>
        <w:pStyle w:val="26"/>
        <w:numPr>
          <w:ilvl w:val="0"/>
          <w:numId w:val="7"/>
        </w:numPr>
      </w:pPr>
      <w:r>
        <w:rPr>
          <w:rFonts w:hint="eastAsia"/>
        </w:rPr>
        <w:t>由实验或理论约束确定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FC</m:t>
            </m:r>
          </m:sub>
        </m:sSub>
      </m:oMath>
      <w:r>
        <w:rPr>
          <w:rFonts w:hint="eastAsia"/>
        </w:rPr>
        <w:t>，封闭框架参数；</w:t>
      </w:r>
    </w:p>
    <w:p w14:paraId="2487834A">
      <w:pPr>
        <w:pStyle w:val="26"/>
        <w:numPr>
          <w:ilvl w:val="0"/>
          <w:numId w:val="7"/>
        </w:numPr>
      </w:pPr>
      <w:r>
        <w:rPr>
          <w:rFonts w:hint="eastAsia"/>
        </w:rPr>
        <w:t>建立</w:t>
      </w:r>
      <w:r>
        <w:t xml:space="preserve"> A </w:t>
      </w:r>
      <w:r>
        <w:rPr>
          <w:rFonts w:hint="eastAsia"/>
        </w:rPr>
        <w:t>场拓扑收缩与</w:t>
      </w:r>
      <w:r>
        <w:t xml:space="preserve"> TEM </w:t>
      </w:r>
      <w:r>
        <w:rPr>
          <w:rFonts w:hint="eastAsia"/>
        </w:rPr>
        <w:t>衍射角之间的具体因果机制，使标度练习升级为可检验的模型；</w:t>
      </w:r>
    </w:p>
    <w:p w14:paraId="48F5A005">
      <w:pPr>
        <w:pStyle w:val="26"/>
        <w:numPr>
          <w:ilvl w:val="0"/>
          <w:numId w:val="7"/>
        </w:numPr>
      </w:pPr>
      <w:r>
        <w:rPr>
          <w:rFonts w:hint="eastAsia"/>
        </w:rPr>
        <w:t>发展类似于</w:t>
      </w:r>
      <w:r>
        <w:t xml:space="preserve"> A10 </w:t>
      </w:r>
      <w:r>
        <w:rPr>
          <w:rFonts w:hint="eastAsia"/>
        </w:rPr>
        <w:t>的四级饱和判据，为电子低能端提供加速/冷却终止条件；</w:t>
      </w:r>
    </w:p>
    <w:p w14:paraId="45E9CDFF">
      <w:pPr>
        <w:pStyle w:val="26"/>
        <w:numPr>
          <w:ilvl w:val="0"/>
          <w:numId w:val="7"/>
        </w:numPr>
      </w:pPr>
      <w:r>
        <w:rPr>
          <w:rFonts w:hint="eastAsia"/>
        </w:rPr>
        <w:t>进一步厘清三场公理结构与标准模型场论体系的对应关系。</w:t>
      </w:r>
    </w:p>
    <w:bookmarkEnd w:id="29"/>
    <w:p w14:paraId="1E1C9019">
      <w:pPr>
        <w:pStyle w:val="6"/>
      </w:pPr>
      <w:bookmarkStart w:id="30" w:name="最终声明"/>
      <w:r>
        <w:t xml:space="preserve">7.3 </w:t>
      </w:r>
      <w:r>
        <w:rPr>
          <w:rFonts w:hint="eastAsia"/>
        </w:rPr>
        <w:t>最终声明</w:t>
      </w:r>
    </w:p>
    <w:p w14:paraId="2FB1AAE6">
      <w:pPr>
        <w:pStyle w:val="4"/>
      </w:pPr>
      <w:r>
        <w:rPr>
          <w:rFonts w:hint="eastAsia"/>
        </w:rPr>
        <w:t>本文为</w:t>
      </w:r>
      <w:r>
        <w:t xml:space="preserve"> FCWFT </w:t>
      </w:r>
      <w:r>
        <w:rPr>
          <w:rFonts w:hint="eastAsia"/>
        </w:rPr>
        <w:t>体系内部的探索性标度练习，所有公理、假设、代数推论均明确标注其当前状态（假设性/代数推论/待建立/开放问题），不包含任何未经声明的隐含假设。本文不声称发现了新的物理定律，也不声称替代或修正标准量子力学与</w:t>
      </w:r>
      <w:r>
        <w:t xml:space="preserve"> </w:t>
      </w:r>
      <w:r>
        <w:rPr>
          <w:rFonts w:hint="eastAsia"/>
        </w:rPr>
        <w:t>QED。本文的学术价值在于：在诚实承认局限的前提下，为</w:t>
      </w:r>
      <w:r>
        <w:t xml:space="preserve"> FCWFT </w:t>
      </w:r>
      <w:r>
        <w:rPr>
          <w:rFonts w:hint="eastAsia"/>
        </w:rPr>
        <w:t>谱系填补了低能电子端的空白，并与</w:t>
      </w:r>
      <w:r>
        <w:t xml:space="preserve"> A10 </w:t>
      </w:r>
      <w:r>
        <w:rPr>
          <w:rFonts w:hint="eastAsia"/>
        </w:rPr>
        <w:t>形成了初步的高低能对偶。</w:t>
      </w:r>
    </w:p>
    <w:bookmarkEnd w:id="27"/>
    <w:bookmarkEnd w:id="30"/>
    <w:p w14:paraId="20432377">
      <w:pPr>
        <w:pStyle w:val="5"/>
      </w:pPr>
      <w:bookmarkStart w:id="31" w:name="附录-a三种情形对照表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A：三种情形对照表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40"/>
        <w:gridCol w:w="1114"/>
        <w:gridCol w:w="1840"/>
        <w:gridCol w:w="2859"/>
      </w:tblGrid>
      <w:tr w14:paraId="77F5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38328DD">
            <w:pPr>
              <w:pStyle w:val="26"/>
              <w:jc w:val="center"/>
            </w:pPr>
            <w:r>
              <w:rPr>
                <w:rFonts w:hint="eastAsia"/>
                <w:b/>
              </w:rPr>
              <w:t>情形</w:t>
            </w:r>
          </w:p>
        </w:tc>
        <w:tc>
          <w:tcPr>
            <w:shd w:val="clear" w:color="auto" w:fill="B9CDE5"/>
            <w:vAlign w:val="center"/>
          </w:tcPr>
          <w:p w14:paraId="517C3A26">
            <w:pPr>
              <w:pStyle w:val="26"/>
              <w:jc w:val="center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487D7A4F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A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标度</w:t>
            </w:r>
          </w:p>
        </w:tc>
        <w:tc>
          <w:tcPr>
            <w:shd w:val="clear" w:color="auto" w:fill="B9CDE5"/>
            <w:vAlign w:val="center"/>
          </w:tcPr>
          <w:p w14:paraId="2E4DFAAF">
            <w:pPr>
              <w:pStyle w:val="26"/>
              <w:jc w:val="center"/>
            </w:pPr>
            <w:r>
              <w:rPr>
                <w:rFonts w:hint="eastAsia"/>
                <w:b/>
              </w:rPr>
              <w:t>波粒权重</w:t>
            </w:r>
            <w:r>
              <w:rPr>
                <w:b/>
              </w:rPr>
              <w:t xml:space="preserve"> </w:t>
            </w:r>
            <m:oMath>
              <m:r>
                <m:rPr/>
                <m:t>P</m:t>
              </m:r>
              <m:r>
                <m:rPr>
                  <m:sty m:val="p"/>
                </m:rPr>
                <m:t>/</m:t>
              </m:r>
              <m:r>
                <m:rPr/>
                <m:t>W</m:t>
              </m:r>
            </m:oMath>
          </w:p>
        </w:tc>
        <w:tc>
          <w:tcPr>
            <w:shd w:val="clear" w:color="auto" w:fill="B9CDE5"/>
            <w:vAlign w:val="center"/>
          </w:tcPr>
          <w:p w14:paraId="629FA735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</w:tr>
      <w:tr w14:paraId="6922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4DB674">
            <w:pPr>
              <w:pStyle w:val="26"/>
              <w:jc w:val="center"/>
            </w:pPr>
            <w:r>
              <w:t xml:space="preserve">(a) </w:t>
            </w:r>
            <w:r>
              <w:rPr>
                <w:rFonts w:hint="eastAsia"/>
              </w:rPr>
              <w:t>拓扑反馈</w:t>
            </w:r>
          </w:p>
        </w:tc>
        <w:tc>
          <w:tcPr>
            <w:vAlign w:val="center"/>
          </w:tcPr>
          <w:p w14:paraId="34C05F3B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/>
                      <m:t>4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212F631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γ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7E4834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γ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2400DA1">
            <w:pPr>
              <w:pStyle w:val="26"/>
              <w:jc w:val="center"/>
            </w:pPr>
            <w:r>
              <w:rPr>
                <w:rFonts w:hint="eastAsia"/>
              </w:rPr>
              <w:t>假设性，缺乏独立推导</w:t>
            </w:r>
          </w:p>
        </w:tc>
      </w:tr>
      <w:tr w14:paraId="4A8B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BBC1E8">
            <w:pPr>
              <w:pStyle w:val="26"/>
              <w:jc w:val="center"/>
            </w:pPr>
            <w:r>
              <w:t xml:space="preserve">(b) </w:t>
            </w:r>
            <w:r>
              <w:rPr>
                <w:rFonts w:hint="eastAsia"/>
              </w:rPr>
              <w:t>无反馈</w:t>
            </w:r>
          </w:p>
        </w:tc>
        <w:tc>
          <w:tcPr>
            <w:vAlign w:val="center"/>
          </w:tcPr>
          <w:p w14:paraId="4756716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const</m:t>
                </m:r>
              </m:oMath>
            </m:oMathPara>
          </w:p>
        </w:tc>
        <w:tc>
          <w:tcPr>
            <w:vAlign w:val="center"/>
          </w:tcPr>
          <w:p w14:paraId="5F4F326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γ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554F1B4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γ</m:t>
                    </m:r>
                  </m:e>
                  <m:sup>
                    <m:r>
                      <m:rPr/>
                      <m:t>6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ABD0D2A">
            <w:pPr>
              <w:pStyle w:val="26"/>
              <w:jc w:val="center"/>
            </w:pPr>
            <w:r>
              <w:rPr>
                <w:rFonts w:hint="eastAsia"/>
              </w:rPr>
              <w:t>代数推论，参数开放</w:t>
            </w:r>
          </w:p>
        </w:tc>
      </w:tr>
      <w:tr w14:paraId="5C23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C17087">
            <w:pPr>
              <w:pStyle w:val="26"/>
              <w:jc w:val="center"/>
            </w:pPr>
            <w:r>
              <w:t xml:space="preserve">(c) </w:t>
            </w:r>
            <w:r>
              <w:rPr>
                <w:rFonts w:hint="eastAsia"/>
              </w:rPr>
              <w:t>其他</w:t>
            </w:r>
          </w:p>
        </w:tc>
        <w:tc>
          <w:tcPr>
            <w:vAlign w:val="center"/>
          </w:tcPr>
          <w:p w14:paraId="58B64339">
            <w:pPr>
              <w:pStyle w:val="26"/>
              <w:jc w:val="center"/>
            </w:pPr>
            <w:r>
              <w:rPr>
                <w:rFonts w:hint="eastAsia"/>
              </w:rPr>
              <w:t>待定</w:t>
            </w:r>
          </w:p>
        </w:tc>
        <w:tc>
          <w:tcPr>
            <w:vAlign w:val="center"/>
          </w:tcPr>
          <w:p w14:paraId="76568E58">
            <w:pPr>
              <w:pStyle w:val="26"/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vAlign w:val="center"/>
          </w:tcPr>
          <w:p w14:paraId="25E44F17">
            <w:pPr>
              <w:pStyle w:val="26"/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vAlign w:val="center"/>
          </w:tcPr>
          <w:p w14:paraId="0E755BE8">
            <w:pPr>
              <w:pStyle w:val="26"/>
              <w:jc w:val="center"/>
            </w:pPr>
            <w:r>
              <w:rPr>
                <w:rFonts w:hint="eastAsia"/>
              </w:rPr>
              <w:t>开放</w:t>
            </w:r>
          </w:p>
        </w:tc>
      </w:tr>
      <w:bookmarkEnd w:id="31"/>
    </w:tbl>
    <w:p w14:paraId="4971AA76">
      <w:pPr>
        <w:pStyle w:val="5"/>
      </w:pPr>
      <w:bookmarkStart w:id="32" w:name="附录-bell_0-事后赋值方案的数值影响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</w:t>
      </w:r>
      <m:oMath>
        <m:sSub>
          <m:sSubPr/>
          <m:e>
            <m:r>
              <m:rPr/>
              <m:t>ℓ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事后赋值方案的数值影响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047"/>
        <w:gridCol w:w="1632"/>
        <w:gridCol w:w="3889"/>
      </w:tblGrid>
      <w:tr w14:paraId="34A8D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7D5FA9C">
            <w:pPr>
              <w:pStyle w:val="26"/>
              <w:jc w:val="center"/>
            </w:pPr>
            <w:r>
              <w:rPr>
                <w:rFonts w:hint="eastAsia"/>
                <w:b/>
              </w:rPr>
              <w:t>方案</w:t>
            </w:r>
          </w:p>
        </w:tc>
        <w:tc>
          <w:tcPr>
            <w:shd w:val="clear" w:color="auto" w:fill="B9CDE5"/>
            <w:vAlign w:val="center"/>
          </w:tcPr>
          <w:p w14:paraId="7B8A2DC6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取值</w:t>
            </w:r>
          </w:p>
        </w:tc>
        <w:tc>
          <w:tcPr>
            <w:shd w:val="clear" w:color="auto" w:fill="B9CDE5"/>
            <w:vAlign w:val="center"/>
          </w:tcPr>
          <w:p w14:paraId="5D9BD124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A0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量级</w:t>
            </w:r>
          </w:p>
        </w:tc>
        <w:tc>
          <w:tcPr>
            <w:shd w:val="clear" w:color="auto" w:fill="B9CDE5"/>
            <w:vAlign w:val="center"/>
          </w:tcPr>
          <w:p w14:paraId="62F859D5">
            <w:pPr>
              <w:pStyle w:val="26"/>
              <w:jc w:val="center"/>
            </w:pPr>
            <w:r>
              <w:rPr>
                <w:rFonts w:hint="eastAsia"/>
                <w:b/>
              </w:rPr>
              <w:t>与</w:t>
            </w:r>
            <w:r>
              <w:rPr>
                <w:b/>
              </w:rPr>
              <w:t xml:space="preserve"> TEM </w:t>
            </w:r>
            <w:r>
              <w:rPr>
                <w:rFonts w:hint="eastAsia"/>
                <w:b/>
              </w:rPr>
              <w:t>尺度匹配度</w:t>
            </w:r>
          </w:p>
        </w:tc>
      </w:tr>
      <w:tr w14:paraId="5306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E66AC7">
            <w:pPr>
              <w:pStyle w:val="26"/>
              <w:jc w:val="center"/>
            </w:pPr>
            <w:r>
              <w:rPr>
                <w:rFonts w:hint="eastAsia"/>
              </w:rPr>
              <w:t>电子经典半径</w:t>
            </w:r>
          </w:p>
        </w:tc>
        <w:tc>
          <w:tcPr>
            <w:vAlign w:val="center"/>
          </w:tcPr>
          <w:p w14:paraId="5136A474">
            <w:pPr>
              <w:pStyle w:val="26"/>
              <w:jc w:val="center"/>
            </w:pPr>
            <m:oMathPara>
              <m:oMath>
                <m:r>
                  <m:rPr/>
                  <m:t>2.82 </m:t>
                </m:r>
                <m:r>
                  <m:rPr>
                    <m:sty m:val="p"/>
                  </m:rPr>
                  <m:t>fm</m:t>
                </m:r>
              </m:oMath>
            </m:oMathPara>
          </w:p>
        </w:tc>
        <w:tc>
          <w:tcPr>
            <w:vAlign w:val="center"/>
          </w:tcPr>
          <w:p w14:paraId="72C0E6D8">
            <w:pPr>
              <w:pStyle w:val="26"/>
              <w:jc w:val="center"/>
            </w:pPr>
            <w:r>
              <w:rPr>
                <w:rFonts w:hint="eastAsia"/>
              </w:rPr>
              <w:t>极小（</w:t>
            </w:r>
            <m:oMath>
              <m:r>
                <m:rPr>
                  <m:sty m:val="p"/>
                </m:rPr>
                <m:t>≪Å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497BAD9B">
            <w:pPr>
              <w:pStyle w:val="26"/>
              <w:jc w:val="center"/>
            </w:pPr>
            <w:r>
              <w:t xml:space="preserve">❌ </w:t>
            </w:r>
            <w:r>
              <w:rPr>
                <w:rFonts w:hint="eastAsia"/>
              </w:rPr>
              <w:t>不匹配</w:t>
            </w:r>
          </w:p>
        </w:tc>
      </w:tr>
      <w:tr w14:paraId="28A7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E30CB3">
            <w:pPr>
              <w:pStyle w:val="26"/>
              <w:jc w:val="center"/>
            </w:pPr>
            <w:r>
              <w:rPr>
                <w:rFonts w:hint="eastAsia"/>
              </w:rPr>
              <w:t>玻尔半径</w:t>
            </w:r>
          </w:p>
        </w:tc>
        <w:tc>
          <w:tcPr>
            <w:vAlign w:val="center"/>
          </w:tcPr>
          <w:p w14:paraId="0388D2CD">
            <w:pPr>
              <w:pStyle w:val="26"/>
              <w:jc w:val="center"/>
            </w:pPr>
            <m:oMathPara>
              <m:oMath>
                <m:r>
                  <m:rPr/>
                  <m:t>0.529 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  <w:tc>
          <w:tcPr>
            <w:vAlign w:val="center"/>
          </w:tcPr>
          <w:p w14:paraId="79E040A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0.265 </m:t>
                </m:r>
                <m:r>
                  <m:rPr>
                    <m:sty m:val="p"/>
                  </m:rPr>
                  <m:t>Å</m:t>
                </m:r>
              </m:oMath>
            </m:oMathPara>
          </w:p>
        </w:tc>
        <w:tc>
          <w:tcPr>
            <w:vAlign w:val="center"/>
          </w:tcPr>
          <w:p w14:paraId="11753446">
            <w:pPr>
              <w:pStyle w:val="26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>数值相容，无第一性原理依据</w:t>
            </w:r>
          </w:p>
        </w:tc>
      </w:tr>
      <w:tr w14:paraId="56EF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2E7C22">
            <w:pPr>
              <w:pStyle w:val="26"/>
              <w:jc w:val="center"/>
            </w:pPr>
            <w:r>
              <w:rPr>
                <w:rFonts w:hint="eastAsia"/>
              </w:rPr>
              <w:t>康普顿波长</w:t>
            </w:r>
          </w:p>
        </w:tc>
        <w:tc>
          <w:tcPr>
            <w:vAlign w:val="center"/>
          </w:tcPr>
          <w:p w14:paraId="47E3EE86">
            <w:pPr>
              <w:pStyle w:val="26"/>
              <w:jc w:val="center"/>
            </w:pPr>
            <m:oMathPara>
              <m:oMath>
                <m:r>
                  <m:rPr/>
                  <m:t>2.43 </m:t>
                </m:r>
                <m:r>
                  <m:rPr>
                    <m:sty m:val="p"/>
                  </m:rPr>
                  <m:t>pm</m:t>
                </m:r>
              </m:oMath>
            </m:oMathPara>
          </w:p>
        </w:tc>
        <w:tc>
          <w:tcPr>
            <w:vAlign w:val="center"/>
          </w:tcPr>
          <w:p w14:paraId="4B5E0A3E">
            <w:pPr>
              <w:pStyle w:val="26"/>
              <w:jc w:val="center"/>
            </w:pPr>
            <w:r>
              <w:rPr>
                <w:rFonts w:hint="eastAsia"/>
              </w:rPr>
              <w:t>亚</w:t>
            </w:r>
            <w:r>
              <w:t xml:space="preserve"> </w:t>
            </w:r>
            <m:oMath>
              <m:r>
                <m:rPr>
                  <m:sty m:val="p"/>
                </m:rPr>
                <m:t>Å</m:t>
              </m:r>
            </m:oMath>
          </w:p>
        </w:tc>
        <w:tc>
          <w:tcPr>
            <w:vAlign w:val="center"/>
          </w:tcPr>
          <w:p w14:paraId="471B0E80">
            <w:pPr>
              <w:pStyle w:val="26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>可考虑</w:t>
            </w:r>
          </w:p>
        </w:tc>
      </w:tr>
      <w:bookmarkEnd w:id="32"/>
    </w:tbl>
    <w:p w14:paraId="1AD49FD1">
      <w:pPr>
        <w:pStyle w:val="5"/>
      </w:pPr>
      <w:bookmarkStart w:id="33" w:name="附录-c情形b标度练习的详细量纲分析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C：情形(b)标度练习的详细量纲分析</w:t>
      </w:r>
    </w:p>
    <w:p w14:paraId="046F4EA1">
      <w:pPr>
        <w:pStyle w:val="4"/>
      </w:pPr>
      <w:r>
        <w:rPr>
          <w:rFonts w:hint="eastAsia"/>
        </w:rPr>
        <w:t>由式</w:t>
      </w:r>
      <w:r>
        <w:t xml:space="preserve"> (1) </w:t>
      </w:r>
      <w:r>
        <w:rPr>
          <w:rFonts w:hint="eastAsia"/>
        </w:rPr>
        <w:t>在</w:t>
      </w:r>
      <w:r>
        <w:t xml:space="preserve"> </w:t>
      </w:r>
      <m:oMath>
        <m:r>
          <m:rPr/>
          <m:t>f</m:t>
        </m:r>
        <m:r>
          <m:rPr>
            <m:sty m:val="p"/>
          </m:rPr>
          <m:t>=const</m:t>
        </m:r>
      </m:oMath>
      <w:r>
        <w:t xml:space="preserve"> </w:t>
      </w:r>
      <w:r>
        <w:rPr>
          <w:rFonts w:hint="eastAsia"/>
        </w:rPr>
        <w:t>时的量纲匹配：</w:t>
      </w:r>
    </w:p>
    <w:p w14:paraId="6ACC323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∼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FC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</w:p>
    <w:p w14:paraId="63FDAA1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bSup>
          <m:sSubSupPr/>
          <m:e>
            <m:r>
              <m:rPr/>
              <m:t>R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bSup>
      </m:oMath>
      <w:r>
        <w:rPr>
          <w:rFonts w:hint="eastAsia"/>
        </w:rPr>
        <w:t>，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</m:t>
        </m:r>
        <m:r>
          <m:rPr/>
          <m:t>γ</m:t>
        </m:r>
      </m:oMath>
      <w:r>
        <w:rPr>
          <w:rFonts w:hint="eastAsia"/>
        </w:rPr>
        <w:t>。代入得：</w:t>
      </w:r>
    </w:p>
    <w:p w14:paraId="79B8F64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bSup>
          <m:r>
            <m:rPr>
              <m:sty m:val="p"/>
            </m:rPr>
            <m:t>∼</m:t>
          </m:r>
          <m:r>
            <m:rPr/>
            <m:t>γ</m:t>
          </m:r>
          <m:r>
            <m:rPr>
              <m:sty m:val="p"/>
            </m:rPr>
            <m:t>⟹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γ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5</m:t>
              </m:r>
            </m:sup>
          </m:sSup>
        </m:oMath>
      </m:oMathPara>
    </w:p>
    <w:p w14:paraId="0C822A84">
      <w:pPr>
        <w:pStyle w:val="4"/>
      </w:pPr>
      <w:r>
        <w:rPr>
          <w:rFonts w:hint="eastAsia"/>
        </w:rPr>
        <w:t>即为式</w:t>
      </w:r>
      <w:r>
        <w:t xml:space="preserve"> </w:t>
      </w:r>
      <w:r>
        <w:rPr>
          <w:rFonts w:hint="eastAsia"/>
        </w:rPr>
        <w:t>(5)。该推导无额外假设，是情形(b)下的严格代数结果。</w:t>
      </w:r>
    </w:p>
    <w:bookmarkEnd w:id="33"/>
    <w:p w14:paraId="568FE111">
      <w:pPr>
        <w:pStyle w:val="5"/>
      </w:pPr>
      <w:bookmarkStart w:id="34" w:name="参考文献"/>
      <w:r>
        <w:rPr>
          <w:rFonts w:hint="eastAsia"/>
        </w:rPr>
        <w:t>参考文献</w:t>
      </w:r>
    </w:p>
    <w:p w14:paraId="19DD72D5">
      <w:pPr>
        <w:pStyle w:val="4"/>
      </w:pPr>
      <w:r>
        <w:t>[1] Dirac P A M. The quantum theory of the electron. Proc. R. Soc. A, 1928, 117: 610.</w:t>
      </w:r>
      <w:r>
        <w:br w:type="textWrapping"/>
      </w:r>
      <w:r>
        <w:t>[2] Peskin M E, Schroeder D V. An Introduction to Quantum Field Theory. CRC Press, 1995.</w:t>
      </w:r>
      <w:r>
        <w:br w:type="textWrapping"/>
      </w:r>
      <w:r>
        <w:t>[3] de Broglie L. Recherches sur la théorie des quanta. Ann. Phys., 1925, 3: 22.</w:t>
      </w:r>
      <w:r>
        <w:br w:type="textWrapping"/>
      </w:r>
      <w:r>
        <w:t>[4] Davisson C, Germer L H. Diffraction of electrons by a crystal of nickel. Phys. Rev., 1927, 30: 705.</w:t>
      </w:r>
      <w:r>
        <w:br w:type="textWrapping"/>
      </w:r>
      <w:r>
        <w:t>[5] Erni R, et al. Atomic-resolution imaging with a sub-50-pm electron probe. Phys. Rev. Lett., 2009, 102: 096101.</w:t>
      </w:r>
      <w:r>
        <w:br w:type="textWrapping"/>
      </w:r>
      <w:r>
        <w:t>[6] Cowley J M, Moodie A F. The scattering of electrons by atoms and crystals. Acta Cryst., 1957, 10: 609.</w:t>
      </w:r>
      <w:r>
        <w:br w:type="textWrapping"/>
      </w:r>
      <w:r>
        <w:t>[7] Majert S, Kohl H. Relativistic effects in elastic scattering of electrons. Ultramicroscopy, 2019, 197: 60.</w:t>
      </w:r>
      <w:r>
        <w:br w:type="textWrapping"/>
      </w:r>
      <w:r>
        <w:t>[8] Scully M O, Englert B-G, Walther H. Quantum optical tests of complementarity. Nature, 1991, 351: 111.</w:t>
      </w:r>
      <w:r>
        <w:br w:type="textWrapping"/>
      </w:r>
      <w:r>
        <w:t>[9] Kirkland E J. Advanced Computing in Electron Microscopy. Springer, 3rd ed., 2020.</w:t>
      </w:r>
      <w:r>
        <w:br w:type="textWrapping"/>
      </w:r>
      <w:r>
        <w:t>[10] Rose H H. Geometrical Charged-Particle Optics. Springer, 2009.</w:t>
      </w:r>
      <w:r>
        <w:br w:type="textWrapping"/>
      </w:r>
      <w:r>
        <w:t>[11] Reimer L. Transmission Electron Microscopy: Physics of Image Formation and Microanalysis. Springer, 1997.</w:t>
      </w:r>
      <w:r>
        <w:br w:type="textWrapping"/>
      </w:r>
      <w:r>
        <w:t>[12] Li Z J, Zhao G Y, Xue Y Y. A10: FCWFT framework neutron star merger giant β transformation cascade: B-field topological pipeline hadron acceleration, heavy nucleus photodisintegration and super-GZK cosmic ray first-principle model, 2026 (internal series).</w:t>
      </w:r>
      <w:r>
        <w:br w:type="textWrapping"/>
      </w:r>
      <w:r>
        <w:t>[13] Li Z J, Zhao G Y, Xue Y Y. B14: Gamma-ray burst shock bowstring cascade under FCWFT framework, 2026 (internal series).</w:t>
      </w:r>
      <w:r>
        <w:br w:type="textWrapping"/>
      </w:r>
      <w:r>
        <w:t>[14] Li Z J, Zhao G Y, Xue Y Y. B35/B36: Three-field axioms and particle mass spectrum, 2026 (internal series).</w:t>
      </w:r>
    </w:p>
    <w:p w14:paraId="3C4FB3B9">
      <w:pPr>
        <w:pStyle w:val="3"/>
      </w:pPr>
      <w:bookmarkStart w:id="35" w:name="_GoBack"/>
      <w:bookmarkEnd w:id="35"/>
    </w:p>
    <w:bookmarkEnd w:id="0"/>
    <w:bookmarkEnd w:id="3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5A54A82"/>
    <w:rsid w:val="07B93491"/>
    <w:rsid w:val="17E07271"/>
    <w:rsid w:val="23F60193"/>
    <w:rsid w:val="345D63A4"/>
    <w:rsid w:val="354D6418"/>
    <w:rsid w:val="367E3A4E"/>
    <w:rsid w:val="380A4A6F"/>
    <w:rsid w:val="444A6219"/>
    <w:rsid w:val="51BB0241"/>
    <w:rsid w:val="5A365D37"/>
    <w:rsid w:val="7C1A5E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499</Words>
  <Characters>592</Characters>
  <Lines>283</Lines>
  <Paragraphs>310</Paragraphs>
  <TotalTime>0</TotalTime>
  <ScaleCrop>false</ScaleCrop>
  <LinksUpToDate>false</LinksUpToDate>
  <CharactersWithSpaces>622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2026-09-29T05:44:00Z</dcterms:created>
  <dc:creator>迈斯纳效应</dc:creator>
  <cp:lastModifiedBy>迈斯纳效应</cp:lastModifiedBy>
  <dcterms:modified xsi:type="dcterms:W3CDTF">2026-09-29T05:48:05Z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BCD10B47ED204E2FBC31400097366F12_12</vt:lpwstr>
  </property>
</Properties>
</file>