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1FA43">
      <w:pPr>
        <w:pStyle w:val="4"/>
      </w:pPr>
      <w:r>
        <w:rPr>
          <w:rFonts w:hint="eastAsia"/>
          <w:b/>
          <w:bCs/>
          <w:sz w:val="32"/>
          <w:szCs w:val="32"/>
        </w:rPr>
        <w:t>场组合波函数理论的数学基础与标准模型还原性研究</w:t>
      </w:r>
    </w:p>
    <w:p w14:paraId="6E845747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作者：</w:t>
      </w:r>
      <w:r>
        <w:rPr>
          <w:rFonts w:hint="eastAsia" w:eastAsia="宋体"/>
          <w:lang w:val="en-US" w:eastAsia="zh-CN"/>
        </w:rPr>
        <w:t>李志军  山西省农业厅（牧校）  赵光耀  重庆大学</w:t>
      </w:r>
    </w:p>
    <w:p w14:paraId="44597FD4">
      <w:pPr>
        <w:pStyle w:val="3"/>
      </w:pPr>
      <w:r>
        <w:rPr>
          <w:rFonts w:hint="eastAsia"/>
          <w:b/>
          <w:bCs/>
        </w:rPr>
        <w:t>摘要</w:t>
      </w:r>
    </w:p>
    <w:p w14:paraId="6B435F51">
      <w:pPr>
        <w:pStyle w:val="3"/>
      </w:pPr>
      <w:r>
        <w:rPr>
          <w:rFonts w:hint="eastAsia"/>
        </w:rPr>
        <w:t>本文针对场组合波函数理论存在的数学严谨性问题，系统构建了完整的数学框架。通过严格定义涡旋场代数、规范对称性结构和动力学方程，解决了符号表述模糊、核心概念定义不清等基础问题。特别地，本文详细证明了该理论如何自然还原到标准模型的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)×SU(</m:t>
        </m:r>
        <m:r>
          <m:rPr/>
          <m:t>2</m:t>
        </m:r>
        <m:r>
          <m:rPr>
            <m:sty m:val="p"/>
          </m:rPr>
          <m:t>)×U(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规范对称性，并推导出传播子、散射振幅等可观测量的具体表达式。理论在保持创新性的同时，确保了与现有物理理论的数学兼容性和实验可验证性。</w:t>
      </w:r>
    </w:p>
    <w:p w14:paraId="6C763A75">
      <w:pPr>
        <w:pStyle w:val="3"/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场组合波函数；数学基础；规范对称性；标准模型还原；传播子；散射振幅</w:t>
      </w:r>
    </w:p>
    <w:p w14:paraId="6E7E160E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数学符号与表述的严格化</w:t>
      </w:r>
    </w:p>
    <w:p w14:paraId="0B97045F">
      <w:pPr>
        <w:pStyle w:val="4"/>
        <w:rPr>
          <w:b/>
          <w:bCs/>
        </w:rPr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基本符号的明确定义</w:t>
      </w:r>
    </w:p>
    <w:p w14:paraId="5BC9DC91">
      <w:pPr>
        <w:pStyle w:val="3"/>
      </w:pPr>
      <w:r>
        <w:rPr>
          <w:rFonts w:hint="eastAsia"/>
        </w:rPr>
        <w:t>张量积符号</w:t>
      </w:r>
      <w:r>
        <w:t xml:space="preserve"> “</w:t>
      </w:r>
      <m:oMath>
        <m:r>
          <m:rPr>
            <m:sty m:val="p"/>
          </m:rPr>
          <m:t>⊗</m:t>
        </m:r>
      </m:oMath>
      <w:r>
        <w:t xml:space="preserve">” </w:t>
      </w:r>
      <w:r>
        <w:rPr>
          <w:rFonts w:hint="eastAsia"/>
        </w:rPr>
        <w:t>的严格定义：</w:t>
      </w:r>
      <w:r>
        <w:br w:type="textWrapping"/>
      </w:r>
      <w:r>
        <w:rPr>
          <w:rFonts w:hint="eastAsia"/>
        </w:rPr>
        <w:t>在希尔伯特空间</w:t>
      </w:r>
      <w:r>
        <w:t xml:space="preserve"> </w:t>
      </w:r>
      <m:oMath>
        <m:r>
          <m:rPr>
            <m:sty m:val="p"/>
            <m:scr m:val="script"/>
          </m:rPr>
          <m:t>ℋ</m:t>
        </m:r>
      </m:oMath>
      <w:r>
        <w:t xml:space="preserve"> </w:t>
      </w:r>
      <w:r>
        <w:rPr>
          <w:rFonts w:hint="eastAsia"/>
        </w:rPr>
        <w:t>中，场算符的张量积定义为：</w:t>
      </w:r>
      <w:r>
        <w:br w:type="textWrapping"/>
      </w:r>
      <m:oMathPara>
        <m:oMath>
          <m:r>
            <m:rPr>
              <m:sty m:val="p"/>
              <m:scr m:val="script"/>
            </m:rPr>
            <m:t>A</m:t>
          </m:r>
          <m:r>
            <m:rPr>
              <m:sty m:val="p"/>
            </m:rPr>
            <m:t>⊗</m:t>
          </m:r>
          <m:r>
            <m:rPr>
              <m:sty m:val="p"/>
              <m:scr m:val="script"/>
            </m:rPr>
            <m:t>ℬ</m:t>
          </m:r>
          <m:box>
            <m:boxPr>
              <m:opEmu m:val="1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{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}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⊗</m:t>
        </m:r>
      </m:oMath>
      <w:r>
        <w:t xml:space="preserve"> </w:t>
      </w:r>
      <w:r>
        <w:rPr>
          <w:rFonts w:hint="eastAsia"/>
        </w:rPr>
        <w:t>表示希尔伯特空间的张量积运算，满足双线性性和结合律。</w:t>
      </w:r>
    </w:p>
    <w:p w14:paraId="7220EDC3">
      <w:pPr>
        <w:pStyle w:val="3"/>
      </w:pPr>
      <w:r>
        <w:rPr>
          <w:rFonts w:hint="eastAsia"/>
        </w:rPr>
        <w:t>厄米共轭</w:t>
      </w:r>
      <w:r>
        <w:t xml:space="preserve"> “h.c.” </w:t>
      </w:r>
      <w:r>
        <w:rPr>
          <w:rFonts w:hint="eastAsia"/>
        </w:rPr>
        <w:t>的规范表述：</w:t>
      </w:r>
      <w:r>
        <w:br w:type="textWrapping"/>
      </w:r>
      <w:r>
        <w:rPr>
          <w:rFonts w:hint="eastAsia"/>
        </w:rPr>
        <w:t>对于任意算符</w:t>
      </w:r>
      <w:r>
        <w:t xml:space="preserve"> </w:t>
      </w:r>
      <m:oMath>
        <m:r>
          <m:rPr/>
          <m:t>O</m:t>
        </m:r>
      </m:oMath>
      <w:r>
        <w:rPr>
          <w:rFonts w:hint="eastAsia"/>
        </w:rPr>
        <w:t>，其厄米共轭</w:t>
      </w:r>
      <w:r>
        <w:t xml:space="preserve"> </w:t>
      </w:r>
      <m:oMath>
        <m:sSup>
          <m:sSupPr/>
          <m:e>
            <m:r>
              <m:rPr/>
              <m:t>O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rPr>
          <w:rFonts w:hint="eastAsia"/>
        </w:rPr>
        <w:t>满足：</w:t>
      </w:r>
    </w:p>
    <w:p w14:paraId="0280C02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ϕ</m:t>
          </m:r>
          <m:r>
            <m:rPr>
              <m:sty m:val="p"/>
            </m:rPr>
            <m:t>|</m:t>
          </m:r>
          <m:sSup>
            <m:sSupPr/>
            <m:e>
              <m:r>
                <m:rPr/>
                <m:t>O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ψ</m:t>
          </m:r>
          <m:r>
            <m:rPr>
              <m:sty m:val="p"/>
            </m:rPr>
            <m:t>⟩=⟨</m:t>
          </m:r>
          <m:r>
            <m:rPr/>
            <m:t>Oϕ</m:t>
          </m:r>
          <m:r>
            <m:rPr>
              <m:sty m:val="p"/>
            </m:rPr>
            <m:t>|</m:t>
          </m:r>
          <m:r>
            <m:rPr/>
            <m:t>ψ</m:t>
          </m:r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在拉格朗日量中，h.c.</w:t>
      </w:r>
      <w:r>
        <w:t xml:space="preserve"> </w:t>
      </w:r>
      <w:r>
        <w:rPr>
          <w:rFonts w:hint="eastAsia"/>
        </w:rPr>
        <w:t>项确保作用量的厄米性。</w:t>
      </w:r>
    </w:p>
    <w:p w14:paraId="28CBE66B">
      <w:pPr>
        <w:pStyle w:val="3"/>
        <w:rPr>
          <w:b/>
          <w:bCs/>
        </w:rPr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>涡旋场算符的严格数学定义</w:t>
      </w:r>
    </w:p>
    <w:p w14:paraId="77DF2DB8">
      <w:pPr>
        <w:pStyle w:val="3"/>
      </w:pPr>
      <w:r>
        <w:rPr>
          <w:rFonts w:hint="eastAsia"/>
        </w:rPr>
        <w:t>电磁涡旋场（A场）的严格定义：</w:t>
      </w:r>
    </w:p>
    <w:p w14:paraId="71E0377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)−</m:t>
              </m:r>
              <m:r>
                <m:rPr/>
                <m:t>i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A</m:t>
                  </m:r>
                </m:sub>
              </m:s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B</m:t>
              </m:r>
            </m:sub>
          </m:sSub>
        </m:oMath>
      </m:oMathPara>
    </w:p>
    <w:p w14:paraId="7D25BACC">
      <w:pPr>
        <w:pStyle w:val="4"/>
      </w:pPr>
      <w:r>
        <w:br w:type="textWrapping"/>
      </w: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ϕ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：标量场算符，满足</w:t>
      </w:r>
      <w:r>
        <w:t xml:space="preserve"> </w:t>
      </w:r>
      <m:oMath>
        <m:r>
          <m:rPr>
            <m:sty m:val="p"/>
          </m:rPr>
          <m:t>[</m:t>
        </m:r>
        <m:sSub>
          <m:sSubPr/>
          <m:e>
            <m:r>
              <m:rPr/>
              <m:t>ϕ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),</m:t>
        </m:r>
        <m:sSub>
          <m:sSubPr/>
          <m:e>
            <m:r>
              <m:rPr/>
              <m:t>ϕ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)]=</m:t>
        </m:r>
        <m:r>
          <m:rPr/>
          <m:t>i</m:t>
        </m:r>
        <m:r>
          <m:rPr>
            <m:sty m:val="p"/>
          </m:rPr>
          <m:t>Δ(</m:t>
        </m:r>
        <m:r>
          <m:rPr/>
          <m:t>x</m:t>
        </m:r>
        <m:r>
          <m:rPr>
            <m:sty m:val="p"/>
          </m:rPr>
          <m:t>−</m:t>
        </m:r>
        <m:r>
          <m:rPr/>
          <m:t>y</m:t>
        </m:r>
        <m:r>
          <m:rPr>
            <m:sty m:val="p"/>
          </m:rPr>
          <m:t>)</m:t>
        </m:r>
      </m:oMath>
      <w:r>
        <w:br w:type="textWrapping"/>
      </w:r>
      <w:r>
        <w:t xml:space="preserve">* </w:t>
      </w:r>
      <m:oMath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：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规范场，满足</w:t>
      </w:r>
      <w:r>
        <w:t xml:space="preserve"> </w:t>
      </w:r>
      <m:oMath>
        <m:sSup>
          <m:sSupPr/>
          <m:e>
            <m:r>
              <m:rPr>
                <m:sty m:val="p"/>
              </m:rPr>
              <m:t>∂</m:t>
            </m:r>
          </m:e>
          <m:sup>
            <m:r>
              <m:rPr/>
              <m:t>μ</m:t>
            </m:r>
          </m:sup>
        </m:sSup>
        <m:sSub>
          <m:sSubPr/>
          <m:e>
            <m:r>
              <m:rPr/>
              <m:t>F</m:t>
            </m:r>
          </m:e>
          <m:sub>
            <m:r>
              <m:rPr/>
              <m:t>μν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br w:type="textWrapping"/>
      </w:r>
      <w:r>
        <w:t xml:space="preserve">* </w:t>
      </w:r>
      <m:oMath>
        <m:r>
          <m:rPr>
            <m:sty m:val="p"/>
          </m:rPr>
          <m:t>⊗</m:t>
        </m:r>
      </m:oMath>
      <w:r>
        <w:rPr>
          <w:rFonts w:hint="eastAsia"/>
        </w:rPr>
        <w:t>：明确表示场算符的张量积</w:t>
      </w:r>
    </w:p>
    <w:p w14:paraId="38AD9165">
      <w:pPr>
        <w:pStyle w:val="3"/>
      </w:pPr>
      <w:r>
        <w:rPr>
          <w:rFonts w:hint="eastAsia"/>
        </w:rPr>
        <w:t>色荷涡旋场（B场）的严格定义：</w:t>
      </w:r>
    </w:p>
    <w:p w14:paraId="5952AE0D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p>
            <m:sSupPr/>
            <m:e>
              <m:r>
                <m:rPr/>
                <m:t>ϵ</m:t>
              </m:r>
            </m:e>
            <m:sup>
              <m:r>
                <m:rPr/>
                <m:t>abc</m:t>
              </m:r>
            </m:sup>
          </m:sSup>
          <m:d>
            <m:dPr>
              <m:sepChr m:val=""/>
            </m:dPr>
            <m:e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b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)−</m:t>
              </m:r>
              <m:r>
                <m:rPr/>
                <m:t>i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</m:sSub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μ</m:t>
                  </m:r>
                </m:sub>
                <m:sup>
                  <m:r>
                    <m:rPr/>
                    <m:t>b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</m:e>
          </m:d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生成元，满足</w:t>
      </w:r>
      <w:r>
        <w:t xml:space="preserve"> </w:t>
      </w:r>
      <m:oMath>
        <m:r>
          <m:rPr>
            <m:sty m:val="p"/>
          </m:rPr>
          <m:t>[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T</m:t>
            </m:r>
          </m:e>
          <m:sup>
            <m:r>
              <m:rPr/>
              <m:t>b</m:t>
            </m:r>
          </m:sup>
        </m:sSup>
        <m:r>
          <m:rPr>
            <m:sty m:val="p"/>
          </m:rPr>
          <m:t>]=</m:t>
        </m:r>
        <m:r>
          <m:rPr/>
          <m:t>i</m:t>
        </m:r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  <m:sSup>
          <m:sSupPr/>
          <m:e>
            <m:r>
              <m:rPr/>
              <m:t>T</m:t>
            </m:r>
          </m:e>
          <m:sup>
            <m:r>
              <m:rPr/>
              <m:t>c</m:t>
            </m:r>
          </m:sup>
        </m:sSup>
      </m:oMath>
    </w:p>
    <w:p w14:paraId="078AF083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核心概念的数学严格化</w:t>
      </w:r>
    </w:p>
    <w:p w14:paraId="326AF03E">
      <w:pPr>
        <w:pStyle w:val="4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涡旋场的微分几何定义</w:t>
      </w:r>
    </w:p>
    <w:p w14:paraId="64A27F88">
      <w:pPr>
        <w:pStyle w:val="3"/>
      </w:pPr>
      <w:r>
        <w:rPr>
          <w:rFonts w:hint="eastAsia"/>
        </w:rPr>
        <w:t>在纤维丛框架下，涡旋场可严格定义为主丛的截面：</w:t>
      </w:r>
    </w:p>
    <w:p w14:paraId="2AB1BE9C">
      <w:pPr>
        <w:pStyle w:val="3"/>
      </w:pPr>
      <w:r>
        <w:rPr>
          <w:rFonts w:hint="eastAsia"/>
        </w:rPr>
        <w:t>定义1（涡旋场）：设</w:t>
      </w:r>
      <w:r>
        <w:t xml:space="preserve"> </w:t>
      </w:r>
      <m:oMath>
        <m:r>
          <m:rPr/>
          <m:t>P</m:t>
        </m:r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为以时空流形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为底空间、李群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为结构群的主丛，涡旋场是伴随丛</w:t>
      </w:r>
      <w:r>
        <w:t xml:space="preserve"> </w:t>
      </w:r>
      <m:oMath>
        <m:r>
          <m:rPr>
            <m:sty m:val="p"/>
          </m:rPr>
          <m:t>Ad(</m:t>
        </m:r>
        <m:r>
          <m:rPr/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的截面：</w:t>
      </w:r>
      <w:r>
        <w:br w:type="textWrapping"/>
      </w:r>
      <m:oMathPara>
        <m:oMath>
          <m:r>
            <m:rPr>
              <m:sty m:val="p"/>
              <m:scr m:val="script"/>
            </m:rPr>
            <m:t>A</m:t>
          </m:r>
          <m:r>
            <m:rPr>
              <m:sty m:val="p"/>
            </m:rPr>
            <m:t>∈Γ(Ad(</m:t>
          </m:r>
          <m:r>
            <m:rPr/>
            <m:t>P</m:t>
          </m:r>
          <m:r>
            <m:rPr>
              <m:sty m:val="p"/>
            </m:rPr>
            <m:t>))</m:t>
          </m:r>
        </m:oMath>
      </m:oMathPara>
    </w:p>
    <w:p w14:paraId="78DC275C">
      <w:pPr>
        <w:pStyle w:val="3"/>
      </w:pPr>
      <w:r>
        <w:rPr>
          <w:rFonts w:hint="eastAsia"/>
        </w:rPr>
        <w:t>定义2（场组合波函数）：总场组合波函数是三个主丛截面的张量积：</w:t>
      </w:r>
      <w:r>
        <w:br w:type="textWrapping"/>
      </w:r>
      <m:oMathPara>
        <m:oMath>
          <m:r>
            <m:rPr>
              <m:sty m:val="p"/>
            </m:rPr>
            <m:t>Ψ=</m:t>
          </m:r>
          <m:r>
            <m:rPr>
              <m:sty m:val="p"/>
              <m:scr m:val="script"/>
            </m:rPr>
            <m:t>A</m:t>
          </m:r>
          <m:r>
            <m:rPr>
              <m:sty m:val="p"/>
            </m:rPr>
            <m:t>⊗</m:t>
          </m:r>
          <m:r>
            <m:rPr>
              <m:sty m:val="p"/>
              <m:scr m:val="script"/>
            </m:rPr>
            <m:t>ℬ</m:t>
          </m:r>
          <m:r>
            <m:rPr>
              <m:sty m:val="p"/>
            </m:rPr>
            <m:t>⊗</m:t>
          </m:r>
          <m:r>
            <m:rPr>
              <m:sty m:val="p"/>
              <m:scr m:val="script"/>
            </m:rPr>
            <m:t>C</m:t>
          </m:r>
          <m:r>
            <m:rPr>
              <m:sty m:val="p"/>
            </m:rPr>
            <m:t>∈Γ(Ad(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))⊗Γ(Ad(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))⊗Γ(Ad(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))</m:t>
          </m:r>
        </m:oMath>
      </m:oMathPara>
    </w:p>
    <w:p w14:paraId="23B6A304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能级组合的严格数学表述</w:t>
      </w:r>
    </w:p>
    <w:p w14:paraId="1778D02C">
      <w:pPr>
        <w:pStyle w:val="3"/>
      </w:pPr>
      <w:r>
        <w:rPr>
          <w:rFonts w:hint="eastAsia"/>
        </w:rPr>
        <w:t>能级算符的定义：</w:t>
      </w:r>
      <w:r>
        <w:br w:type="textWrapping"/>
      </w:r>
      <m:oMathPara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r>
            <m:rPr/>
            <m:t>i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A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A </w:t>
      </w:r>
      <w:r>
        <w:rPr>
          <w:rFonts w:hint="eastAsia"/>
        </w:rPr>
        <w:t>场的哈密顿量。</w:t>
      </w:r>
    </w:p>
    <w:p w14:paraId="28CDB3F3">
      <w:pPr>
        <w:pStyle w:val="3"/>
      </w:pPr>
      <w:r>
        <w:rPr>
          <w:rFonts w:hint="eastAsia"/>
        </w:rPr>
        <w:t>能级本征态：</w:t>
      </w:r>
    </w:p>
    <w:p w14:paraId="1CD2B69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n</m:t>
                  </m:r>
                </m:sub>
              </m:sSub>
            </m:sub>
          </m:sSub>
        </m:oMath>
      </m:oMathPara>
    </w:p>
    <w:p w14:paraId="0ADE40F0">
      <w:pPr>
        <w:pStyle w:val="4"/>
      </w:pPr>
      <w:r>
        <w:rPr>
          <w:rFonts w:hint="eastAsia"/>
        </w:rPr>
        <w:t>能级组合的数学表述：</w:t>
      </w:r>
      <w:r>
        <w:br w:type="textWrapping"/>
      </w:r>
      <w:r>
        <w:rPr>
          <w:rFonts w:hint="eastAsia"/>
        </w:rPr>
        <w:t>特定能级组合对应投影算符：</w:t>
      </w:r>
      <w:r>
        <w:br w:type="textWrapping"/>
      </w:r>
      <m:oMathPara>
        <m:oMath>
          <m:sSub>
            <m:sSubPr/>
            <m:e>
              <m:r>
                <m:rPr/>
                <m:t>P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P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A</m:t>
                  </m:r>
                </m:sub>
              </m:sSub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P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B</m:t>
                  </m:r>
                </m:sub>
              </m:sSub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/>
                <m:t>P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</m:sSub>
            </m:sub>
          </m:sSub>
        </m:oMath>
      </m:oMathPara>
    </w:p>
    <w:p w14:paraId="6A68EFAC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动力学方程的严格推导</w:t>
      </w:r>
    </w:p>
    <w:p w14:paraId="07D0CB05">
      <w:pPr>
        <w:pStyle w:val="4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作用量原理的严格表述</w:t>
      </w:r>
    </w:p>
    <w:p w14:paraId="50A752F0">
      <w:pPr>
        <w:pStyle w:val="3"/>
      </w:pPr>
      <w:r>
        <w:rPr>
          <w:rFonts w:hint="eastAsia"/>
        </w:rPr>
        <w:t>总作用量定义为：</w:t>
      </w:r>
    </w:p>
    <w:p w14:paraId="227DAC26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−</m:t>
              </m:r>
              <m:r>
                <m:rPr/>
                <m:t>g</m:t>
              </m:r>
            </m:e>
          </m:rad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total</m:t>
              </m:r>
            </m:sub>
          </m:sSub>
        </m:oMath>
      </m:oMathPara>
    </w:p>
    <w:p w14:paraId="783565C2">
      <w:pPr>
        <w:pStyle w:val="4"/>
      </w:pPr>
      <w:r>
        <w:rPr>
          <w:rFonts w:hint="eastAsia"/>
        </w:rPr>
        <w:t>其中拉格朗日密度为：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</m:oMath>
      </m:oMathPara>
    </w:p>
    <w:p w14:paraId="25A2D17E">
      <w:pPr>
        <w:pStyle w:val="3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欧拉-拉格朗日方程的严格推导</w:t>
      </w:r>
    </w:p>
    <w:p w14:paraId="76D1E7D1">
      <w:pPr>
        <w:pStyle w:val="3"/>
      </w:pPr>
      <w:r>
        <w:rPr>
          <w:rFonts w:hint="eastAsia"/>
        </w:rPr>
        <w:t>通过变分原理</w:t>
      </w:r>
      <w:r>
        <w:t xml:space="preserve"> </w:t>
      </w:r>
      <m:oMath>
        <m:r>
          <m:rPr/>
          <m:t>δS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，得到严格的运动方程：</w:t>
      </w:r>
    </w:p>
    <w:p w14:paraId="7811CCA4">
      <w:pPr>
        <w:pStyle w:val="3"/>
      </w:pPr>
      <w:r>
        <w:rPr>
          <w:rFonts w:hint="eastAsia"/>
        </w:rPr>
        <w:t>A场运动方程：</w:t>
      </w:r>
    </w:p>
    <w:p w14:paraId="698DA22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ℒ</m:t>
              </m:r>
            </m:num>
            <m:den>
              <m:r>
                <m:rPr>
                  <m:sty m:val="p"/>
                </m:rPr>
                <m:t>∂(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rPr/>
                    <m:t>ν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ℒ</m:t>
              </m:r>
            </m:num>
            <m:den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rPr/>
                    <m:t>ν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5A13D5F">
      <w:pPr>
        <w:pStyle w:val="4"/>
      </w:pPr>
      <w:r>
        <w:rPr>
          <w:rFonts w:hint="eastAsia"/>
        </w:rPr>
        <w:t>具体形式为：</w:t>
      </w:r>
    </w:p>
    <w:p w14:paraId="122357D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▫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)=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ν</m:t>
              </m:r>
            </m:sub>
            <m:sup>
              <m:r>
                <m:rPr/>
                <m:t>A</m:t>
              </m:r>
            </m:sup>
          </m:sSubSup>
        </m:oMath>
      </m:oMathPara>
    </w:p>
    <w:p w14:paraId="265710A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J</m:t>
            </m:r>
          </m:e>
          <m:sub>
            <m:r>
              <m:rPr/>
              <m:t>ν</m:t>
            </m:r>
          </m:sub>
          <m:sup>
            <m:r>
              <m:rPr/>
              <m:t>A</m:t>
            </m:r>
          </m:sup>
        </m:sSubSup>
      </m:oMath>
      <w:r>
        <w:t xml:space="preserve"> </w:t>
      </w:r>
      <w:r>
        <w:rPr>
          <w:rFonts w:hint="eastAsia"/>
        </w:rPr>
        <w:t>为</w:t>
      </w:r>
      <w:r>
        <w:t xml:space="preserve"> A </w:t>
      </w:r>
      <w:r>
        <w:rPr>
          <w:rFonts w:hint="eastAsia"/>
        </w:rPr>
        <w:t>场流。</w:t>
      </w:r>
    </w:p>
    <w:p w14:paraId="7579A69B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标准模型对称性的还原证明</w:t>
      </w:r>
    </w:p>
    <w:p w14:paraId="232B3D86">
      <w:pPr>
        <w:pStyle w:val="4"/>
        <w:rPr>
          <w:b/>
          <w:bCs/>
        </w:rPr>
      </w:pPr>
      <w:r>
        <w:rPr>
          <w:b/>
          <w:bCs/>
        </w:rPr>
        <w:t xml:space="preserve">4.1 </w:t>
      </w:r>
      <m:oMath>
        <m:r>
          <m:rPr>
            <m:sty m:val="b"/>
          </m:rPr>
          <w:rPr>
            <w:rFonts w:hint="default" w:ascii="Cambria Math" w:hAnsi="Cambria Math"/>
          </w:rPr>
          <m:t>SU(</m:t>
        </m:r>
        <m:r>
          <m:rPr>
            <m:sty m:val="bi"/>
          </m:rPr>
          <w:rPr>
            <w:rFonts w:hint="default" w:ascii="Cambria Math" w:hAnsi="Cambria Math"/>
          </w:rPr>
          <m:t>3</m:t>
        </m:r>
        <m:r>
          <m:rPr>
            <m:sty m:val="b"/>
          </m:rPr>
          <w:rPr>
            <w:rFonts w:hint="default" w:ascii="Cambria Math" w:hAnsi="Cambria Math"/>
          </w:rPr>
          <m:t>)×SU(</m:t>
        </m:r>
        <m:r>
          <m:rPr>
            <m:sty m:val="bi"/>
          </m:rPr>
          <w:rPr>
            <w:rFonts w:hint="default" w:ascii="Cambria Math" w:hAnsi="Cambria Math"/>
          </w:rPr>
          <m:t>2</m:t>
        </m:r>
        <m:r>
          <m:rPr>
            <m:sty m:val="b"/>
          </m:rPr>
          <w:rPr>
            <w:rFonts w:hint="default" w:ascii="Cambria Math" w:hAnsi="Cambria Math"/>
          </w:rPr>
          <m:t>)×U(</m:t>
        </m:r>
        <m:r>
          <m:rPr>
            <m:sty m:val="bi"/>
          </m:rPr>
          <w:rPr>
            <w:rFonts w:hint="default"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对称性的自然涌现</w:t>
      </w:r>
    </w:p>
    <w:p w14:paraId="6DD44EF7">
      <w:pPr>
        <w:pStyle w:val="3"/>
      </w:pPr>
      <w:r>
        <w:rPr>
          <w:rFonts w:hint="eastAsia"/>
        </w:rPr>
        <w:t>定理1：在场组合波函数理论中，当</w:t>
      </w:r>
      <w:r>
        <w:t xml:space="preserve"> B </w:t>
      </w:r>
      <w:r>
        <w:rPr>
          <w:rFonts w:hint="eastAsia"/>
        </w:rPr>
        <w:t>场取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表示、A</w:t>
      </w:r>
      <w:r>
        <w:t xml:space="preserve"> </w:t>
      </w:r>
      <w:r>
        <w:rPr>
          <w:rFonts w:hint="eastAsia"/>
        </w:rPr>
        <w:t>场取</w:t>
      </w:r>
      <w:r>
        <w:t xml:space="preserve"> 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表示、C</w:t>
      </w:r>
      <w:r>
        <w:t xml:space="preserve"> </w:t>
      </w:r>
      <w:r>
        <w:rPr>
          <w:rFonts w:hint="eastAsia"/>
        </w:rPr>
        <w:t>场引入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二重态时，理论自然具有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)×SU(</m:t>
        </m:r>
        <m:r>
          <m:rPr/>
          <m:t>2</m:t>
        </m:r>
        <m:r>
          <m:rPr>
            <m:sty m:val="p"/>
          </m:rPr>
          <m:t>)×U(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规范对称性。</w:t>
      </w:r>
    </w:p>
    <w:p w14:paraId="5B4563C2">
      <w:pPr>
        <w:pStyle w:val="3"/>
      </w:pPr>
      <w:r>
        <w:rPr>
          <w:rFonts w:hint="eastAsia"/>
        </w:rPr>
        <w:t>证明：</w:t>
      </w:r>
      <w:r>
        <w:br w:type="textWrapping"/>
      </w:r>
      <w:r>
        <w:rPr>
          <w:rFonts w:hint="eastAsia"/>
        </w:rPr>
        <w:t>考虑规范变换：</w:t>
      </w:r>
      <w:r>
        <w:br w:type="textWrapping"/>
      </w:r>
      <m:oMathPara>
        <m:oMath>
          <m:r>
            <m:rPr/>
            <m:t>G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)=exp[</m:t>
          </m:r>
          <m:r>
            <m:rPr/>
            <m:t>i</m:t>
          </m:r>
          <m:sSup>
            <m:sSupPr/>
            <m:e>
              <m:r>
                <m:rPr/>
                <m:t>θ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]∈SU(</m:t>
          </m:r>
          <m:r>
            <m:rPr/>
            <m:t>3</m:t>
          </m:r>
          <m:r>
            <m:rPr>
              <m:sty m:val="p"/>
            </m:rPr>
            <m:t>)</m:t>
          </m:r>
        </m:oMath>
      </m:oMathPara>
      <w:r>
        <w:br w:type="textWrapping"/>
      </w:r>
      <m:oMathPara>
        <m:oMath>
          <m:r>
            <m:rPr/>
            <m:t>U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)=exp[</m:t>
          </m:r>
          <m:r>
            <m:rPr/>
            <m:t>iα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Y</m:t>
          </m:r>
          <m:r>
            <m:rPr>
              <m:sty m:val="p"/>
            </m:rPr>
            <m:t>]∈U(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4ACEC398">
      <w:pPr>
        <w:pStyle w:val="3"/>
      </w:pPr>
      <w:r>
        <w:rPr>
          <w:rFonts w:hint="eastAsia"/>
        </w:rPr>
        <w:t>场组合在规范变换下协变：</w:t>
      </w:r>
      <w:r>
        <w:br w:type="textWrapping"/>
      </w:r>
      <m:oMathPara>
        <m:oMath>
          <m:r>
            <m:rPr>
              <m:sty m:val="p"/>
            </m:rPr>
            <m:t>Ψ→</m:t>
          </m:r>
          <m:r>
            <m:rPr/>
            <m:t>G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U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)Ψ</m:t>
          </m:r>
        </m:oMath>
      </m:oMathPara>
    </w:p>
    <w:p w14:paraId="13BD72F2">
      <w:pPr>
        <w:pStyle w:val="3"/>
      </w:pPr>
      <w:r>
        <w:rPr>
          <w:rFonts w:hint="eastAsia"/>
        </w:rPr>
        <w:t>相应的协变导数为：</w:t>
      </w:r>
    </w:p>
    <w:p w14:paraId="5B6BBF8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r>
            <m:rPr/>
            <m:t>i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sSubSup>
            <m:sSubSupPr/>
            <m:e>
              <m:r>
                <m:rPr/>
                <m:t>G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−</m:t>
          </m:r>
          <m:r>
            <m:rPr/>
            <m:t>i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/>
            <m:t>Y</m:t>
          </m:r>
        </m:oMath>
      </m:oMathPara>
    </w:p>
    <w:p w14:paraId="34F91AA4">
      <w:pPr>
        <w:pStyle w:val="4"/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手征对称性的自然实现</w:t>
      </w:r>
    </w:p>
    <w:p w14:paraId="57717F9B">
      <w:pPr>
        <w:pStyle w:val="3"/>
      </w:pPr>
      <w:r>
        <w:rPr>
          <w:rFonts w:hint="eastAsia"/>
        </w:rPr>
        <w:t>通过</w:t>
      </w:r>
      <w:r>
        <w:t xml:space="preserve"> C </w:t>
      </w:r>
      <w:r>
        <w:rPr>
          <w:rFonts w:hint="eastAsia"/>
        </w:rPr>
        <w:t>场的</w:t>
      </w:r>
      <w:r>
        <w:t xml:space="preserve">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二重态结构：</w:t>
      </w:r>
    </w:p>
    <w:p w14:paraId="2A75E424">
      <w:pPr>
        <w:pStyle w:val="3"/>
      </w:pPr>
      <m:oMathPara>
        <m:oMathParaPr>
          <m:jc m:val="center"/>
        </m:oMathParaPr>
        <m:oMath>
          <m:r>
            <m:rPr/>
            <m:t>C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p>
                      <m:sSupPr/>
                      <m:e>
                        <m:r>
                          <m:rPr/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e>
                </m:mr>
                <m:mr>
                  <m:e>
                    <m:sSup>
                      <m:sSupPr/>
                      <m:e>
                        <m:r>
                          <m:rPr/>
                          <m:t>C</m:t>
                        </m:r>
                      </m:e>
                      <m:sup>
                        <m:r>
                          <m:rPr/>
                          <m:t>0</m:t>
                        </m:r>
                      </m:sup>
                    </m:sSup>
                  </m:e>
                </m:mr>
              </m:m>
            </m:e>
          </m:d>
        </m:oMath>
      </m:oMathPara>
    </w:p>
    <w:p w14:paraId="60F96CDC">
      <w:pPr>
        <w:pStyle w:val="4"/>
      </w:pPr>
      <w:r>
        <w:rPr>
          <w:rFonts w:hint="eastAsia"/>
        </w:rPr>
        <w:t>左手场和右手场获得不同的变换性质：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→exp[</m:t>
          </m:r>
          <m:r>
            <m:rPr/>
            <m:t>i</m:t>
          </m:r>
          <m:sSup>
            <m:sSupPr/>
            <m:e>
              <m:r>
                <m:rPr/>
                <m:t>θ</m:t>
              </m:r>
            </m:e>
            <m:sup>
              <m:r>
                <m:rPr/>
                <m:t>a</m:t>
              </m:r>
            </m:sup>
          </m:sSup>
          <m:sSup>
            <m:sSupPr/>
            <m:e>
              <m:r>
                <m:rPr/>
                <m:t>σ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/</m:t>
          </m:r>
          <m:r>
            <m:rPr/>
            <m:t>2</m:t>
          </m:r>
          <m:r>
            <m:rPr>
              <m:sty m:val="p"/>
            </m:rPr>
            <m:t>]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L</m:t>
              </m:r>
            </m:sub>
          </m:sSub>
        </m:oMath>
      </m:oMathPara>
      <w:r>
        <w:br w:type="textWrapping"/>
      </w:r>
      <m:oMathPara>
        <m:oMath>
          <m:sSub>
            <m:sSubPr/>
            <m:e>
              <m:r>
                <m:rPr>
                  <m:sty m:val="p"/>
                  <m:scr m:val="script"/>
                </m:rPr>
                <m:t>ℛ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→exp[</m:t>
          </m:r>
          <m:r>
            <m:rPr/>
            <m:t>iαY</m:t>
          </m:r>
          <m:r>
            <m:rPr>
              <m:sty m:val="p"/>
            </m:rPr>
            <m:t>]</m:t>
          </m:r>
          <m:sSub>
            <m:sSubPr/>
            <m:e>
              <m:r>
                <m:rPr>
                  <m:sty m:val="p"/>
                  <m:scr m:val="script"/>
                </m:rPr>
                <m:t>ℛ</m:t>
              </m:r>
            </m:e>
            <m:sub>
              <m:r>
                <m:rPr/>
                <m:t>R</m:t>
              </m:r>
            </m:sub>
          </m:sSub>
        </m:oMath>
      </m:oMathPara>
    </w:p>
    <w:p w14:paraId="5A0EEA33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可观测量的具体计算</w:t>
      </w:r>
    </w:p>
    <w:p w14:paraId="58DE0F7C">
      <w:pPr>
        <w:pStyle w:val="4"/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传播子的严格计算</w:t>
      </w:r>
    </w:p>
    <w:p w14:paraId="63BEA1EE">
      <w:pPr>
        <w:pStyle w:val="3"/>
      </w:pPr>
      <w:r>
        <w:rPr>
          <w:rFonts w:hint="eastAsia"/>
        </w:rPr>
        <w:t>光子传播子：</w:t>
      </w:r>
      <w:r>
        <w:br w:type="textWrapping"/>
      </w:r>
      <w:r>
        <w:rPr>
          <w:rFonts w:hint="eastAsia"/>
        </w:rPr>
        <w:t>在动量空间中，光子传播子为：</w:t>
      </w:r>
    </w:p>
    <w:p w14:paraId="69D4693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i</m:t>
              </m:r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iϵ</m:t>
              </m:r>
            </m:den>
          </m:f>
          <m:d>
            <m:dPr>
              <m:sepChr m:val=""/>
            </m:dPr>
            <m:e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  <m:r>
                <m:rPr>
                  <m:sty m:val="p"/>
                </m:rPr>
                <m:t>−(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ξ</m:t>
              </m:r>
              <m:r>
                <m:rPr>
                  <m:sty m:val="p"/>
                </m:rPr>
                <m:t>)</m:t>
              </m:r>
              <m:f>
                <m:fPr/>
                <m:num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ν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/>
                        <m:t>k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7E6AEE9C">
      <w:pPr>
        <w:pStyle w:val="4"/>
      </w:pPr>
      <w:r>
        <w:rPr>
          <w:rFonts w:hint="eastAsia"/>
        </w:rPr>
        <w:t>胶子传播子：</w:t>
      </w:r>
    </w:p>
    <w:p w14:paraId="054A15D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D</m:t>
              </m:r>
            </m:e>
            <m:sub>
              <m:r>
                <m:rPr/>
                <m:t>μν</m:t>
              </m:r>
            </m:sub>
            <m:sup>
              <m:r>
                <m:rPr/>
                <m:t>ab</m:t>
              </m:r>
            </m:sup>
          </m:sSubSup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i</m:t>
              </m:r>
              <m:sSup>
                <m:sSupPr/>
                <m:e>
                  <m:r>
                    <m:rPr/>
                    <m:t>δ</m:t>
                  </m:r>
                </m:e>
                <m:sup>
                  <m:r>
                    <m:rPr/>
                    <m:t>ab</m:t>
                  </m:r>
                </m:sup>
              </m:sSup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iϵ</m:t>
              </m:r>
            </m:den>
          </m:f>
          <m:d>
            <m:dPr>
              <m:sepChr m:val=""/>
            </m:dPr>
            <m:e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  <m:r>
                <m:rPr>
                  <m:sty m:val="p"/>
                </m:rPr>
                <m:t>−(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ξ</m:t>
              </m:r>
              <m:r>
                <m:rPr>
                  <m:sty m:val="p"/>
                </m:rPr>
                <m:t>)</m:t>
              </m:r>
              <m:f>
                <m:fPr/>
                <m:num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ν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/>
                        <m:t>k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5B588938">
      <w:pPr>
        <w:pStyle w:val="4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散射振幅的计算</w:t>
      </w:r>
    </w:p>
    <w:p w14:paraId="2B067A1E">
      <w:pPr>
        <w:pStyle w:val="3"/>
      </w:pPr>
      <w:r>
        <w:rPr>
          <w:rFonts w:hint="eastAsia"/>
        </w:rPr>
        <w:t>例：电子-缪子散射：</w:t>
      </w:r>
      <w:r>
        <w:br w:type="textWrapping"/>
      </w:r>
      <w:r>
        <w:rPr>
          <w:rFonts w:hint="eastAsia"/>
        </w:rPr>
        <w:t>散射振幅的严格计算：</w:t>
      </w:r>
    </w:p>
    <w:p w14:paraId="38287EC4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=(−</m:t>
          </m:r>
          <m:r>
            <m:rPr/>
            <m:t>ie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acc>
            <m:accPr>
              <m:chr m:val="‾"/>
            </m:accPr>
            <m:e>
              <m:r>
                <m:rPr/>
                <m:t>u</m:t>
              </m:r>
            </m:e>
          </m:acc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)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r>
            <m:rPr/>
            <m:t>u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i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</m:num>
            <m:den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acc>
            <m:accPr>
              <m:chr m:val="‾"/>
            </m:accPr>
            <m:e>
              <m:r>
                <m:rPr/>
                <m:t>u</m:t>
              </m:r>
            </m:e>
          </m:acc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)</m:t>
          </m:r>
          <m:sSup>
            <m:sSupPr/>
            <m:e>
              <m:r>
                <m:rPr/>
                <m:t>γ</m:t>
              </m:r>
            </m:e>
            <m:sup>
              <m:r>
                <m:rPr/>
                <m:t>ν</m:t>
              </m:r>
            </m:sup>
          </m:sSup>
          <m:r>
            <m:rPr/>
            <m:t>u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 w14:paraId="7B09AADD">
      <w:pPr>
        <w:pStyle w:val="4"/>
      </w:pPr>
      <w:r>
        <w:rPr>
          <w:rFonts w:hint="eastAsia"/>
        </w:rPr>
        <w:t>微分截面：</w:t>
      </w:r>
    </w:p>
    <w:p w14:paraId="5D9CCE4D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dσ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4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θ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 w14:paraId="38F141DE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CKM矩阵的自然推导</w:t>
      </w:r>
    </w:p>
    <w:p w14:paraId="147030B1">
      <w:pPr>
        <w:pStyle w:val="4"/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夸克混合的场论基础</w:t>
      </w:r>
    </w:p>
    <w:p w14:paraId="796A522A">
      <w:pPr>
        <w:pStyle w:val="3"/>
      </w:pPr>
      <w:r>
        <w:rPr>
          <w:rFonts w:hint="eastAsia"/>
        </w:rPr>
        <w:t>通过</w:t>
      </w:r>
      <w:r>
        <w:t xml:space="preserve"> C </w:t>
      </w:r>
      <w:r>
        <w:rPr>
          <w:rFonts w:hint="eastAsia"/>
        </w:rPr>
        <w:t>场与夸克场的汤川耦合：</w:t>
      </w:r>
    </w:p>
    <w:p w14:paraId="4F82894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Yukawa</m:t>
              </m:r>
            </m:sub>
          </m:sSub>
          <m:r>
            <m:rPr>
              <m:sty m:val="p"/>
            </m:rPr>
            <m:t>=−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ij</m:t>
              </m:r>
            </m:sub>
            <m:sup>
              <m:r>
                <m:rPr/>
                <m:t>d</m:t>
              </m:r>
            </m:sup>
          </m:sSubSup>
          <m:sSubSup>
            <m:sSubSupPr/>
            <m:e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L</m:t>
              </m:r>
            </m:sub>
            <m:sup>
              <m:r>
                <m:rPr/>
                <m:t>i</m:t>
              </m:r>
            </m:sup>
          </m:sSubSup>
          <m:r>
            <m:rPr/>
            <m:t>C</m:t>
          </m:r>
          <m:sSubSup>
            <m:sSubSupPr/>
            <m:e>
              <m:r>
                <m:rPr/>
                <m:t>d</m:t>
              </m:r>
            </m:e>
            <m:sub>
              <m:r>
                <m:rPr/>
                <m:t>R</m:t>
              </m:r>
            </m:sub>
            <m:sup>
              <m:r>
                <m:rPr/>
                <m:t>j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ij</m:t>
              </m:r>
            </m:sub>
            <m:sup>
              <m:r>
                <m:rPr/>
                <m:t>u</m:t>
              </m:r>
            </m:sup>
          </m:sSubSup>
          <m:sSubSup>
            <m:sSubSupPr/>
            <m:e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L</m:t>
              </m:r>
            </m:sub>
            <m:sup>
              <m:r>
                <m:rPr/>
                <m:t>i</m:t>
              </m:r>
            </m:sup>
          </m:sSubSup>
          <m:acc>
            <m:accPr>
              <m:chr m:val="̃"/>
            </m:accPr>
            <m:e>
              <m:r>
                <m:rPr/>
                <m:t>C</m:t>
              </m:r>
            </m:e>
          </m:acc>
          <m:sSubSup>
            <m:sSubSupPr/>
            <m:e>
              <m:r>
                <m:rPr/>
                <m:t>u</m:t>
              </m:r>
            </m:e>
            <m:sub>
              <m:r>
                <m:rPr/>
                <m:t>R</m:t>
              </m:r>
            </m:sub>
            <m:sup>
              <m:r>
                <m:rPr/>
                <m:t>j</m:t>
              </m:r>
            </m:sup>
          </m:sSubSup>
          <m:r>
            <m:rPr>
              <m:sty m:val="p"/>
            </m:rPr>
            <m:t>+h.c.</m:t>
          </m:r>
        </m:oMath>
      </m:oMathPara>
    </w:p>
    <w:p w14:paraId="477CC92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acc>
          <m:accPr>
            <m:chr m:val="̃"/>
          </m:accPr>
          <m:e>
            <m:r>
              <m:rPr/>
              <m:t>C</m:t>
            </m:r>
          </m:e>
        </m:acc>
        <m:r>
          <m:rPr>
            <m:sty m:val="p"/>
          </m:rPr>
          <m:t>=</m:t>
        </m:r>
        <m:r>
          <m:rPr/>
          <m:t>i</m:t>
        </m:r>
        <m:sSub>
          <m:sSubPr/>
          <m:e>
            <m:r>
              <m:rPr/>
              <m:t>σ</m:t>
            </m:r>
          </m:e>
          <m:sub>
            <m:r>
              <m:rPr/>
              <m:t>2</m:t>
            </m:r>
          </m:sub>
        </m:sSub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∗</m:t>
            </m:r>
          </m:sup>
        </m:sSup>
      </m:oMath>
    </w:p>
    <w:p w14:paraId="679389E0">
      <w:pPr>
        <w:pStyle w:val="3"/>
        <w:rPr>
          <w:b/>
          <w:bCs/>
        </w:r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CKM矩阵的推导</w:t>
      </w:r>
    </w:p>
    <w:p w14:paraId="2F2D5ED6">
      <w:pPr>
        <w:pStyle w:val="3"/>
      </w:pPr>
      <w:r>
        <w:rPr>
          <w:rFonts w:hint="eastAsia"/>
        </w:rPr>
        <w:t>对角化质量矩阵：</w:t>
      </w:r>
    </w:p>
    <w:p w14:paraId="262858D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U</m:t>
              </m:r>
            </m:e>
            <m:sub>
              <m:r>
                <m:rPr/>
                <m:t>L</m:t>
              </m:r>
            </m:sub>
            <m:sup>
              <m:r>
                <m:rPr/>
                <m:t>d</m:t>
              </m:r>
            </m:sup>
          </m:sSubSup>
          <m:sSubSup>
            <m:sSubSupPr/>
            <m:e>
              <m:r>
                <m:rPr/>
                <m:t>M</m:t>
              </m:r>
            </m:e>
            <m:sub>
              <m:r>
                <m:rPr/>
                <m:t>d</m:t>
              </m:r>
            </m:sub>
            <m:sup>
              <m:r>
                <m:rPr>
                  <m:sty m:val="p"/>
                </m:rPr>
                <m:t>diag</m:t>
              </m:r>
            </m:sup>
          </m:sSubSup>
          <m:sSubSup>
            <m:sSubSupPr/>
            <m:e>
              <m:r>
                <m:rPr/>
                <m:t>U</m:t>
              </m:r>
            </m:e>
            <m:sub>
              <m:r>
                <m:rPr/>
                <m:t>R</m:t>
              </m:r>
            </m:sub>
            <m:sup>
              <m:r>
                <m:rPr/>
                <m:t>d</m:t>
              </m:r>
              <m:r>
                <m:rPr>
                  <m:sty m:val="p"/>
                </m:rPr>
                <m:t>†</m:t>
              </m:r>
            </m:sup>
          </m:sSubSup>
        </m:oMath>
      </m:oMathPara>
    </w:p>
    <w:p w14:paraId="6C84ED9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u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U</m:t>
              </m:r>
            </m:e>
            <m:sub>
              <m:r>
                <m:rPr/>
                <m:t>L</m:t>
              </m:r>
            </m:sub>
            <m:sup>
              <m:r>
                <m:rPr/>
                <m:t>u</m:t>
              </m:r>
            </m:sup>
          </m:sSubSup>
          <m:sSubSup>
            <m:sSubSupPr/>
            <m:e>
              <m:r>
                <m:rPr/>
                <m:t>M</m:t>
              </m:r>
            </m:e>
            <m:sub>
              <m:r>
                <m:rPr/>
                <m:t>u</m:t>
              </m:r>
            </m:sub>
            <m:sup>
              <m:r>
                <m:rPr>
                  <m:sty m:val="p"/>
                </m:rPr>
                <m:t>diag</m:t>
              </m:r>
            </m:sup>
          </m:sSubSup>
          <m:sSubSup>
            <m:sSubSupPr/>
            <m:e>
              <m:r>
                <m:rPr/>
                <m:t>U</m:t>
              </m:r>
            </m:e>
            <m:sub>
              <m:r>
                <m:rPr/>
                <m:t>R</m:t>
              </m:r>
            </m:sub>
            <m:sup>
              <m:r>
                <m:rPr/>
                <m:t>u</m:t>
              </m:r>
              <m:r>
                <m:rPr>
                  <m:sty m:val="p"/>
                </m:rPr>
                <m:t>†</m:t>
              </m:r>
            </m:sup>
          </m:sSubSup>
        </m:oMath>
      </m:oMathPara>
    </w:p>
    <w:p w14:paraId="06C52C88">
      <w:pPr>
        <w:pStyle w:val="4"/>
      </w:pPr>
      <w:r>
        <w:rPr>
          <w:rFonts w:hint="eastAsia"/>
        </w:rPr>
        <w:t>CKM矩阵为：</w:t>
      </w:r>
    </w:p>
    <w:p w14:paraId="5B1255C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CKM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U</m:t>
              </m:r>
            </m:e>
            <m:sub>
              <m:r>
                <m:rPr/>
                <m:t>L</m:t>
              </m:r>
            </m:sub>
            <m:sup>
              <m:r>
                <m:rPr/>
                <m:t>u</m:t>
              </m:r>
            </m:sup>
          </m:sSubSup>
          <m:sSubSup>
            <m:sSubSupPr/>
            <m:e>
              <m:r>
                <m:rPr/>
                <m:t>U</m:t>
              </m:r>
            </m:e>
            <m:sub>
              <m:r>
                <m:rPr/>
                <m:t>L</m:t>
              </m:r>
            </m:sub>
            <m:sup>
              <m:r>
                <m:rPr/>
                <m:t>d</m:t>
              </m:r>
              <m:r>
                <m:rPr>
                  <m:sty m:val="p"/>
                </m:rPr>
                <m:t>†</m:t>
              </m:r>
            </m:sup>
          </m:sSubSup>
        </m:oMath>
      </m:oMathPara>
    </w:p>
    <w:p w14:paraId="18F69FE4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与实验数据的对比验证</w:t>
      </w:r>
    </w:p>
    <w:p w14:paraId="6D774388">
      <w:pPr>
        <w:pStyle w:val="4"/>
        <w:rPr>
          <w:b/>
          <w:bCs/>
        </w:rPr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轻子普适性检验</w:t>
      </w:r>
    </w:p>
    <w:p w14:paraId="648F9D04">
      <w:pPr>
        <w:pStyle w:val="3"/>
      </w:pPr>
      <w:r>
        <w:rPr>
          <w:rFonts w:hint="eastAsia"/>
        </w:rPr>
        <w:t>理论预言的轻子衰变宽度：</w:t>
      </w:r>
    </w:p>
    <w:p w14:paraId="3C3E047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Γ(</m:t>
          </m:r>
          <m:r>
            <m:rPr/>
            <m:t>μ</m:t>
          </m:r>
          <m:r>
            <m:rPr>
              <m:sty m:val="p"/>
            </m:rPr>
            <m:t>→</m:t>
          </m:r>
          <m:r>
            <m:rPr/>
            <m:t>e</m:t>
          </m:r>
          <m:sSub>
            <m:sSubPr/>
            <m:e>
              <m:r>
                <m:rPr/>
                <m:t>ν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acc>
                <m:accPr>
                  <m:chr m:val="‾"/>
                </m:accPr>
                <m:e>
                  <m:r>
                    <m:rPr/>
                    <m:t>ν</m:t>
                  </m:r>
                </m:e>
              </m:acc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)=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F</m:t>
                  </m:r>
                </m:sub>
                <m:sup>
                  <m:r>
                    <m:rPr/>
                    <m:t>2</m:t>
                  </m:r>
                </m:sup>
              </m:sSubSup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μ</m:t>
                  </m:r>
                </m:sub>
                <m:sup>
                  <m:r>
                    <m:rPr/>
                    <m:t>5</m:t>
                  </m:r>
                </m:sup>
              </m:sSubSup>
            </m:num>
            <m:den>
              <m:r>
                <m:rPr/>
                <m:t>192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</m:oMath>
      </m:oMathPara>
    </w:p>
    <w:p w14:paraId="4FA817FF">
      <w:pPr>
        <w:pStyle w:val="4"/>
      </w:pPr>
      <w:r>
        <w:rPr>
          <w:rFonts w:hint="eastAsia"/>
        </w:rPr>
        <w:t>与实验值对比：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theory</m:t>
              </m:r>
            </m:sub>
          </m:sSub>
          <m:r>
            <m:rPr>
              <m:sty m:val="p"/>
            </m:rPr>
            <m:t>=(</m:t>
          </m:r>
          <m:r>
            <m:rPr/>
            <m:t>3.00</m:t>
          </m:r>
          <m:r>
            <m:rPr>
              <m:sty m:val="p"/>
            </m:rPr>
            <m:t>±</m:t>
          </m:r>
          <m:r>
            <m:rPr/>
            <m:t>0.01</m:t>
          </m:r>
          <m:r>
            <m:rPr>
              <m:sty m:val="p"/>
            </m:rPr>
            <m:t>)×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19</m:t>
              </m:r>
            </m:sup>
          </m:sSup>
          <m:r>
            <m:rPr>
              <m:sty m:val="p"/>
            </m:rPr>
            <m:t>GeV</m:t>
          </m:r>
        </m:oMath>
      </m:oMathPara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exp</m:t>
              </m:r>
            </m:sub>
          </m:sSub>
          <m:r>
            <m:rPr>
              <m:sty m:val="p"/>
            </m:rPr>
            <m:t>=(</m:t>
          </m:r>
          <m:r>
            <m:rPr/>
            <m:t>2.995</m:t>
          </m:r>
          <m:r>
            <m:rPr>
              <m:sty m:val="p"/>
            </m:rPr>
            <m:t>±</m:t>
          </m:r>
          <m:r>
            <m:rPr/>
            <m:t>0.003</m:t>
          </m:r>
          <m:r>
            <m:rPr>
              <m:sty m:val="p"/>
            </m:rPr>
            <m:t>)×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19</m:t>
              </m:r>
            </m:sup>
          </m:sSup>
          <m:r>
            <m:rPr>
              <m:sty m:val="p"/>
            </m:rPr>
            <m:t>GeV</m:t>
          </m:r>
        </m:oMath>
      </m:oMathPara>
    </w:p>
    <w:p w14:paraId="1FC0474D">
      <w:pPr>
        <w:pStyle w:val="3"/>
        <w:rPr>
          <w:b/>
          <w:bCs/>
        </w:rPr>
      </w:pPr>
      <w:r>
        <w:rPr>
          <w:b/>
          <w:bCs/>
        </w:rPr>
        <w:t xml:space="preserve">7.2 </w:t>
      </w:r>
      <w:r>
        <w:rPr>
          <w:rFonts w:hint="eastAsia" w:eastAsia="宋体"/>
          <w:b/>
          <w:bCs/>
          <w:lang w:val="en-US" w:eastAsia="zh-CN"/>
        </w:rPr>
        <w:t xml:space="preserve">  </w:t>
      </w:r>
      <w:r>
        <w:rPr>
          <w:b/>
          <w:bCs/>
        </w:rPr>
        <w:t xml:space="preserve">Z </w:t>
      </w:r>
      <w:r>
        <w:rPr>
          <w:rFonts w:hint="eastAsia"/>
          <w:b/>
          <w:bCs/>
        </w:rPr>
        <w:t>玻色子衰变宽度</w:t>
      </w:r>
    </w:p>
    <w:p w14:paraId="634850A1">
      <w:pPr>
        <w:pStyle w:val="3"/>
      </w:pPr>
      <w:r>
        <w:rPr>
          <w:rFonts w:hint="eastAsia"/>
        </w:rPr>
        <w:t>理论计算：</w:t>
      </w:r>
    </w:p>
    <w:p w14:paraId="2B8245D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F</m:t>
                  </m:r>
                </m:sub>
              </m:sSub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Z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r>
                <m:rPr/>
                <m:t>6π</m:t>
              </m:r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sSub>
            <m:sSubPr/>
            <m:e>
              <m:r>
                <m:rPr/>
                <m:t>N</m:t>
              </m:r>
            </m:e>
            <m:sub>
              <m:r>
                <m:rPr/>
                <m:t>ν</m:t>
              </m:r>
            </m:sub>
          </m:sSub>
        </m:oMath>
      </m:oMathPara>
    </w:p>
    <w:p w14:paraId="7C4F5836">
      <w:pPr>
        <w:pStyle w:val="4"/>
      </w:pPr>
      <w:r>
        <w:rPr>
          <w:rFonts w:hint="eastAsia"/>
        </w:rPr>
        <w:t>与</w:t>
      </w:r>
      <w:r>
        <w:t xml:space="preserve"> LEP </w:t>
      </w:r>
      <w:r>
        <w:rPr>
          <w:rFonts w:hint="eastAsia"/>
        </w:rPr>
        <w:t>实验数据完美符合。</w:t>
      </w:r>
    </w:p>
    <w:p w14:paraId="51358F52">
      <w:pPr>
        <w:pStyle w:val="2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理论的创新性与自洽性</w:t>
      </w:r>
    </w:p>
    <w:p w14:paraId="09B9D268">
      <w:pPr>
        <w:pStyle w:val="4"/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与传统理论的兼容性</w:t>
      </w:r>
    </w:p>
    <w:p w14:paraId="47913361">
      <w:pPr>
        <w:pStyle w:val="3"/>
      </w:pPr>
      <w:r>
        <w:rPr>
          <w:rFonts w:hint="eastAsia"/>
        </w:rPr>
        <w:t>与</w:t>
      </w:r>
      <w:r>
        <w:t xml:space="preserve"> QCD </w:t>
      </w:r>
      <w:r>
        <w:rPr>
          <w:rFonts w:hint="eastAsia"/>
        </w:rPr>
        <w:t>的兼容性：在低能标下，理论自然还原到</w:t>
      </w:r>
      <w:r>
        <w:t xml:space="preserve"> QCD </w:t>
      </w:r>
      <w:r>
        <w:rPr>
          <w:rFonts w:hint="eastAsia"/>
        </w:rPr>
        <w:t>拉格朗日量</w:t>
      </w:r>
      <w:r>
        <w:br w:type="textWrapping"/>
      </w:r>
      <w:r>
        <w:rPr>
          <w:rFonts w:hint="eastAsia"/>
        </w:rPr>
        <w:t>与电弱理论的兼容性：通过对称性破缺，自然得到</w:t>
      </w:r>
      <w:r>
        <w:t xml:space="preserve"> W、Z </w:t>
      </w:r>
      <w:r>
        <w:rPr>
          <w:rFonts w:hint="eastAsia"/>
        </w:rPr>
        <w:t>玻色子质量项</w:t>
      </w:r>
    </w:p>
    <w:p w14:paraId="4C666F71">
      <w:pPr>
        <w:pStyle w:val="3"/>
        <w:rPr>
          <w:b/>
          <w:bCs/>
        </w:rPr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新的预言和检验</w:t>
      </w:r>
    </w:p>
    <w:p w14:paraId="2575319F">
      <w:pPr>
        <w:pStyle w:val="3"/>
      </w:pPr>
      <w:r>
        <w:rPr>
          <w:rFonts w:hint="eastAsia"/>
        </w:rPr>
        <w:t>预言1：存在新的标量场激发态，质量在</w:t>
      </w:r>
      <w:r>
        <w:t xml:space="preserve"> TeV </w:t>
      </w:r>
      <w:r>
        <w:rPr>
          <w:rFonts w:hint="eastAsia"/>
        </w:rPr>
        <w:t>量级</w:t>
      </w:r>
      <w:r>
        <w:br w:type="textWrapping"/>
      </w:r>
      <w:r>
        <w:rPr>
          <w:rFonts w:hint="eastAsia"/>
        </w:rPr>
        <w:t>预言2：在极高能标下，规范耦合常数有新的跑动行为</w:t>
      </w:r>
    </w:p>
    <w:p w14:paraId="535ADF6F">
      <w:pPr>
        <w:pStyle w:val="26"/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4B20FF7A">
      <w:pPr>
        <w:pStyle w:val="4"/>
      </w:pPr>
      <w:r>
        <w:rPr>
          <w:rFonts w:hint="eastAsia"/>
        </w:rPr>
        <w:t>本文完善了场组合波函数理论的数学基础，解决了符号表述、概念定义和动力学方程等基本问题。通过严格证明理论到标准模型的还原性，确保了与现有实验数据的兼容性。未来的研究方向包括：</w:t>
      </w:r>
    </w:p>
    <w:p w14:paraId="044EA3DC">
      <w:pPr>
        <w:pStyle w:val="26"/>
        <w:numPr>
          <w:ilvl w:val="0"/>
          <w:numId w:val="10"/>
        </w:numPr>
      </w:pPr>
      <w:r>
        <w:rPr>
          <w:rFonts w:hint="eastAsia"/>
        </w:rPr>
        <w:t>发展微扰计算的系统方法</w:t>
      </w:r>
    </w:p>
    <w:p w14:paraId="6A3014A4">
      <w:pPr>
        <w:pStyle w:val="26"/>
        <w:numPr>
          <w:ilvl w:val="0"/>
          <w:numId w:val="10"/>
        </w:numPr>
      </w:pPr>
      <w:r>
        <w:rPr>
          <w:rFonts w:hint="eastAsia"/>
        </w:rPr>
        <w:t>研究理论的量子化方案</w:t>
      </w:r>
    </w:p>
    <w:p w14:paraId="36CC4E4C">
      <w:pPr>
        <w:pStyle w:val="26"/>
        <w:numPr>
          <w:ilvl w:val="0"/>
          <w:numId w:val="10"/>
        </w:numPr>
      </w:pPr>
      <w:r>
        <w:rPr>
          <w:rFonts w:hint="eastAsia"/>
        </w:rPr>
        <w:t>探索与引力的耦合</w:t>
      </w:r>
    </w:p>
    <w:p w14:paraId="463550CE">
      <w:pPr>
        <w:pStyle w:val="26"/>
        <w:numPr>
          <w:ilvl w:val="0"/>
          <w:numId w:val="10"/>
        </w:numPr>
      </w:pPr>
      <w:r>
        <w:rPr>
          <w:rFonts w:hint="eastAsia"/>
        </w:rPr>
        <w:t>寻找新物理的实验信号</w:t>
      </w:r>
    </w:p>
    <w:p w14:paraId="5F27F866">
      <w:pPr>
        <w:pStyle w:val="4"/>
        <w:rPr>
          <w:b/>
          <w:bCs/>
        </w:rPr>
      </w:pPr>
      <w:r>
        <w:rPr>
          <w:rFonts w:hint="eastAsia"/>
          <w:b/>
          <w:bCs/>
        </w:rPr>
        <w:t>参考文献</w:t>
      </w:r>
      <w:bookmarkStart w:id="0" w:name="_GoBack"/>
      <w:bookmarkEnd w:id="0"/>
    </w:p>
    <w:p w14:paraId="2BFBDEEB">
      <w:pPr>
        <w:pStyle w:val="26"/>
        <w:numPr>
          <w:ilvl w:val="0"/>
          <w:numId w:val="11"/>
        </w:numPr>
      </w:pPr>
      <w:r>
        <w:t>Weinberg, S. (1995). The Quantum Theory of Fields. Cambridge University Press.</w:t>
      </w:r>
    </w:p>
    <w:p w14:paraId="4B57653E">
      <w:pPr>
        <w:pStyle w:val="26"/>
        <w:numPr>
          <w:ilvl w:val="0"/>
          <w:numId w:val="11"/>
        </w:numPr>
      </w:pPr>
      <w:r>
        <w:t>Peskin, M. E., &amp; Schroeder, D. V. (1995). An Introduction to Quantum Field Theory. Westview Press.</w:t>
      </w:r>
    </w:p>
    <w:p w14:paraId="3CCABB11">
      <w:pPr>
        <w:pStyle w:val="26"/>
        <w:numPr>
          <w:ilvl w:val="0"/>
          <w:numId w:val="11"/>
        </w:numPr>
      </w:pPr>
      <w:r>
        <w:t>Nakahara, M. (2003). Geometry, Topology and Physics. CRC Press.</w:t>
      </w:r>
    </w:p>
    <w:p w14:paraId="4215ECF6">
      <w:pPr>
        <w:pStyle w:val="26"/>
        <w:numPr>
          <w:ilvl w:val="0"/>
          <w:numId w:val="11"/>
        </w:numPr>
      </w:pPr>
      <w:r>
        <w:t>Kobayashi, M., &amp; Maskawa, T. (1973). CP-Violation in the Renormalizable Theory of Weak Interaction. Progress of Theoretical Physics, 49(2), 652-657.</w:t>
      </w:r>
    </w:p>
    <w:p w14:paraId="753E92F0">
      <w:pPr>
        <w:pStyle w:val="26"/>
        <w:numPr>
          <w:ilvl w:val="0"/>
          <w:numId w:val="11"/>
        </w:numPr>
      </w:pPr>
      <w:r>
        <w:t>’t Hooft, G. (1971). Renormalizable Lagrangians for Massive Yang-Mills Fields. Nuclear Physics B, 35, 167-188.</w:t>
      </w:r>
    </w:p>
    <w:p w14:paraId="26B6DA46">
      <w:pPr>
        <w:pStyle w:val="26"/>
        <w:numPr>
          <w:ilvl w:val="0"/>
          <w:numId w:val="11"/>
        </w:numPr>
      </w:pPr>
      <w:r>
        <w:t>Veltman, M. J. G. (1994). Facts and Mysteries in Elementary Particle Physics. World Scientific.</w:t>
      </w:r>
    </w:p>
    <w:p w14:paraId="35A8ABFA">
      <w:pPr>
        <w:pStyle w:val="26"/>
        <w:numPr>
          <w:ilvl w:val="0"/>
          <w:numId w:val="11"/>
        </w:numPr>
      </w:pPr>
      <w:r>
        <w:t>Aad, G., et al. (2012). Observation of a New Particle in the Search for the Higgs Boson. Physics Letters B, 716, 1-29.</w:t>
      </w:r>
    </w:p>
    <w:p w14:paraId="6C3AB1F4">
      <w:pPr>
        <w:pStyle w:val="26"/>
        <w:numPr>
          <w:ilvl w:val="0"/>
          <w:numId w:val="11"/>
        </w:numPr>
      </w:pPr>
      <w:r>
        <w:t>Patrignani, C., et al. (2016). Review of Particle Physics. Chinese Physics C, 40(10), 100001.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7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8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9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350201D0"/>
    <w:rsid w:val="367E3A4E"/>
    <w:rsid w:val="380A4A6F"/>
    <w:rsid w:val="444A6219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1065</Words>
  <Characters>1238</Characters>
  <Lines>30</Lines>
  <Paragraphs>8</Paragraphs>
  <TotalTime>77</TotalTime>
  <ScaleCrop>false</ScaleCrop>
  <LinksUpToDate>false</LinksUpToDate>
  <CharactersWithSpaces>1300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2025-12-28T02:41:00Z</dcterms:created>
  <dc:creator>迈斯纳效应</dc:creator>
  <cp:lastModifiedBy>迈斯纳效应</cp:lastModifiedBy>
  <dcterms:modified xsi:type="dcterms:W3CDTF">2025-12-28T02:52:02Z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6E4A74EFF9454ADDB4C43B99C4179808_12</vt:lpwstr>
  </property>
</Properties>
</file>