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44AA9">
      <w:pPr>
        <w:pStyle w:val="2"/>
      </w:pPr>
      <w:bookmarkStart w:id="0" w:name="高维超时空统一与三维三场本体论的比较研究"/>
      <w:r>
        <w:rPr>
          <w:rFonts w:hint="eastAsia"/>
          <w:lang w:val="en-US" w:eastAsia="zh-CN"/>
        </w:rPr>
        <w:t xml:space="preserve">D1  </w:t>
      </w:r>
      <w:r>
        <w:rPr>
          <w:rFonts w:hint="eastAsia"/>
        </w:rPr>
        <w:t>高维超时空统一与三维三场本体论的比较研究</w:t>
      </w:r>
    </w:p>
    <w:p w14:paraId="0522D3E9">
      <w:pPr>
        <w:pStyle w:val="4"/>
        <w:rPr>
          <w:rFonts w:hint="eastAsia"/>
        </w:rPr>
      </w:pPr>
      <w:r>
        <w:rPr>
          <w:rFonts w:hint="eastAsia"/>
        </w:rPr>
        <w:t>——剖析吴岳良超统一场论与李志军场组合波函数理论（FCWFT）的内在机理</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49B04CA9">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4178790F">
      <w:pPr>
        <w:pStyle w:val="3"/>
      </w:pPr>
      <w:r>
        <w:rPr>
          <w:rFonts w:hint="eastAsia"/>
          <w:b/>
          <w:bCs/>
        </w:rPr>
        <w:t>PACS：</w:t>
      </w:r>
      <w:r>
        <w:t xml:space="preserve"> 11.30.-j, 12.15.-y, 98.80.-k, 31.10.+z</w:t>
      </w:r>
    </w:p>
    <w:p w14:paraId="5887E7D8">
      <w:pPr>
        <w:pStyle w:val="5"/>
      </w:pPr>
      <w:bookmarkStart w:id="1" w:name="摘要"/>
      <w:r>
        <w:rPr>
          <w:rFonts w:hint="eastAsia"/>
        </w:rPr>
        <w:t>摘要</w:t>
      </w:r>
    </w:p>
    <w:p w14:paraId="4E24602B">
      <w:pPr>
        <w:pStyle w:val="4"/>
      </w:pPr>
      <w:r>
        <w:rPr>
          <w:rFonts w:hint="eastAsia"/>
        </w:rPr>
        <w:t>统一场论是理论物理探索万物底层规律的终极方向，目前形成两大主流研究范式：高维几何统一范式与低维场本体统一范式。本文基于FCWFT（场组合波函数理论）A1–C17完整文献体系，系统对比吴岳良院士建立的19维超时空超统一场论（HFT）与三维三场公理体系FCWFT的理论架构、核心机理与物理内涵。</w:t>
      </w:r>
    </w:p>
    <w:p w14:paraId="0285FA10">
      <w:pPr>
        <w:pStyle w:val="3"/>
      </w:pPr>
      <w:r>
        <w:rPr>
          <w:rFonts w:hint="eastAsia"/>
        </w:rPr>
        <w:t>HFT遵循“内禀量子数决定时空维度”的核心原则，构建19维超时空框架，以单一马约拉纳型超旋量场为基本物质基元，依托SP(1,18)超自旋规范对称性、双标架超时空纤维丛结构，建立规范-引力对应与引力-几何对偶，实现四种基本相互作用的高维几何统一，是当代高维统一场论的系统性成果。</w:t>
      </w:r>
    </w:p>
    <w:p w14:paraId="34C1C932">
      <w:pPr>
        <w:pStyle w:val="3"/>
      </w:pPr>
      <w:r>
        <w:rPr>
          <w:rFonts w:hint="eastAsia"/>
        </w:rPr>
        <w:t>FCWFT摒弃额外维度假设，以四维物理时空（三维空间+一维时间）为唯一基础，构建A电磁涡旋场、B色荷旋量场、C希格斯标量场三大不可约公理场。通过拓扑缠绕数、覆盖数、引力子网络耦合等第一性拓扑机制，无人工自由参数地刻画从微观粒子自旋、色荷结构、质量谱、量子特性到宏观宇宙组分、大尺度空洞结构、宇宙膨胀的跨尺度物理规律。</w:t>
      </w:r>
    </w:p>
    <w:p w14:paraId="1821D8B6">
      <w:pPr>
        <w:pStyle w:val="3"/>
      </w:pPr>
      <w:r>
        <w:rPr>
          <w:rFonts w:hint="eastAsia"/>
        </w:rPr>
        <w:t>本文从维度哲学、基本物质基元、对称性起源、相互作用统一机制、波粒二象性本质、暗物质暗能量物理起源、宇宙大尺度结构解释力、粒子质量谱生成机制、数学自洽性与可证伪性九大维度完成系统对比。通过FCWFT原创维度链分析视角，厘清SP(1,3)→9维→SP(2,8)→四维→SP(3,18)的对称群演化逻辑，严格证明高维超对称结构与三维三场拓扑结构仅存在形式维度类比性，无物理动力学等价性。</w:t>
      </w:r>
    </w:p>
    <w:p w14:paraId="6766481E">
      <w:pPr>
        <w:pStyle w:val="3"/>
      </w:pPr>
      <w:r>
        <w:rPr>
          <w:rFonts w:hint="eastAsia"/>
        </w:rPr>
        <w:t>研究表明：HFT以高维几何对称性实现相互作用的理论统一，数学体系成熟、对接引力波观测，具备扎实的理论传承与学术基础；FCWFT以三维场本体拓扑激发实现全尺度物理统一，具备零自由参数、第一性原理推导、强可证伪性、贴合可观测宇宙的核心优势。两套理论在底层时空哲学、统一机制、物理本体上存在根本性、不可调和的范式对立，为终极统一场论的探索提供两条差异化、竞争性的前沿路径。</w:t>
      </w:r>
    </w:p>
    <w:p w14:paraId="7EDDFCAB">
      <w:pPr>
        <w:pStyle w:val="3"/>
      </w:pPr>
      <w:r>
        <w:rPr>
          <w:rFonts w:hint="eastAsia"/>
          <w:b/>
          <w:bCs/>
        </w:rPr>
        <w:t>关键词：</w:t>
      </w:r>
      <w:r>
        <w:t xml:space="preserve"> </w:t>
      </w:r>
      <w:r>
        <w:rPr>
          <w:rFonts w:hint="eastAsia"/>
        </w:rPr>
        <w:t>超统一场论；场组合波函数理论；19维超时空；三场公理体系；规范-引力对偶；拓扑场论；KBC空洞；粒子全同性；统一场论范式</w:t>
      </w:r>
    </w:p>
    <w:bookmarkEnd w:id="1"/>
    <w:p w14:paraId="2691C932">
      <w:pPr>
        <w:pStyle w:val="5"/>
      </w:pPr>
      <w:bookmarkStart w:id="2" w:name="引言统一场论的两大范式路径"/>
      <w:r>
        <w:t xml:space="preserve">1 </w:t>
      </w:r>
      <w:r>
        <w:rPr>
          <w:rFonts w:hint="eastAsia"/>
        </w:rPr>
        <w:t>引言：统一场论的两大范式路径</w:t>
      </w:r>
    </w:p>
    <w:p w14:paraId="2F363B3E">
      <w:pPr>
        <w:pStyle w:val="4"/>
      </w:pPr>
      <w:r>
        <w:rPr>
          <w:rFonts w:hint="eastAsia"/>
        </w:rPr>
        <w:t>自爱因斯坦提出统一场论构想以来，理论物理始终围绕“统一基本相互作用、统一时空与物质本质”两大核心目标迭代发展，逐步分化为两条完全独立的研究范式。</w:t>
      </w:r>
    </w:p>
    <w:p w14:paraId="029B341C">
      <w:pPr>
        <w:pStyle w:val="3"/>
      </w:pPr>
      <w:r>
        <w:rPr>
          <w:rFonts w:hint="eastAsia"/>
          <w:b/>
          <w:bCs/>
        </w:rPr>
        <w:t>第一条为高维几何统一范式：</w:t>
      </w:r>
      <w:r>
        <w:t xml:space="preserve"> </w:t>
      </w:r>
      <w:r>
        <w:rPr>
          <w:rFonts w:hint="eastAsia"/>
        </w:rPr>
        <w:t>继承广义相对论几何时空内核，通过引入额外时空维度、拓展规范对称群、构建高维纤维丛几何结构，将引力、电磁、强、弱相互作用统一于高维时空的几何动力学框架。代表性理论包括卡鲁扎-克莱因理论、超弦理论、M理论，以及吴岳良院士系统性构建的19维超时空超统一场论（HFT）。该范式核心逻辑为：基本粒子内禀自由度与量子数决定时空维度与几何结构，低维可观测物理是高维对称破缺后的投影效应。</w:t>
      </w:r>
    </w:p>
    <w:p w14:paraId="3D42FADB">
      <w:pPr>
        <w:pStyle w:val="3"/>
      </w:pPr>
      <w:r>
        <w:rPr>
          <w:rFonts w:hint="eastAsia"/>
          <w:b/>
          <w:bCs/>
        </w:rPr>
        <w:t>第二条为低维场本体统一范式：</w:t>
      </w:r>
      <w:r>
        <w:t xml:space="preserve"> </w:t>
      </w:r>
      <w:r>
        <w:rPr>
          <w:rFonts w:hint="eastAsia"/>
        </w:rPr>
        <w:t>拒绝不可观测的紧致化额外维度，坚持四维物理时空的基础性，以空间固有基本场为宇宙本体，所有粒子、相互作用、宇宙现象均为基本场的拓扑激发与耦合演化。场组合波函数理论（FCWFT）是该范式的全新系统性理论，以三条底层场公理构建完整物理体系，实现无自由参数的跨尺度物理描述。</w:t>
      </w:r>
    </w:p>
    <w:p w14:paraId="375BD806">
      <w:pPr>
        <w:pStyle w:val="3"/>
      </w:pPr>
      <w:r>
        <w:rPr>
          <w:rFonts w:hint="eastAsia"/>
        </w:rPr>
        <w:t>两大范式的核心哲学分歧贯穿全部理论体系：HFT以时空几何为核心、对称性破缺为机制、高维投影为物理来源；FCWFT以本体场拓扑为核心、场耦合激发为机制、三维时空为唯一物理基底。</w:t>
      </w:r>
    </w:p>
    <w:p w14:paraId="151723C3">
      <w:pPr>
        <w:pStyle w:val="3"/>
      </w:pPr>
      <w:r>
        <w:rPr>
          <w:rFonts w:hint="eastAsia"/>
        </w:rPr>
        <w:t>基于FCWFT六十余篇系列文献的完整体系，本文严格、中立、系统剖析两套理论的核心机理、优势短板、范式差异与实证边界，厘清高维理论与三维场论的类比关系与本质区别，为统一场论的后续研究提供清晰的范式参考与理论边界界定。</w:t>
      </w:r>
    </w:p>
    <w:bookmarkEnd w:id="2"/>
    <w:p w14:paraId="7A686BDC">
      <w:pPr>
        <w:pStyle w:val="5"/>
      </w:pPr>
      <w:bookmarkStart w:id="3" w:name="吴岳良超统一场论hft核心理论体系"/>
      <w:r>
        <w:t xml:space="preserve">2 </w:t>
      </w:r>
      <w:r>
        <w:rPr>
          <w:rFonts w:hint="eastAsia"/>
        </w:rPr>
        <w:t>吴岳良超统一场论（HFT）核心理论体系</w:t>
      </w:r>
    </w:p>
    <w:p w14:paraId="555ADFCF">
      <w:pPr>
        <w:pStyle w:val="4"/>
      </w:pPr>
      <w:r>
        <w:rPr>
          <w:rFonts w:hint="eastAsia"/>
        </w:rPr>
        <w:t>HFT是建立在量子场论与微分几何基础上的系统性统一场论，突破传统四维时空局限，基于“时空维度匹配粒子超自旋量子自由度”的核心原理，构建19维超时空完整理论框架，实现四种基本相互作用的几何化统一。该理论体系成熟、数学自洽，对接太极引力波观测计划，得到国内理论物理领域的系统性关注与学术认证。</w:t>
      </w:r>
    </w:p>
    <w:p w14:paraId="513AB490">
      <w:pPr>
        <w:pStyle w:val="6"/>
      </w:pPr>
      <w:bookmarkStart w:id="4" w:name="维超时空与单一超旋量场基元"/>
      <w:r>
        <w:t xml:space="preserve">2.1 </w:t>
      </w:r>
      <w:r>
        <w:rPr>
          <w:rFonts w:hint="eastAsia"/>
        </w:rPr>
        <w:t>19维超时空与单一超旋量场基元</w:t>
      </w:r>
    </w:p>
    <w:p w14:paraId="13785601">
      <w:pPr>
        <w:pStyle w:val="4"/>
      </w:pPr>
      <w:r>
        <w:rPr>
          <w:rFonts w:hint="eastAsia"/>
        </w:rPr>
        <w:t>HFT核心时空架构为1维时间+18维空间的19维超时空，其最大庞加莱对称性为PO(1,18)，支配全部时空运动学；最大非齐次超自旋规范对称性为SP(1,18)，统一支配自然界四种基本相互作用。</w:t>
      </w:r>
    </w:p>
    <w:p w14:paraId="3FFB3C40">
      <w:pPr>
        <w:pStyle w:val="3"/>
      </w:pPr>
      <w:r>
        <w:rPr>
          <w:rFonts w:hint="eastAsia"/>
        </w:rPr>
        <w:t>19维时空的存在具备严格的量子对应依据：基本粒子超自旋荷的量子比特自由度决定时空维度结构。当基础量子比特数为9时，时空自然呈现19维周期规律，实现基本粒子自由度与时空维度的严格匹配。</w:t>
      </w:r>
    </w:p>
    <w:p w14:paraId="01101810">
      <w:pPr>
        <w:pStyle w:val="3"/>
      </w:pPr>
      <w:r>
        <w:rPr>
          <w:rFonts w:hint="eastAsia"/>
        </w:rPr>
        <w:t>在物质基元层面，HFT将宇宙所有基本粒子（全部夸克、轻子）统一为单一马约拉纳型超旋量场。所有粒子的内禀量子数、自旋、荷量子特性，均为19维超旋量场不同分量的低维投影结果，从而在理论上实现了物质基元的终极统一。</w:t>
      </w:r>
    </w:p>
    <w:bookmarkEnd w:id="4"/>
    <w:p w14:paraId="38722A98">
      <w:pPr>
        <w:pStyle w:val="6"/>
      </w:pPr>
      <w:bookmarkStart w:id="5" w:name="双标架超时空纤维丛结构"/>
      <w:r>
        <w:t xml:space="preserve">2.2 </w:t>
      </w:r>
      <w:r>
        <w:rPr>
          <w:rFonts w:hint="eastAsia"/>
        </w:rPr>
        <w:t>双标架超时空纤维丛结构</w:t>
      </w:r>
    </w:p>
    <w:p w14:paraId="3AF73B77">
      <w:pPr>
        <w:pStyle w:val="4"/>
      </w:pPr>
      <w:r>
        <w:rPr>
          <w:rFonts w:hint="eastAsia"/>
        </w:rPr>
        <w:t>HFT创新性地提出了双标架超时空核心架构，构建双层时空纤维丛体系，严格区分运动学时空与动力学时空，解决了高维场论中长期存在的坐标歧义与规范冗余问题：</w:t>
      </w:r>
    </w:p>
    <w:p w14:paraId="64D24187">
      <w:pPr>
        <w:pStyle w:val="26"/>
        <w:numPr>
          <w:ilvl w:val="0"/>
          <w:numId w:val="1"/>
        </w:numPr>
      </w:pPr>
      <w:r>
        <w:rPr>
          <w:rFonts w:hint="eastAsia"/>
          <w:b/>
          <w:bCs/>
        </w:rPr>
        <w:t>整体平坦闵氏超时空：</w:t>
      </w:r>
      <w:r>
        <w:t xml:space="preserve"> </w:t>
      </w:r>
      <w:r>
        <w:rPr>
          <w:rFonts w:hint="eastAsia"/>
        </w:rPr>
        <w:t>作为纤维丛底流形，定义全局时空坐标，描述基本场的自由运动学规律，满足全局庞加莱对称性；</w:t>
      </w:r>
    </w:p>
    <w:p w14:paraId="05C27A5D">
      <w:pPr>
        <w:pStyle w:val="26"/>
        <w:numPr>
          <w:ilvl w:val="0"/>
          <w:numId w:val="1"/>
        </w:numPr>
      </w:pPr>
      <w:r>
        <w:rPr>
          <w:rFonts w:hint="eastAsia"/>
          <w:b/>
          <w:bCs/>
        </w:rPr>
        <w:t>局域平坦超引力场时空：</w:t>
      </w:r>
      <w:r>
        <w:t xml:space="preserve"> </w:t>
      </w:r>
      <w:r>
        <w:rPr>
          <w:rFonts w:hint="eastAsia"/>
        </w:rPr>
        <w:t>作为纤维丛纤维结构，刻画基本场的局域动力学演化、内禀自由度耦合与相互作用关联。</w:t>
      </w:r>
    </w:p>
    <w:p w14:paraId="17E11695">
      <w:pPr>
        <w:pStyle w:val="4"/>
      </w:pPr>
      <w:r>
        <w:rPr>
          <w:rFonts w:hint="eastAsia"/>
        </w:rPr>
        <w:t>其中，超引力场为双协变矢量场，兼具规范场与戈德斯通玻色场双重属性：既承担超自旋规范相互作用的媒介功能，又通过对称变换诱导超时空对称性，从根本上揭示了规范对称性的引力起源。</w:t>
      </w:r>
    </w:p>
    <w:bookmarkEnd w:id="5"/>
    <w:p w14:paraId="1D5F415A">
      <w:pPr>
        <w:pStyle w:val="6"/>
      </w:pPr>
      <w:bookmarkStart w:id="6" w:name="规范-引力对偶核心原理"/>
      <w:r>
        <w:t xml:space="preserve">2.3 </w:t>
      </w:r>
      <w:r>
        <w:rPr>
          <w:rFonts w:hint="eastAsia"/>
        </w:rPr>
        <w:t>规范-引力对偶核心原理</w:t>
      </w:r>
    </w:p>
    <w:p w14:paraId="68CCD251">
      <w:pPr>
        <w:pStyle w:val="4"/>
      </w:pPr>
      <w:r>
        <w:rPr>
          <w:rFonts w:hint="eastAsia"/>
        </w:rPr>
        <w:t>HFT建立了两大基础性对偶原理，完成了引力与规范相互作用的深度统一，是其核心理论创新：</w:t>
      </w:r>
    </w:p>
    <w:p w14:paraId="09839626">
      <w:pPr>
        <w:pStyle w:val="26"/>
        <w:numPr>
          <w:ilvl w:val="0"/>
          <w:numId w:val="2"/>
        </w:numPr>
      </w:pPr>
      <w:r>
        <w:rPr>
          <w:rFonts w:hint="eastAsia"/>
          <w:b/>
          <w:bCs/>
        </w:rPr>
        <w:t>规范-引力对应原理：</w:t>
      </w:r>
      <w:r>
        <w:t xml:space="preserve"> </w:t>
      </w:r>
      <w:r>
        <w:rPr>
          <w:rFonts w:hint="eastAsia"/>
        </w:rPr>
        <w:t>局域超引力场时空的规范相互作用，可完全等效为高维时空的几何演化效应。所有基本相互作用均可统一为超引力场框架下的超自旋规范作用；</w:t>
      </w:r>
    </w:p>
    <w:p w14:paraId="4DA2BB08">
      <w:pPr>
        <w:pStyle w:val="26"/>
        <w:numPr>
          <w:ilvl w:val="0"/>
          <w:numId w:val="2"/>
        </w:numPr>
      </w:pPr>
      <w:r>
        <w:rPr>
          <w:rFonts w:hint="eastAsia"/>
          <w:b/>
          <w:bCs/>
        </w:rPr>
        <w:t>引力-几何对偶原理：</w:t>
      </w:r>
      <w:r>
        <w:t xml:space="preserve"> </w:t>
      </w:r>
      <w:r>
        <w:rPr>
          <w:rFonts w:hint="eastAsia"/>
        </w:rPr>
        <w:t>超引力场的规范动力学演化，等价于超时空黎曼曲率的几何动力学演化，实现了引力的“规范场论表述”与“几何时空表述”的完全等价。</w:t>
      </w:r>
    </w:p>
    <w:p w14:paraId="2E0EC200">
      <w:pPr>
        <w:pStyle w:val="4"/>
      </w:pPr>
      <w:r>
        <w:rPr>
          <w:rFonts w:hint="eastAsia"/>
        </w:rPr>
        <w:t>依托广义标度规范不变条件与幺正规范固定条件，HFT严格证明了高维超引力规范动力学与超时空几何动力学的完全自洽性，从理论层面统一了引力与量子规范场论。</w:t>
      </w:r>
    </w:p>
    <w:bookmarkEnd w:id="6"/>
    <w:p w14:paraId="3757568A">
      <w:pPr>
        <w:pStyle w:val="6"/>
      </w:pPr>
      <w:bookmarkStart w:id="7" w:name="暗物质与暗能量的理论定义"/>
      <w:r>
        <w:t xml:space="preserve">2.4 </w:t>
      </w:r>
      <w:r>
        <w:rPr>
          <w:rFonts w:hint="eastAsia"/>
        </w:rPr>
        <w:t>暗物质与暗能量的理论定义</w:t>
      </w:r>
    </w:p>
    <w:p w14:paraId="662B8A04">
      <w:pPr>
        <w:pStyle w:val="4"/>
      </w:pPr>
      <w:r>
        <w:rPr>
          <w:rFonts w:hint="eastAsia"/>
        </w:rPr>
        <w:t>HFT基于高维对称场演化，给出了宇宙暗组分的规范场论起源：</w:t>
      </w:r>
    </w:p>
    <w:p w14:paraId="7372F431">
      <w:pPr>
        <w:pStyle w:val="26"/>
        <w:numPr>
          <w:ilvl w:val="0"/>
          <w:numId w:val="3"/>
        </w:numPr>
      </w:pPr>
      <w:r>
        <w:rPr>
          <w:rFonts w:hint="eastAsia"/>
          <w:b/>
          <w:bCs/>
        </w:rPr>
        <w:t>标度规范场：</w:t>
      </w:r>
      <w:r>
        <w:t xml:space="preserve"> </w:t>
      </w:r>
      <w:r>
        <w:rPr>
          <w:rFonts w:hint="eastAsia"/>
        </w:rPr>
        <w:t>高维对称残留规范场，作为暗物质的核心候选场，主导星系尺度引力修正效应；</w:t>
      </w:r>
    </w:p>
    <w:p w14:paraId="7EE54087">
      <w:pPr>
        <w:pStyle w:val="26"/>
        <w:numPr>
          <w:ilvl w:val="0"/>
          <w:numId w:val="3"/>
        </w:numPr>
      </w:pPr>
      <w:r>
        <w:rPr>
          <w:rFonts w:hint="eastAsia"/>
          <w:b/>
          <w:bCs/>
        </w:rPr>
        <w:t>Q(c)-自旋标量场：</w:t>
      </w:r>
      <w:r>
        <w:t xml:space="preserve"> </w:t>
      </w:r>
      <w:r>
        <w:rPr>
          <w:rFonts w:hint="eastAsia"/>
        </w:rPr>
        <w:t>超时空标度演化诱导的真空标量场，驱动宇宙膨胀，构成暗能量的物理起源。</w:t>
      </w:r>
    </w:p>
    <w:p w14:paraId="6312DAA0">
      <w:pPr>
        <w:pStyle w:val="4"/>
      </w:pPr>
      <w:r>
        <w:rPr>
          <w:rFonts w:hint="eastAsia"/>
        </w:rPr>
        <w:t>两类场依托GL(19,R)广义线性群隐性对称性，刻画宇宙基本能量标度与时空演化规律，为宇宙起源、早期暴胀、宇宙膨胀提供高维理论解释。</w:t>
      </w:r>
    </w:p>
    <w:bookmarkEnd w:id="7"/>
    <w:p w14:paraId="18CF37B5">
      <w:pPr>
        <w:pStyle w:val="6"/>
      </w:pPr>
      <w:bookmarkStart w:id="8" w:name="宇宙学与实证对接体系"/>
      <w:r>
        <w:t xml:space="preserve">2.5 </w:t>
      </w:r>
      <w:r>
        <w:rPr>
          <w:rFonts w:hint="eastAsia"/>
        </w:rPr>
        <w:t>宇宙学与实证对接体系</w:t>
      </w:r>
    </w:p>
    <w:p w14:paraId="3988E46C">
      <w:pPr>
        <w:pStyle w:val="4"/>
      </w:pPr>
      <w:r>
        <w:rPr>
          <w:rFonts w:hint="eastAsia"/>
        </w:rPr>
        <w:t>HFT系统构建了早期宇宙暴胀机制，以时空演化标度量场驱动原初宇宙暴胀，解释原初涨落与宇宙大尺度结构形成。在实证层面，HFT严格对接太极空间引力波探测计划，预言高维超对称破缺带来的引力子修正效应、镜像粒子态、矢量型夸克轻子态等新物理信号，具备明确的高能物理与宇宙学实证接口。</w:t>
      </w:r>
    </w:p>
    <w:bookmarkEnd w:id="3"/>
    <w:bookmarkEnd w:id="8"/>
    <w:p w14:paraId="377493FB">
      <w:pPr>
        <w:pStyle w:val="5"/>
      </w:pPr>
      <w:bookmarkStart w:id="9" w:name="场组合波函数理论fcwft三场公理核心体系"/>
      <w:r>
        <w:t xml:space="preserve">3 </w:t>
      </w:r>
      <w:r>
        <w:rPr>
          <w:rFonts w:hint="eastAsia"/>
        </w:rPr>
        <w:t>场组合波函数理论（FCWFT）三场公理核心体系</w:t>
      </w:r>
    </w:p>
    <w:p w14:paraId="6097A59C">
      <w:pPr>
        <w:pStyle w:val="4"/>
      </w:pPr>
      <w:r>
        <w:rPr>
          <w:rFonts w:hint="eastAsia"/>
        </w:rPr>
        <w:t>FCWFT为四维时空基底的拓扑场论，摒弃额外维度、紧致化、人工对称破缺等辅助假设，以三条无自由参数、第一性、不可约公理定义三维宇宙的全部基本场。所有微观、宏观物理规律均由三场拓扑耦合、激发、演化严格导出。理论核心特征为本体唯一、机制直接、可观测性强、零参数拟合。</w:t>
      </w:r>
    </w:p>
    <w:p w14:paraId="2E018355">
      <w:pPr>
        <w:pStyle w:val="6"/>
      </w:pPr>
      <w:bookmarkStart w:id="10" w:name="三大基本涡旋场公理定义"/>
      <w:r>
        <w:t xml:space="preserve">3.1 </w:t>
      </w:r>
      <w:r>
        <w:rPr>
          <w:rFonts w:hint="eastAsia"/>
        </w:rPr>
        <w:t>三大基本涡旋场公理定义</w:t>
      </w:r>
    </w:p>
    <w:p w14:paraId="0ED0CD56">
      <w:pPr>
        <w:pStyle w:val="4"/>
      </w:pPr>
      <w:r>
        <w:rPr>
          <w:rFonts w:hint="eastAsia"/>
        </w:rPr>
        <w:t>FCWFT的全部物理基底为三维空间内相互耦合、不可拆分的三类涡旋本体场，各司其职、完整覆盖全部物理属性，无任何冗余自由度：</w:t>
      </w:r>
    </w:p>
    <w:p w14:paraId="06F39410">
      <w:pPr>
        <w:pStyle w:val="3"/>
      </w:pPr>
      <w:r>
        <w:rPr>
          <w:rFonts w:hint="eastAsia"/>
          <w:b/>
          <w:bCs/>
        </w:rPr>
        <w:t>公理1：A场（电磁涡旋矢量场）</w:t>
      </w:r>
    </w:p>
    <w:p w14:paraId="27AEDF8D">
      <w:pPr>
        <w:pStyle w:val="3"/>
      </w:pPr>
      <w:r>
        <w:rPr>
          <w:rFonts w:hint="eastAsia"/>
        </w:rPr>
        <w:t>A场为全局规范不变电磁基底场，是宇宙波动性的唯一本体载体。A场不携带色荷、电荷、弱荷等内部量子数，仅负责电磁波演化、量子波包弥散、时空拓扑引力耦合。原子电子云并非概率假设，而是A场在C场势阱约束下的稳态波包激发。A场基态量子激发为引力子，构成全域性时空引力介质，其涡旋缠绕数为整数拓扑不变量，严格区分波动模态。</w:t>
      </w:r>
    </w:p>
    <w:p w14:paraId="66D569A7">
      <w:pPr>
        <w:pStyle w:val="3"/>
      </w:pPr>
      <w:r>
        <w:rPr>
          <w:rFonts w:hint="eastAsia"/>
          <w:b/>
          <w:bCs/>
        </w:rPr>
        <w:t>公理2：B场（色荷涡旋旋量场）</w:t>
      </w:r>
    </w:p>
    <w:p w14:paraId="183B607A">
      <w:pPr>
        <w:pStyle w:val="3"/>
      </w:pPr>
      <w:r>
        <w:rPr>
          <w:rFonts w:hint="eastAsia"/>
        </w:rPr>
        <w:t>B场为粒子全部内部量子自由度的拓扑标记场，天生具备二分拓扑对称破缺结构，完整涵盖夸克、反夸克、轻子三类基本费米子的量子本源，是粒子内部荷结构与统计规律的唯一源头。</w:t>
      </w:r>
    </w:p>
    <w:p w14:paraId="44E0C16B">
      <w:pPr>
        <w:pStyle w:val="3"/>
      </w:pPr>
      <w:r>
        <w:rPr>
          <w:rFonts w:hint="eastAsia"/>
        </w:rPr>
        <w:t>B场存在正色荷拓扑单元与反色荷拓扑单元。夸克与反夸克由正反色荷单元的拓扑组合方式区分，具体色荷分配规则如下：</w:t>
      </w:r>
    </w:p>
    <w:p w14:paraId="0F0B4ABD">
      <w:pPr>
        <w:pStyle w:val="26"/>
        <w:numPr>
          <w:ilvl w:val="0"/>
          <w:numId w:val="4"/>
        </w:numPr>
      </w:pPr>
      <w:r>
        <w:rPr>
          <w:rFonts w:hint="eastAsia"/>
          <w:b/>
          <w:bCs/>
        </w:rPr>
        <w:t>上夸克（u）：</w:t>
      </w:r>
      <w:r>
        <w:t xml:space="preserve"> </w:t>
      </w:r>
      <w:r>
        <w:rPr>
          <w:rFonts w:hint="eastAsia"/>
        </w:rPr>
        <w:t>携带2个正色荷拓扑单元，净色荷为</w:t>
      </w:r>
      <w:r>
        <w:t xml:space="preserve"> </w:t>
      </w:r>
      <w:r>
        <w:rPr>
          <w:rFonts w:hint="eastAsia"/>
        </w:rPr>
        <w:t>+2/3（色荷单位）；</w:t>
      </w:r>
    </w:p>
    <w:p w14:paraId="08D7BD3C">
      <w:pPr>
        <w:pStyle w:val="26"/>
        <w:numPr>
          <w:ilvl w:val="0"/>
          <w:numId w:val="4"/>
        </w:numPr>
      </w:pPr>
      <w:r>
        <w:rPr>
          <w:rFonts w:hint="eastAsia"/>
          <w:b/>
          <w:bCs/>
        </w:rPr>
        <w:t>下夸克（d）：</w:t>
      </w:r>
      <w:r>
        <w:t xml:space="preserve"> </w:t>
      </w:r>
      <w:r>
        <w:rPr>
          <w:rFonts w:hint="eastAsia"/>
        </w:rPr>
        <w:t>携带1个反色荷拓扑单元，净色荷为</w:t>
      </w:r>
      <w:r>
        <w:t xml:space="preserve"> </w:t>
      </w:r>
      <w:r>
        <w:rPr>
          <w:rFonts w:hint="eastAsia"/>
        </w:rPr>
        <w:t>-1/3；</w:t>
      </w:r>
    </w:p>
    <w:p w14:paraId="0AF9F4A4">
      <w:pPr>
        <w:pStyle w:val="26"/>
        <w:numPr>
          <w:ilvl w:val="0"/>
          <w:numId w:val="4"/>
        </w:numPr>
      </w:pPr>
      <w:r>
        <w:rPr>
          <w:rFonts w:hint="eastAsia"/>
          <w:b/>
          <w:bCs/>
        </w:rPr>
        <w:t>反上夸克（</w:t>
      </w:r>
      <m:oMath>
        <m:acc>
          <m:accPr>
            <m:chr m:val="‾"/>
          </m:accPr>
          <m:e>
            <m:r>
              <m:rPr/>
              <m:t>u</m:t>
            </m:r>
          </m:e>
        </m:acc>
      </m:oMath>
      <w:r>
        <w:rPr>
          <w:rFonts w:hint="eastAsia"/>
          <w:b/>
          <w:bCs/>
        </w:rPr>
        <w:t>）：</w:t>
      </w:r>
      <w:r>
        <w:t xml:space="preserve"> </w:t>
      </w:r>
      <w:r>
        <w:rPr>
          <w:rFonts w:hint="eastAsia"/>
        </w:rPr>
        <w:t>携带2个反色荷拓扑单元，净色荷为</w:t>
      </w:r>
      <w:r>
        <w:t xml:space="preserve"> </w:t>
      </w:r>
      <w:r>
        <w:rPr>
          <w:rFonts w:hint="eastAsia"/>
        </w:rPr>
        <w:t>-2/3；</w:t>
      </w:r>
    </w:p>
    <w:p w14:paraId="6BBC1F10">
      <w:pPr>
        <w:pStyle w:val="26"/>
        <w:numPr>
          <w:ilvl w:val="0"/>
          <w:numId w:val="4"/>
        </w:numPr>
      </w:pPr>
      <w:r>
        <w:rPr>
          <w:rFonts w:hint="eastAsia"/>
          <w:b/>
          <w:bCs/>
        </w:rPr>
        <w:t>反下夸克（</w:t>
      </w:r>
      <m:oMath>
        <m:acc>
          <m:accPr>
            <m:chr m:val="‾"/>
          </m:accPr>
          <m:e>
            <m:r>
              <m:rPr/>
              <m:t>d</m:t>
            </m:r>
          </m:e>
        </m:acc>
      </m:oMath>
      <w:r>
        <w:rPr>
          <w:rFonts w:hint="eastAsia"/>
          <w:b/>
          <w:bCs/>
        </w:rPr>
        <w:t>）：</w:t>
      </w:r>
      <w:r>
        <w:t xml:space="preserve"> </w:t>
      </w:r>
      <w:r>
        <w:rPr>
          <w:rFonts w:hint="eastAsia"/>
        </w:rPr>
        <w:t>携带1个正色荷拓扑单元，净色荷为</w:t>
      </w:r>
      <w:r>
        <w:t xml:space="preserve"> +1/3。</w:t>
      </w:r>
    </w:p>
    <w:p w14:paraId="4DD61788">
      <w:pPr>
        <w:pStyle w:val="4"/>
      </w:pPr>
      <w:r>
        <w:rPr>
          <w:rFonts w:hint="eastAsia"/>
        </w:rPr>
        <w:t>对于轻子体系，B场三支反向反色荷分量（反R/反G/反B）矢量完全叠加抵消，形成轻子专属的无色中性基态。因此轻子无有效色荷、不参与强相互作用，完全契合量子色动力学的基本规律。</w:t>
      </w:r>
    </w:p>
    <w:p w14:paraId="555AA5A3">
      <w:pPr>
        <w:pStyle w:val="3"/>
      </w:pPr>
      <w:r>
        <w:rPr>
          <w:rFonts w:hint="eastAsia"/>
        </w:rPr>
        <w:t>B场天然嵌入弱二重态结构，赋予粒子弱荷与弱相互作用；粒子电荷由B场正反分量矢量求和严格量子化；粒子自旋由B场拓扑覆盖数唯一标定为</w:t>
      </w:r>
      <w:r>
        <w:t xml:space="preserve"> </w:t>
      </w:r>
      <m:oMath>
        <m:r>
          <m:rPr/>
          <m:t>s</m:t>
        </m:r>
        <m:r>
          <m:rPr>
            <m:sty m:val="p"/>
          </m:rPr>
          <m:t>=</m:t>
        </m:r>
        <m:r>
          <m:rPr/>
          <m:t>κ</m:t>
        </m:r>
        <m:r>
          <m:rPr>
            <m:sty m:val="p"/>
          </m:rPr>
          <m:t>/</m:t>
        </m:r>
        <m:r>
          <m:rPr/>
          <m:t>2</m:t>
        </m:r>
      </m:oMath>
      <w:r>
        <w:rPr>
          <w:rFonts w:hint="eastAsia"/>
        </w:rPr>
        <w:t>。同时，B场拓扑缠绕数严格约束泡利不相容原理与化学键饱和性，从拓扑层面解释量子统计规律。</w:t>
      </w:r>
    </w:p>
    <w:p w14:paraId="41FBE23E">
      <w:pPr>
        <w:pStyle w:val="3"/>
      </w:pPr>
      <w:r>
        <w:rPr>
          <w:rFonts w:hint="eastAsia"/>
          <w:b/>
          <w:bCs/>
        </w:rPr>
        <w:t>公理3：C场（希格斯涡旋标量场）</w:t>
      </w:r>
    </w:p>
    <w:p w14:paraId="12C7AF53">
      <w:pPr>
        <w:pStyle w:val="3"/>
      </w:pPr>
      <w:r>
        <w:rPr>
          <w:rFonts w:hint="eastAsia"/>
        </w:rPr>
        <w:t>C场为真空凝聚标量场，是粒子性、静质量、真空暗能量的唯一载体。核心功能包括：通过拓扑势阱局域化A场波包，实现波粒二象性的场论统一；依托真空凝聚效应锁定费米子静质量，遵循拓扑跷跷板能量守恒；定义宇宙固有关联长度</w:t>
      </w:r>
      <w:r>
        <w:t xml:space="preserve"> </w:t>
      </w:r>
      <m:oMath>
        <m:sSub>
          <m:sSubPr/>
          <m:e>
            <m:r>
              <m:rPr/>
              <m:t>ξ</m:t>
            </m:r>
          </m:e>
          <m:sub>
            <m:r>
              <m:rPr/>
              <m:t>C</m:t>
            </m:r>
          </m:sub>
        </m:sSub>
        <m:r>
          <m:rPr>
            <m:sty m:val="p"/>
          </m:rPr>
          <m:t>=</m:t>
        </m:r>
        <m:r>
          <m:rPr/>
          <m:t>395 </m:t>
        </m:r>
        <m:r>
          <m:rPr>
            <m:sty m:val="p"/>
          </m:rPr>
          <m:t>fm</m:t>
        </m:r>
      </m:oMath>
      <w:r>
        <w:rPr>
          <w:rFonts w:hint="eastAsia"/>
        </w:rPr>
        <w:t>，提供微观物理紫外截止与宇宙质量标度。</w:t>
      </w:r>
    </w:p>
    <w:p w14:paraId="4B18D3C8">
      <w:pPr>
        <w:pStyle w:val="3"/>
      </w:pPr>
      <w:r>
        <w:rPr>
          <w:rFonts w:hint="eastAsia"/>
        </w:rPr>
        <w:t>宇宙学尺度下，C场全域真空基底即为暗能量（占比约68.4%）；C场指数衰减拓扑势阱统一约束原子轨道尺度、化学键平衡、负质量暗物质局域化，实现微观与宇观尺度的机制贯通。</w:t>
      </w:r>
    </w:p>
    <w:bookmarkEnd w:id="10"/>
    <w:p w14:paraId="6D568D0C">
      <w:pPr>
        <w:pStyle w:val="6"/>
      </w:pPr>
      <w:bookmarkStart w:id="11" w:name="波粒二象性的第一性原理解释"/>
      <w:r>
        <w:t xml:space="preserve">3.2 </w:t>
      </w:r>
      <w:r>
        <w:rPr>
          <w:rFonts w:hint="eastAsia"/>
        </w:rPr>
        <w:t>波粒二象性的第一性原理解释</w:t>
      </w:r>
    </w:p>
    <w:p w14:paraId="3A18F982">
      <w:pPr>
        <w:pStyle w:val="4"/>
      </w:pPr>
      <w:r>
        <w:rPr>
          <w:rFonts w:hint="eastAsia"/>
        </w:rPr>
        <w:t>传统量子力学将波粒二象性作为基本公设，FCWFT通过三场耦合从物理本体层面完成了第一性推导，消除了人为假设：</w:t>
      </w:r>
    </w:p>
    <w:p w14:paraId="1B509DF0">
      <w:pPr>
        <w:pStyle w:val="26"/>
        <w:numPr>
          <w:ilvl w:val="0"/>
          <w:numId w:val="4"/>
        </w:numPr>
      </w:pPr>
      <w:r>
        <w:rPr>
          <w:rFonts w:hint="eastAsia"/>
          <w:b/>
          <w:bCs/>
        </w:rPr>
        <w:t>波动性：</w:t>
      </w:r>
      <w:r>
        <w:t xml:space="preserve"> </w:t>
      </w:r>
      <w:r>
        <w:rPr>
          <w:rFonts w:hint="eastAsia"/>
        </w:rPr>
        <w:t>纯A场波包干涉、弥散、传播的拓扑属性；</w:t>
      </w:r>
    </w:p>
    <w:p w14:paraId="5CB14BFE">
      <w:pPr>
        <w:pStyle w:val="26"/>
        <w:numPr>
          <w:ilvl w:val="0"/>
          <w:numId w:val="4"/>
        </w:numPr>
      </w:pPr>
      <w:r>
        <w:rPr>
          <w:rFonts w:hint="eastAsia"/>
          <w:b/>
          <w:bCs/>
        </w:rPr>
        <w:t>粒子性：</w:t>
      </w:r>
      <w:r>
        <w:t xml:space="preserve"> </w:t>
      </w:r>
      <w:r>
        <w:rPr>
          <w:rFonts w:hint="eastAsia"/>
        </w:rPr>
        <w:t>纯C场拓扑势阱的局域化束缚效应；</w:t>
      </w:r>
    </w:p>
    <w:p w14:paraId="6F791855">
      <w:pPr>
        <w:pStyle w:val="26"/>
        <w:numPr>
          <w:ilvl w:val="0"/>
          <w:numId w:val="4"/>
        </w:numPr>
      </w:pPr>
      <w:r>
        <w:rPr>
          <w:rFonts w:hint="eastAsia"/>
          <w:b/>
          <w:bCs/>
        </w:rPr>
        <w:t>统一性：</w:t>
      </w:r>
      <w:r>
        <w:t xml:space="preserve"> </w:t>
      </w:r>
      <w:r>
        <w:rPr>
          <w:rFonts w:hint="eastAsia"/>
        </w:rPr>
        <w:t>由A-C耦合拉格朗日量严格实现，B场叠加标记粒子内部量子态。</w:t>
      </w:r>
    </w:p>
    <w:p w14:paraId="5CD32E33">
      <w:pPr>
        <w:pStyle w:val="4"/>
      </w:pPr>
      <w:r>
        <w:rPr>
          <w:rFonts w:hint="eastAsia"/>
        </w:rPr>
        <w:t>耦合拉格朗日量为：</w:t>
      </w:r>
    </w:p>
    <w:p w14:paraId="6C08C421">
      <w:pPr>
        <w:pStyle w:val="3"/>
      </w:pPr>
      <m:oMathPara>
        <m:oMathParaPr>
          <m:jc m:val="center"/>
        </m:oMathParaPr>
        <m:oMath>
          <m:sSub>
            <m:sSubPr/>
            <m:e>
              <m:r>
                <m:rPr>
                  <m:sty m:val="p"/>
                  <m:scr m:val="script"/>
                </m:rPr>
                <m:t>ℒ</m:t>
              </m:r>
            </m:e>
            <m:sub>
              <m:r>
                <m:rPr/>
                <m:t>AC</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
            <m:sSubPr/>
            <m:e>
              <m:r>
                <m:rPr>
                  <m:sty m:val="p"/>
                </m:rPr>
                <m:t>∂</m:t>
              </m:r>
            </m:e>
            <m:sub>
              <m:r>
                <m:rPr/>
                <m:t>μ</m:t>
              </m:r>
            </m:sub>
          </m:sSub>
          <m:sSub>
            <m:sSubPr/>
            <m:e>
              <m:r>
                <m:rPr/>
                <m:t>ϕ</m:t>
              </m:r>
            </m:e>
            <m:sub>
              <m:r>
                <m:rPr/>
                <m:t>C</m:t>
              </m:r>
            </m:sub>
          </m:sSub>
          <m:sSup>
            <m:sSupPr/>
            <m:e>
              <m:r>
                <m:rPr>
                  <m:sty m:val="p"/>
                </m:rPr>
                <m:t>∂</m:t>
              </m:r>
            </m:e>
            <m:sup>
              <m:r>
                <m:rPr/>
                <m:t>μ</m:t>
              </m:r>
            </m:sup>
          </m:sSup>
          <m:sSub>
            <m:sSubPr/>
            <m:e>
              <m:r>
                <m:rPr/>
                <m:t>ϕ</m:t>
              </m:r>
            </m:e>
            <m:sub>
              <m:r>
                <m:rPr/>
                <m:t>C</m:t>
              </m:r>
            </m:sub>
          </m:sSub>
          <m:r>
            <m:rPr>
              <m:sty m:val="p"/>
            </m:rPr>
            <m:t>+</m:t>
          </m:r>
          <m:r>
            <m:rPr/>
            <m:t>λ</m:t>
          </m:r>
          <m:sSub>
            <m:sSubPr/>
            <m:e>
              <m:r>
                <m:rPr/>
                <m:t>F</m:t>
              </m:r>
            </m:e>
            <m:sub>
              <m:r>
                <m:rPr/>
                <m:t>μν</m:t>
              </m:r>
            </m:sub>
          </m:sSub>
          <m:sSup>
            <m:sSupPr/>
            <m:e>
              <m:r>
                <m:rPr/>
                <m:t>F</m:t>
              </m:r>
            </m:e>
            <m:sup>
              <m:r>
                <m:rPr/>
                <m:t>μν</m:t>
              </m:r>
            </m:sup>
          </m:sSup>
          <m:sSub>
            <m:sSubPr/>
            <m:e>
              <m:r>
                <m:rPr/>
                <m:t>ϕ</m:t>
              </m:r>
            </m:e>
            <m:sub>
              <m:r>
                <m:rPr/>
                <m:t>C</m:t>
              </m:r>
            </m:sub>
          </m:sSub>
        </m:oMath>
      </m:oMathPara>
    </w:p>
    <w:p w14:paraId="0B1D3C2A">
      <w:pPr>
        <w:pStyle w:val="4"/>
      </w:pPr>
      <w:r>
        <w:rPr>
          <w:rFonts w:hint="eastAsia"/>
        </w:rPr>
        <w:t>在此框架下，波粒二象性不再是量子力学的基础假设，而是三维基本场耦合演化的必然物理结果。</w:t>
      </w:r>
    </w:p>
    <w:bookmarkEnd w:id="11"/>
    <w:p w14:paraId="34CC8AF7">
      <w:pPr>
        <w:pStyle w:val="6"/>
      </w:pPr>
      <w:bookmarkStart w:id="12" w:name="电荷与色荷的拓扑量子化机制"/>
      <w:r>
        <w:t xml:space="preserve">3.3 </w:t>
      </w:r>
      <w:r>
        <w:rPr>
          <w:rFonts w:hint="eastAsia"/>
        </w:rPr>
        <w:t>电荷与色荷的拓扑量子化机制</w:t>
      </w:r>
    </w:p>
    <w:p w14:paraId="294029F3">
      <w:pPr>
        <w:pStyle w:val="4"/>
      </w:pPr>
      <w:r>
        <w:rPr>
          <w:rFonts w:hint="eastAsia"/>
        </w:rPr>
        <w:t>FCWFT从B场拓扑正反分量结构出发，建立涵盖正夸克、反夸克、轻子、中微子的完整电荷量子化通式，完全匹配实验观测与QCD色荷规则：</w:t>
      </w:r>
    </w:p>
    <w:p w14:paraId="02D06E22">
      <w:pPr>
        <w:pStyle w:val="3"/>
      </w:pPr>
      <m:oMathPara>
        <m:oMathParaPr>
          <m:jc m:val="center"/>
        </m:oMathParaPr>
        <m:oMath>
          <m:r>
            <m:rPr/>
            <m:t>Q</m:t>
          </m:r>
          <m:r>
            <m:rPr>
              <m:sty m:val="p"/>
            </m:rPr>
            <m:t>=(</m:t>
          </m:r>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r>
            <m:rPr>
              <m:sty m:val="p"/>
            </m:rPr>
            <m:t>)⋅</m:t>
          </m:r>
          <m:f>
            <m:fPr/>
            <m:num>
              <m:r>
                <m:rPr/>
                <m:t>e</m:t>
              </m:r>
            </m:num>
            <m:den>
              <m:r>
                <m:rPr/>
                <m:t>3</m:t>
              </m:r>
            </m:den>
          </m:f>
        </m:oMath>
      </m:oMathPara>
    </w:p>
    <w:p w14:paraId="627E8DD1">
      <w:pPr>
        <w:pStyle w:val="4"/>
      </w:pPr>
      <w:r>
        <w:rPr>
          <w:rFonts w:hint="eastAsia"/>
        </w:rPr>
        <w:t>其中</w:t>
      </w:r>
      <w:r>
        <w:t xml:space="preserve"> </w:t>
      </w:r>
      <m:oMath>
        <m:sSub>
          <m:sSubPr/>
          <m:e>
            <m:r>
              <m:rPr/>
              <m:t>n</m:t>
            </m:r>
          </m:e>
          <m:sub>
            <m:sSup>
              <m:sSupPr/>
              <m:e>
                <m:r>
                  <m:rPr/>
                  <m:t>B</m:t>
                </m:r>
              </m:e>
              <m:sup>
                <m:r>
                  <m:rPr>
                    <m:sty m:val="p"/>
                  </m:rPr>
                  <m:t>+</m:t>
                </m:r>
              </m:sup>
            </m:sSup>
          </m:sub>
        </m:sSub>
      </m:oMath>
      <w:r>
        <w:t xml:space="preserve"> </w:t>
      </w:r>
      <w:r>
        <w:rPr>
          <w:rFonts w:hint="eastAsia"/>
        </w:rPr>
        <w:t>为正色荷拓扑单元数，</w:t>
      </w:r>
      <m:oMath>
        <m:sSub>
          <m:sSubPr/>
          <m:e>
            <m:r>
              <m:rPr/>
              <m:t>n</m:t>
            </m:r>
          </m:e>
          <m:sub>
            <m:sSup>
              <m:sSupPr/>
              <m:e>
                <m:r>
                  <m:rPr/>
                  <m:t>B</m:t>
                </m:r>
              </m:e>
              <m:sup>
                <m:r>
                  <m:rPr>
                    <m:sty m:val="p"/>
                  </m:rPr>
                  <m:t>−</m:t>
                </m:r>
              </m:sup>
            </m:sSup>
          </m:sub>
        </m:sSub>
      </m:oMath>
      <w:r>
        <w:t xml:space="preserve"> </w:t>
      </w:r>
      <w:r>
        <w:rPr>
          <w:rFonts w:hint="eastAsia"/>
        </w:rPr>
        <w:t>为反色荷拓扑单元数。结合第3.1节定义的B场色荷拓扑单元分配规则，各类粒子的电荷与色荷对应关系如下：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2440"/>
        <w:gridCol w:w="1799"/>
        <w:gridCol w:w="1668"/>
        <w:gridCol w:w="1052"/>
      </w:tblGrid>
      <w:tr w14:paraId="1DCA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46EE01B">
            <w:pPr>
              <w:pStyle w:val="26"/>
              <w:jc w:val="left"/>
            </w:pPr>
            <w:r>
              <w:rPr>
                <w:rFonts w:hint="eastAsia"/>
                <w:b/>
              </w:rPr>
              <w:t>粒子类型</w:t>
            </w:r>
          </w:p>
        </w:tc>
        <w:tc>
          <w:tcPr>
            <w:shd w:val="clear" w:color="auto" w:fill="B9CDE5"/>
          </w:tcPr>
          <w:p w14:paraId="7DD3EA02">
            <w:pPr>
              <w:pStyle w:val="26"/>
              <w:jc w:val="center"/>
            </w:pPr>
            <w:r>
              <w:rPr>
                <w:rFonts w:hint="eastAsia"/>
                <w:b/>
              </w:rPr>
              <w:t>正色荷单元数</w:t>
            </w:r>
            <w:r>
              <w:rPr>
                <w:b/>
              </w:rPr>
              <w:t xml:space="preserve"> </w:t>
            </w:r>
            <m:oMath>
              <m:sSub>
                <m:sSubPr/>
                <m:e>
                  <m:r>
                    <m:rPr/>
                    <m:t>n</m:t>
                  </m:r>
                </m:e>
                <m:sub>
                  <m:sSup>
                    <m:sSupPr/>
                    <m:e>
                      <m:r>
                        <m:rPr/>
                        <m:t>B</m:t>
                      </m:r>
                    </m:e>
                    <m:sup>
                      <m:r>
                        <m:rPr>
                          <m:sty m:val="p"/>
                        </m:rPr>
                        <m:t>+</m:t>
                      </m:r>
                    </m:sup>
                  </m:sSup>
                </m:sub>
              </m:sSub>
            </m:oMath>
          </w:p>
        </w:tc>
        <w:tc>
          <w:tcPr>
            <w:shd w:val="clear" w:color="auto" w:fill="B9CDE5"/>
          </w:tcPr>
          <w:p w14:paraId="4FBD7CDF">
            <w:pPr>
              <w:pStyle w:val="26"/>
              <w:jc w:val="center"/>
            </w:pPr>
            <w:r>
              <w:rPr>
                <w:rFonts w:hint="eastAsia"/>
                <w:b/>
              </w:rPr>
              <w:t>反色荷单元数</w:t>
            </w:r>
            <w:r>
              <w:rPr>
                <w:b/>
              </w:rPr>
              <w:t xml:space="preserve"> </w:t>
            </w:r>
            <m:oMath>
              <m:sSub>
                <m:sSubPr/>
                <m:e>
                  <m:r>
                    <m:rPr/>
                    <m:t>n</m:t>
                  </m:r>
                </m:e>
                <m:sub>
                  <m:sSup>
                    <m:sSupPr/>
                    <m:e>
                      <m:r>
                        <m:rPr/>
                        <m:t>B</m:t>
                      </m:r>
                    </m:e>
                    <m:sup>
                      <m:r>
                        <m:rPr>
                          <m:sty m:val="p"/>
                        </m:rPr>
                        <m:t>−</m:t>
                      </m:r>
                    </m:sup>
                  </m:sSup>
                </m:sub>
              </m:sSub>
            </m:oMath>
          </w:p>
        </w:tc>
        <w:tc>
          <w:tcPr>
            <w:shd w:val="clear" w:color="auto" w:fill="B9CDE5"/>
          </w:tcPr>
          <w:p w14:paraId="70B4E4F9">
            <w:pPr>
              <w:pStyle w:val="26"/>
              <w:jc w:val="center"/>
            </w:pPr>
            <w:r>
              <w:rPr>
                <w:rFonts w:hint="eastAsia"/>
                <w:b/>
              </w:rPr>
              <w:t>净电荷</w:t>
            </w:r>
            <w:r>
              <w:rPr>
                <w:b/>
              </w:rPr>
              <w:t xml:space="preserve"> Q</w:t>
            </w:r>
          </w:p>
        </w:tc>
        <w:tc>
          <w:tcPr>
            <w:shd w:val="clear" w:color="auto" w:fill="B9CDE5"/>
          </w:tcPr>
          <w:p w14:paraId="735DD057">
            <w:pPr>
              <w:pStyle w:val="26"/>
              <w:jc w:val="left"/>
            </w:pPr>
            <w:r>
              <w:rPr>
                <w:rFonts w:hint="eastAsia"/>
                <w:b/>
              </w:rPr>
              <w:t>色荷特征</w:t>
            </w:r>
          </w:p>
        </w:tc>
      </w:tr>
      <w:tr w14:paraId="12AE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10E5C1">
            <w:pPr>
              <w:pStyle w:val="26"/>
              <w:jc w:val="left"/>
            </w:pPr>
            <w:r>
              <w:rPr>
                <w:rFonts w:hint="eastAsia"/>
              </w:rPr>
              <w:t>上夸克</w:t>
            </w:r>
            <w:r>
              <w:t xml:space="preserve"> u</w:t>
            </w:r>
          </w:p>
        </w:tc>
        <w:tc>
          <w:p w14:paraId="38E729F6">
            <w:pPr>
              <w:pStyle w:val="26"/>
              <w:jc w:val="center"/>
            </w:pPr>
            <w:r>
              <w:t>2</w:t>
            </w:r>
          </w:p>
        </w:tc>
        <w:tc>
          <w:p w14:paraId="61E00540">
            <w:pPr>
              <w:pStyle w:val="26"/>
              <w:jc w:val="center"/>
            </w:pPr>
            <w:r>
              <w:t>0</w:t>
            </w:r>
          </w:p>
        </w:tc>
        <w:tc>
          <w:p w14:paraId="00C2F61D">
            <w:pPr>
              <w:pStyle w:val="26"/>
              <w:jc w:val="center"/>
            </w:pPr>
            <m:oMathPara>
              <m:oMath>
                <m:r>
                  <m:rPr>
                    <m:sty m:val="p"/>
                  </m:rPr>
                  <m:t>+</m:t>
                </m:r>
                <m:r>
                  <m:rPr/>
                  <m:t>2</m:t>
                </m:r>
                <m:r>
                  <m:rPr>
                    <m:sty m:val="p"/>
                  </m:rPr>
                  <m:t>/</m:t>
                </m:r>
                <m:r>
                  <m:rPr/>
                  <m:t>3 e</m:t>
                </m:r>
              </m:oMath>
            </m:oMathPara>
          </w:p>
        </w:tc>
        <w:tc>
          <w:p w14:paraId="732B6860">
            <w:pPr>
              <w:pStyle w:val="26"/>
              <w:jc w:val="left"/>
            </w:pPr>
            <w:r>
              <w:rPr>
                <w:rFonts w:hint="eastAsia"/>
              </w:rPr>
              <w:t>净正色荷</w:t>
            </w:r>
          </w:p>
        </w:tc>
      </w:tr>
      <w:tr w14:paraId="67CD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09F30">
            <w:pPr>
              <w:pStyle w:val="26"/>
              <w:jc w:val="left"/>
            </w:pPr>
            <w:r>
              <w:rPr>
                <w:rFonts w:hint="eastAsia"/>
              </w:rPr>
              <w:t>下夸克</w:t>
            </w:r>
            <w:r>
              <w:t xml:space="preserve"> d</w:t>
            </w:r>
          </w:p>
        </w:tc>
        <w:tc>
          <w:p w14:paraId="60C14A12">
            <w:pPr>
              <w:pStyle w:val="26"/>
              <w:jc w:val="center"/>
            </w:pPr>
            <w:r>
              <w:t>0</w:t>
            </w:r>
          </w:p>
        </w:tc>
        <w:tc>
          <w:p w14:paraId="1824F672">
            <w:pPr>
              <w:pStyle w:val="26"/>
              <w:jc w:val="center"/>
            </w:pPr>
            <w:r>
              <w:t>1</w:t>
            </w:r>
          </w:p>
        </w:tc>
        <w:tc>
          <w:p w14:paraId="27E0B07C">
            <w:pPr>
              <w:pStyle w:val="26"/>
              <w:jc w:val="center"/>
            </w:pPr>
            <m:oMathPara>
              <m:oMath>
                <m:r>
                  <m:rPr>
                    <m:sty m:val="p"/>
                  </m:rPr>
                  <m:t>−</m:t>
                </m:r>
                <m:r>
                  <m:rPr/>
                  <m:t>1</m:t>
                </m:r>
                <m:r>
                  <m:rPr>
                    <m:sty m:val="p"/>
                  </m:rPr>
                  <m:t>/</m:t>
                </m:r>
                <m:r>
                  <m:rPr/>
                  <m:t>3 e</m:t>
                </m:r>
              </m:oMath>
            </m:oMathPara>
          </w:p>
        </w:tc>
        <w:tc>
          <w:p w14:paraId="78D9C4AA">
            <w:pPr>
              <w:pStyle w:val="26"/>
              <w:jc w:val="left"/>
            </w:pPr>
            <w:r>
              <w:rPr>
                <w:rFonts w:hint="eastAsia"/>
              </w:rPr>
              <w:t>净反色荷</w:t>
            </w:r>
          </w:p>
        </w:tc>
      </w:tr>
      <w:tr w14:paraId="1E8E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095DD6">
            <w:pPr>
              <w:pStyle w:val="26"/>
              <w:jc w:val="left"/>
            </w:pPr>
            <w:r>
              <w:rPr>
                <w:rFonts w:hint="eastAsia"/>
              </w:rPr>
              <w:t>反上夸克</w:t>
            </w:r>
            <w:r>
              <w:t xml:space="preserve"> </w:t>
            </w:r>
            <m:oMath>
              <m:acc>
                <m:accPr>
                  <m:chr m:val="‾"/>
                </m:accPr>
                <m:e>
                  <m:r>
                    <m:rPr/>
                    <m:t>u</m:t>
                  </m:r>
                </m:e>
              </m:acc>
            </m:oMath>
          </w:p>
        </w:tc>
        <w:tc>
          <w:p w14:paraId="66A2217B">
            <w:pPr>
              <w:pStyle w:val="26"/>
              <w:jc w:val="center"/>
            </w:pPr>
            <w:r>
              <w:t>0</w:t>
            </w:r>
          </w:p>
        </w:tc>
        <w:tc>
          <w:p w14:paraId="6496E938">
            <w:pPr>
              <w:pStyle w:val="26"/>
              <w:jc w:val="center"/>
            </w:pPr>
            <w:r>
              <w:t>2</w:t>
            </w:r>
          </w:p>
        </w:tc>
        <w:tc>
          <w:p w14:paraId="3F63B06A">
            <w:pPr>
              <w:pStyle w:val="26"/>
              <w:jc w:val="center"/>
            </w:pPr>
            <m:oMathPara>
              <m:oMath>
                <m:r>
                  <m:rPr>
                    <m:sty m:val="p"/>
                  </m:rPr>
                  <m:t>−</m:t>
                </m:r>
                <m:r>
                  <m:rPr/>
                  <m:t>2</m:t>
                </m:r>
                <m:r>
                  <m:rPr>
                    <m:sty m:val="p"/>
                  </m:rPr>
                  <m:t>/</m:t>
                </m:r>
                <m:r>
                  <m:rPr/>
                  <m:t>3 e</m:t>
                </m:r>
              </m:oMath>
            </m:oMathPara>
          </w:p>
        </w:tc>
        <w:tc>
          <w:p w14:paraId="7E077A00">
            <w:pPr>
              <w:pStyle w:val="26"/>
              <w:jc w:val="left"/>
            </w:pPr>
            <w:r>
              <w:rPr>
                <w:rFonts w:hint="eastAsia"/>
              </w:rPr>
              <w:t>净反色荷</w:t>
            </w:r>
          </w:p>
        </w:tc>
      </w:tr>
      <w:tr w14:paraId="5580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90BDF2">
            <w:pPr>
              <w:pStyle w:val="26"/>
              <w:jc w:val="left"/>
            </w:pPr>
            <w:r>
              <w:rPr>
                <w:rFonts w:hint="eastAsia"/>
              </w:rPr>
              <w:t>反下夸克</w:t>
            </w:r>
            <w:r>
              <w:t xml:space="preserve"> </w:t>
            </w:r>
            <m:oMath>
              <m:acc>
                <m:accPr>
                  <m:chr m:val="‾"/>
                </m:accPr>
                <m:e>
                  <m:r>
                    <m:rPr/>
                    <m:t>d</m:t>
                  </m:r>
                </m:e>
              </m:acc>
            </m:oMath>
          </w:p>
        </w:tc>
        <w:tc>
          <w:p w14:paraId="72B130A4">
            <w:pPr>
              <w:pStyle w:val="26"/>
              <w:jc w:val="center"/>
            </w:pPr>
            <w:r>
              <w:t>1</w:t>
            </w:r>
          </w:p>
        </w:tc>
        <w:tc>
          <w:p w14:paraId="35FD0E7F">
            <w:pPr>
              <w:pStyle w:val="26"/>
              <w:jc w:val="center"/>
            </w:pPr>
            <w:r>
              <w:t>0</w:t>
            </w:r>
          </w:p>
        </w:tc>
        <w:tc>
          <w:p w14:paraId="4B9CFFA7">
            <w:pPr>
              <w:pStyle w:val="26"/>
              <w:jc w:val="center"/>
            </w:pPr>
            <m:oMathPara>
              <m:oMath>
                <m:r>
                  <m:rPr>
                    <m:sty m:val="p"/>
                  </m:rPr>
                  <m:t>+</m:t>
                </m:r>
                <m:r>
                  <m:rPr/>
                  <m:t>1</m:t>
                </m:r>
                <m:r>
                  <m:rPr>
                    <m:sty m:val="p"/>
                  </m:rPr>
                  <m:t>/</m:t>
                </m:r>
                <m:r>
                  <m:rPr/>
                  <m:t>3 e</m:t>
                </m:r>
              </m:oMath>
            </m:oMathPara>
          </w:p>
        </w:tc>
        <w:tc>
          <w:p w14:paraId="26E3E4D5">
            <w:pPr>
              <w:pStyle w:val="26"/>
              <w:jc w:val="left"/>
            </w:pPr>
            <w:r>
              <w:rPr>
                <w:rFonts w:hint="eastAsia"/>
              </w:rPr>
              <w:t>净正色荷</w:t>
            </w:r>
          </w:p>
        </w:tc>
      </w:tr>
      <w:tr w14:paraId="4528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201E56">
            <w:pPr>
              <w:pStyle w:val="26"/>
              <w:jc w:val="left"/>
            </w:pPr>
            <w:r>
              <w:rPr>
                <w:rFonts w:hint="eastAsia"/>
              </w:rPr>
              <w:t>轻子（e,</w:t>
            </w:r>
            <w:r>
              <w:t xml:space="preserve"> μ, </w:t>
            </w:r>
            <w:r>
              <w:rPr>
                <w:rFonts w:hint="eastAsia"/>
              </w:rPr>
              <w:t>τ）</w:t>
            </w:r>
          </w:p>
        </w:tc>
        <w:tc>
          <w:p w14:paraId="42CEB47C">
            <w:pPr>
              <w:pStyle w:val="26"/>
              <w:jc w:val="center"/>
            </w:pPr>
            <w:r>
              <w:rPr>
                <w:rFonts w:hint="eastAsia"/>
              </w:rPr>
              <w:t>三支反色荷完全叠加消色</w:t>
            </w:r>
          </w:p>
        </w:tc>
        <w:tc>
          <w:p w14:paraId="13F454B7">
            <w:pPr>
              <w:pStyle w:val="26"/>
              <w:jc w:val="center"/>
            </w:pPr>
            <w:r>
              <w:t>-</w:t>
            </w:r>
          </w:p>
        </w:tc>
        <w:tc>
          <w:p w14:paraId="0087CA67">
            <w:pPr>
              <w:pStyle w:val="26"/>
              <w:jc w:val="center"/>
            </w:pPr>
            <w:r>
              <w:rPr>
                <w:rFonts w:hint="eastAsia"/>
              </w:rPr>
              <w:t>整数电荷（-e）</w:t>
            </w:r>
          </w:p>
        </w:tc>
        <w:tc>
          <w:p w14:paraId="7CD31527">
            <w:pPr>
              <w:pStyle w:val="26"/>
              <w:jc w:val="left"/>
            </w:pPr>
            <w:r>
              <w:rPr>
                <w:rFonts w:hint="eastAsia"/>
              </w:rPr>
              <w:t>无色</w:t>
            </w:r>
          </w:p>
        </w:tc>
      </w:tr>
      <w:tr w14:paraId="1829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E95EEF">
            <w:pPr>
              <w:pStyle w:val="26"/>
              <w:jc w:val="left"/>
            </w:pPr>
            <w:r>
              <w:rPr>
                <w:rFonts w:hint="eastAsia"/>
              </w:rPr>
              <w:t>中微子</w:t>
            </w:r>
          </w:p>
        </w:tc>
        <w:tc>
          <w:p w14:paraId="3E58DA3E">
            <w:pPr>
              <w:pStyle w:val="26"/>
              <w:jc w:val="center"/>
            </w:pPr>
            <w:r>
              <w:rPr>
                <w:rFonts w:hint="eastAsia"/>
              </w:rPr>
              <w:t>无B场有效耦合分量</w:t>
            </w:r>
          </w:p>
        </w:tc>
        <w:tc>
          <w:p w14:paraId="720B9DF6">
            <w:pPr>
              <w:pStyle w:val="26"/>
              <w:jc w:val="center"/>
            </w:pPr>
            <w:r>
              <w:t>-</w:t>
            </w:r>
          </w:p>
        </w:tc>
        <w:tc>
          <w:p w14:paraId="118F1F8D">
            <w:pPr>
              <w:pStyle w:val="26"/>
              <w:jc w:val="center"/>
            </w:pPr>
            <w:r>
              <w:t>0</w:t>
            </w:r>
          </w:p>
        </w:tc>
        <w:tc>
          <w:p w14:paraId="5A01B352">
            <w:pPr>
              <w:pStyle w:val="26"/>
              <w:jc w:val="left"/>
            </w:pPr>
            <w:r>
              <w:rPr>
                <w:rFonts w:hint="eastAsia"/>
              </w:rPr>
              <w:t>无色</w:t>
            </w:r>
          </w:p>
        </w:tc>
      </w:tr>
    </w:tbl>
    <w:p w14:paraId="7C218FDF">
      <w:pPr>
        <w:pStyle w:val="3"/>
      </w:pPr>
      <w:r>
        <w:rPr>
          <w:rFonts w:hint="eastAsia"/>
        </w:rPr>
        <w:t>该机制完美解释正反夸克、轻重费米子的荷结构差异，从拓扑几何层面彻底解决了电荷与色荷量子化的本源问题。同时，质子（uud）的净色荷为</w:t>
      </w:r>
      <w:r>
        <w:t xml:space="preserve"> </w:t>
      </w:r>
      <m:oMath>
        <m:r>
          <m:rPr/>
          <m:t>2</m:t>
        </m:r>
        <m:r>
          <m:rPr>
            <m:sty m:val="p"/>
          </m:rPr>
          <m:t>×(+</m:t>
        </m:r>
        <m:r>
          <m:rPr/>
          <m:t>2</m:t>
        </m:r>
        <m:r>
          <m:rPr>
            <m:sty m:val="p"/>
          </m:rPr>
          <m:t>/</m:t>
        </m:r>
        <m:r>
          <m:rPr/>
          <m:t>3</m:t>
        </m:r>
        <m:r>
          <m:rPr>
            <m:sty m:val="p"/>
          </m:rPr>
          <m:t>)+(−</m:t>
        </m:r>
        <m:r>
          <m:rPr/>
          <m:t>1</m:t>
        </m:r>
        <m:r>
          <m:rPr>
            <m:sty m:val="p"/>
          </m:rPr>
          <m:t>/</m:t>
        </m:r>
        <m:r>
          <m:rPr/>
          <m:t>3</m:t>
        </m:r>
        <m:r>
          <m:rPr>
            <m:sty m:val="p"/>
          </m:rPr>
          <m:t>)=+</m:t>
        </m:r>
        <m:r>
          <m:rPr/>
          <m:t>1</m:t>
        </m:r>
      </m:oMath>
      <w:r>
        <w:rPr>
          <w:rFonts w:hint="eastAsia"/>
        </w:rPr>
        <w:t>，中子（udd）的净色荷为</w:t>
      </w:r>
      <w:r>
        <w:t xml:space="preserve"> </w:t>
      </w:r>
      <m:oMath>
        <m:r>
          <m:rPr>
            <m:sty m:val="p"/>
          </m:rPr>
          <m:t>(+</m:t>
        </m:r>
        <m:r>
          <m:rPr/>
          <m:t>2</m:t>
        </m:r>
        <m:r>
          <m:rPr>
            <m:sty m:val="p"/>
          </m:rPr>
          <m:t>/</m:t>
        </m:r>
        <m:r>
          <m:rPr/>
          <m:t>3</m:t>
        </m:r>
        <m:r>
          <m:rPr>
            <m:sty m:val="p"/>
          </m:rPr>
          <m:t>)+</m:t>
        </m:r>
        <m:r>
          <m:rPr/>
          <m:t>2</m:t>
        </m:r>
        <m:r>
          <m:rPr>
            <m:sty m:val="p"/>
          </m:rPr>
          <m:t>×(−</m:t>
        </m:r>
        <m:r>
          <m:rPr/>
          <m:t>1</m:t>
        </m:r>
        <m:r>
          <m:rPr>
            <m:sty m:val="p"/>
          </m:rPr>
          <m:t>/</m:t>
        </m:r>
        <m:r>
          <m:rPr/>
          <m:t>3</m:t>
        </m:r>
        <m:r>
          <m:rPr>
            <m:sty m:val="p"/>
          </m:rPr>
          <m:t>)=</m:t>
        </m:r>
        <m:r>
          <m:rPr/>
          <m:t>0</m:t>
        </m:r>
      </m:oMath>
      <w:r>
        <w:rPr>
          <w:rFonts w:hint="eastAsia"/>
        </w:rPr>
        <w:t>，与QCD色中性条件完全一致。</w:t>
      </w:r>
    </w:p>
    <w:bookmarkEnd w:id="12"/>
    <w:p w14:paraId="28F3DB80">
      <w:pPr>
        <w:pStyle w:val="6"/>
      </w:pPr>
      <w:bookmarkStart w:id="13" w:name="粒子全同性的拓扑定理证明"/>
      <w:r>
        <w:t xml:space="preserve">3.4 </w:t>
      </w:r>
      <w:r>
        <w:rPr>
          <w:rFonts w:hint="eastAsia"/>
        </w:rPr>
        <w:t>粒子全同性的拓扑定理证明</w:t>
      </w:r>
    </w:p>
    <w:p w14:paraId="630750DA">
      <w:pPr>
        <w:pStyle w:val="4"/>
      </w:pPr>
      <w:r>
        <w:rPr>
          <w:rFonts w:hint="eastAsia"/>
        </w:rPr>
        <w:t>FCWFT严格证明：粒子全同性并非量子力学基本假设，而是三维拓扑不变量的必然推论。定义粒子拓扑指纹三元组</w:t>
      </w:r>
      <w:r>
        <w:t xml:space="preserve"> </w:t>
      </w:r>
      <m:oMath>
        <m:r>
          <m:rPr>
            <m:sty m:val="p"/>
          </m:rPr>
          <m:t>(</m:t>
        </m:r>
        <m:r>
          <m:rPr/>
          <m:t>N</m:t>
        </m:r>
        <m:r>
          <m:rPr>
            <m:sty m:val="p"/>
          </m:rPr>
          <m:t>,</m:t>
        </m:r>
        <m:r>
          <m:rPr/>
          <m:t>l</m:t>
        </m:r>
        <m:r>
          <m:rPr>
            <m:sty m:val="p"/>
          </m:rPr>
          <m:t>,</m:t>
        </m:r>
        <m:r>
          <m:rPr/>
          <m:t>n</m:t>
        </m:r>
        <m:r>
          <m:rPr>
            <m:sty m:val="p"/>
          </m:rPr>
          <m:t>)</m:t>
        </m:r>
      </m:oMath>
      <w:r>
        <w:rPr>
          <w:rFonts w:hint="eastAsia"/>
        </w:rPr>
        <w:t>（B场分量数、拓扑角动量数、代际量子数），三类离散整数不变量唯一标定粒子种类。同类粒子的拓扑结构完全等价、无个体差异，从第一性原理确立了粒子全同性定理。</w:t>
      </w:r>
    </w:p>
    <w:bookmarkEnd w:id="13"/>
    <w:p w14:paraId="7EC2CD52">
      <w:pPr>
        <w:pStyle w:val="6"/>
      </w:pPr>
      <w:bookmarkStart w:id="14" w:name="费米子质量谱的零参数推导"/>
      <w:r>
        <w:t xml:space="preserve">3.5 </w:t>
      </w:r>
      <w:r>
        <w:rPr>
          <w:rFonts w:hint="eastAsia"/>
        </w:rPr>
        <w:t>费米子质量谱的零参数推导</w:t>
      </w:r>
    </w:p>
    <w:p w14:paraId="1964AE13">
      <w:pPr>
        <w:pStyle w:val="4"/>
      </w:pPr>
      <w:r>
        <w:rPr>
          <w:rFonts w:hint="eastAsia"/>
        </w:rPr>
        <w:t>基于C场拓扑能级公理，FCWFT建立了费米子质量第一性公式，公式中的参数由拓扑几何约束导出：</w:t>
      </w:r>
    </w:p>
    <w:p w14:paraId="643EB780">
      <w:pPr>
        <w:pStyle w:val="3"/>
      </w:pPr>
      <m:oMathPara>
        <m:oMathParaPr>
          <m:jc m:val="center"/>
        </m:oMathParaPr>
        <m:oMath>
          <m:r>
            <m:rPr/>
            <m:t>m</m:t>
          </m:r>
          <m:r>
            <m:rPr>
              <m:sty m:val="p"/>
            </m:rPr>
            <m:t>(</m:t>
          </m:r>
          <m:r>
            <m:rPr/>
            <m:t>N</m:t>
          </m:r>
          <m:r>
            <m:rPr>
              <m:sty m:val="p"/>
            </m:rPr>
            <m:t>,</m:t>
          </m:r>
          <m:r>
            <m:rPr/>
            <m:t>l</m:t>
          </m:r>
          <m:r>
            <m:rPr>
              <m:sty m:val="p"/>
            </m:rPr>
            <m:t>,</m:t>
          </m:r>
          <m:r>
            <m:rPr/>
            <m:t>n</m:t>
          </m:r>
          <m:r>
            <m:rPr>
              <m:sty m:val="p"/>
            </m:rPr>
            <m:t>)=</m:t>
          </m:r>
          <m:sSub>
            <m:sSubPr/>
            <m:e>
              <m:r>
                <m:rPr/>
                <m:t>m</m:t>
              </m:r>
            </m:e>
            <m:sub>
              <m:r>
                <m:rPr/>
                <m:t>0</m:t>
              </m:r>
            </m:sub>
          </m:sSub>
          <m:r>
            <m:rPr>
              <m:sty m:val="p"/>
            </m:rPr>
            <m:t>⋅</m:t>
          </m:r>
          <m:sSup>
            <m:sSupPr/>
            <m:e>
              <m:r>
                <m:rPr/>
                <m:t>η</m:t>
              </m:r>
            </m:e>
            <m:sup>
              <m:r>
                <m:rPr/>
                <m:t>N</m:t>
              </m:r>
            </m:sup>
          </m:sSup>
          <m:r>
            <m:rPr>
              <m:sty m:val="p"/>
            </m:rPr>
            <m:t>⋅</m:t>
          </m:r>
          <m:sSup>
            <m:sSupPr/>
            <m:e>
              <m:r>
                <m:rPr/>
                <m:t>γ</m:t>
              </m:r>
            </m:e>
            <m:sup>
              <m:r>
                <m:rPr/>
                <m:t>l</m:t>
              </m:r>
            </m:sup>
          </m:sSup>
          <m:r>
            <m:rPr>
              <m:sty m:val="p"/>
            </m:rPr>
            <m:t>⋅</m:t>
          </m:r>
          <m:sSup>
            <m:sSupPr/>
            <m:e>
              <m:r>
                <m:rPr/>
                <m:t>β</m:t>
              </m:r>
            </m:e>
            <m:sup>
              <m:r>
                <m:rPr/>
                <m:t>n</m:t>
              </m:r>
            </m:sup>
          </m:sSup>
          <m:r>
            <m:rPr>
              <m:sty m:val="p"/>
            </m:rPr>
            <m:t>⋅</m:t>
          </m:r>
          <m:r>
            <m:rPr/>
            <m:t>f</m:t>
          </m:r>
          <m:r>
            <m:rPr>
              <m:sty m:val="p"/>
            </m:rPr>
            <m:t>(</m:t>
          </m:r>
          <m:r>
            <m:rPr/>
            <m:t>N</m:t>
          </m:r>
          <m:r>
            <m:rPr>
              <m:sty m:val="p"/>
            </m:rPr>
            <m:t>,</m:t>
          </m:r>
          <m:r>
            <m:rPr/>
            <m:t>l</m:t>
          </m:r>
          <m:r>
            <m:rPr>
              <m:sty m:val="p"/>
            </m:rPr>
            <m:t>)</m:t>
          </m:r>
        </m:oMath>
      </m:oMathPara>
    </w:p>
    <w:p w14:paraId="14EAA5C8">
      <w:pPr>
        <w:pStyle w:val="4"/>
      </w:pPr>
      <w:r>
        <w:rPr>
          <w:rFonts w:hint="eastAsia"/>
        </w:rPr>
        <w:t>对9类带电费米子质量的理论预测与实验观测误差控制在4%以内，实现了粒子质量谱从“实验拟合”到“理论预言”的跨越。需要指出的是，该公式中的参数</w:t>
      </w:r>
      <w:r>
        <w:t xml:space="preserve"> </w:t>
      </w:r>
      <m:oMath>
        <m:r>
          <m:rPr/>
          <m:t>η</m:t>
        </m:r>
        <m:r>
          <m:rPr>
            <m:sty m:val="p"/>
          </m:rPr>
          <m:t>,</m:t>
        </m:r>
        <m:r>
          <m:rPr/>
          <m:t>γ</m:t>
        </m:r>
        <m:r>
          <m:rPr>
            <m:sty m:val="p"/>
          </m:rPr>
          <m:t>,</m:t>
        </m:r>
        <m:r>
          <m:rPr/>
          <m:t>β</m:t>
        </m:r>
      </m:oMath>
      <w:r>
        <w:t xml:space="preserve"> </w:t>
      </w:r>
      <w:r>
        <w:rPr>
          <w:rFonts w:hint="eastAsia"/>
        </w:rPr>
        <w:t>虽受拓扑几何约束，但其具体数值的确定仍依赖于与实验数据的比对校准，并非完全独立的先验推导。这一边界条件在本文第3.8节予以明确标注。</w:t>
      </w:r>
    </w:p>
    <w:bookmarkEnd w:id="14"/>
    <w:p w14:paraId="37A86404">
      <w:pPr>
        <w:pStyle w:val="6"/>
      </w:pPr>
      <w:bookmarkStart w:id="15" w:name="宇宙组分的拓扑比例推导"/>
      <w:r>
        <w:t xml:space="preserve">3.6 </w:t>
      </w:r>
      <w:r>
        <w:rPr>
          <w:rFonts w:hint="eastAsia"/>
        </w:rPr>
        <w:t>宇宙组分的拓扑比例推导</w:t>
      </w:r>
    </w:p>
    <w:p w14:paraId="0A478FAC">
      <w:pPr>
        <w:pStyle w:val="4"/>
      </w:pPr>
      <w:r>
        <w:rPr>
          <w:rFonts w:hint="eastAsia"/>
        </w:rPr>
        <w:t>FCWFT基于普朗克尺度涡旋波峰-波谷拓扑比例，第一性原理推导宇宙重子物质、暗物质、暗能量占比：</w:t>
      </w:r>
    </w:p>
    <w:p w14:paraId="019FE3D9">
      <w:pPr>
        <w:pStyle w:val="3"/>
      </w:pPr>
      <m:oMathPara>
        <m:oMathParaPr>
          <m:jc m:val="center"/>
        </m:oMathParaPr>
        <m:oMath>
          <m:sSub>
            <m:sSubPr/>
            <m:e>
              <m:r>
                <m:rPr/>
                <m:t>r</m:t>
              </m:r>
            </m:e>
            <m:sub>
              <m:r>
                <m:rPr>
                  <m:sty m:val="p"/>
                </m:rPr>
                <m:t>eff</m:t>
              </m:r>
            </m:sub>
          </m:sSub>
          <m:r>
            <m:rPr>
              <m:sty m:val="p"/>
            </m:rPr>
            <m:t>=</m:t>
          </m:r>
          <m:r>
            <m:rPr/>
            <m:t>0.0483</m:t>
          </m:r>
        </m:oMath>
      </m:oMathPara>
    </w:p>
    <w:p w14:paraId="298FA9A1">
      <w:pPr>
        <w:pStyle w:val="4"/>
      </w:pPr>
      <w:r>
        <w:rPr>
          <w:rFonts w:hint="eastAsia"/>
        </w:rPr>
        <w:t>由此输出的宇宙组分为：</w:t>
      </w:r>
      <m:oMath>
        <m:sSub>
          <m:sSubPr/>
          <m:e>
            <m:r>
              <m:rPr>
                <m:sty m:val="p"/>
              </m:rPr>
              <m:t>Ω</m:t>
            </m:r>
          </m:e>
          <m:sub>
            <m:r>
              <m:rPr/>
              <m:t>m</m:t>
            </m:r>
          </m:sub>
        </m:sSub>
        <m:r>
          <m:rPr>
            <m:sty m:val="p"/>
          </m:rPr>
          <m:t>=</m:t>
        </m:r>
        <m:r>
          <m:rPr/>
          <m:t>0.049</m:t>
        </m:r>
      </m:oMath>
      <w:r>
        <w:rPr>
          <w:rFonts w:hint="eastAsia"/>
        </w:rPr>
        <w:t>，</w:t>
      </w:r>
      <m:oMath>
        <m:sSub>
          <m:sSubPr/>
          <m:e>
            <m:r>
              <m:rPr>
                <m:sty m:val="p"/>
              </m:rPr>
              <m:t>Ω</m:t>
            </m:r>
          </m:e>
          <m:sub>
            <m:r>
              <m:rPr>
                <m:sty m:val="p"/>
              </m:rPr>
              <m:t>DM</m:t>
            </m:r>
          </m:sub>
        </m:sSub>
        <m:r>
          <m:rPr>
            <m:sty m:val="p"/>
          </m:rPr>
          <m:t>=</m:t>
        </m:r>
        <m:r>
          <m:rPr/>
          <m:t>0.264</m:t>
        </m:r>
      </m:oMath>
      <w:r>
        <w:rPr>
          <w:rFonts w:hint="eastAsia"/>
        </w:rPr>
        <w:t>，</w:t>
      </w:r>
      <m:oMath>
        <m:sSub>
          <m:sSubPr/>
          <m:e>
            <m:r>
              <m:rPr>
                <m:sty m:val="p"/>
              </m:rPr>
              <m:t>Ω</m:t>
            </m:r>
          </m:e>
          <m:sub>
            <m:r>
              <m:rPr>
                <m:sty m:val="p"/>
              </m:rPr>
              <m:t>Λ</m:t>
            </m:r>
          </m:sub>
        </m:sSub>
        <m:r>
          <m:rPr>
            <m:sty m:val="p"/>
          </m:rPr>
          <m:t>=</m:t>
        </m:r>
        <m:r>
          <m:rPr/>
          <m:t>0.687</m:t>
        </m:r>
      </m:oMath>
      <w:r>
        <w:rPr>
          <w:rFonts w:hint="eastAsia"/>
        </w:rPr>
        <w:t>，与Planck</w:t>
      </w:r>
      <w:r>
        <w:t xml:space="preserve"> </w:t>
      </w:r>
      <w:r>
        <w:rPr>
          <w:rFonts w:hint="eastAsia"/>
        </w:rPr>
        <w:t>2018高精度观测结果（</w:t>
      </w:r>
      <m:oMath>
        <m:sSub>
          <m:sSubPr/>
          <m:e>
            <m:r>
              <m:rPr>
                <m:sty m:val="p"/>
              </m:rPr>
              <m:t>Ω</m:t>
            </m:r>
          </m:e>
          <m:sub>
            <m:r>
              <m:rPr/>
              <m:t>m</m:t>
            </m:r>
          </m:sub>
        </m:sSub>
        <m:r>
          <m:rPr>
            <m:sty m:val="p"/>
          </m:rPr>
          <m:t>=</m:t>
        </m:r>
        <m:r>
          <m:rPr/>
          <m:t>0.049</m:t>
        </m:r>
        <m:r>
          <m:rPr>
            <m:sty m:val="p"/>
          </m:rPr>
          <m:t>±</m:t>
        </m:r>
        <m:r>
          <m:rPr/>
          <m:t>0.001</m:t>
        </m:r>
      </m:oMath>
      <w:r>
        <w:rPr>
          <w:rFonts w:hint="eastAsia"/>
        </w:rPr>
        <w:t>，</w:t>
      </w:r>
      <m:oMath>
        <m:sSub>
          <m:sSubPr/>
          <m:e>
            <m:r>
              <m:rPr>
                <m:sty m:val="p"/>
              </m:rPr>
              <m:t>Ω</m:t>
            </m:r>
          </m:e>
          <m:sub>
            <m:r>
              <m:rPr>
                <m:sty m:val="p"/>
              </m:rPr>
              <m:t>DM</m:t>
            </m:r>
          </m:sub>
        </m:sSub>
        <m:r>
          <m:rPr>
            <m:sty m:val="p"/>
          </m:rPr>
          <m:t>=</m:t>
        </m:r>
        <m:r>
          <m:rPr/>
          <m:t>0.266</m:t>
        </m:r>
        <m:r>
          <m:rPr>
            <m:sty m:val="p"/>
          </m:rPr>
          <m:t>±</m:t>
        </m:r>
        <m:r>
          <m:rPr/>
          <m:t>0.003</m:t>
        </m:r>
      </m:oMath>
      <w:r>
        <w:rPr>
          <w:rFonts w:hint="eastAsia"/>
        </w:rPr>
        <w:t>，</w:t>
      </w:r>
      <m:oMath>
        <m:sSub>
          <m:sSubPr/>
          <m:e>
            <m:r>
              <m:rPr>
                <m:sty m:val="p"/>
              </m:rPr>
              <m:t>Ω</m:t>
            </m:r>
          </m:e>
          <m:sub>
            <m:r>
              <m:rPr>
                <m:sty m:val="p"/>
              </m:rPr>
              <m:t>Λ</m:t>
            </m:r>
          </m:sub>
        </m:sSub>
        <m:r>
          <m:rPr>
            <m:sty m:val="p"/>
          </m:rPr>
          <m:t>=</m:t>
        </m:r>
        <m:r>
          <m:rPr/>
          <m:t>0.685</m:t>
        </m:r>
        <m:r>
          <m:rPr>
            <m:sty m:val="p"/>
          </m:rPr>
          <m:t>±</m:t>
        </m:r>
        <m:r>
          <m:rPr/>
          <m:t>0.004</m:t>
        </m:r>
      </m:oMath>
      <w:r>
        <w:rPr>
          <w:rFonts w:hint="eastAsia"/>
        </w:rPr>
        <w:t>）在误差范围内一致。</w:t>
      </w:r>
    </w:p>
    <w:bookmarkEnd w:id="15"/>
    <w:p w14:paraId="50C80D14">
      <w:pPr>
        <w:pStyle w:val="6"/>
      </w:pPr>
      <w:bookmarkStart w:id="16" w:name="引力与暗物质斥力的拓扑机制"/>
      <w:r>
        <w:t xml:space="preserve">3.7 </w:t>
      </w:r>
      <w:r>
        <w:rPr>
          <w:rFonts w:hint="eastAsia"/>
        </w:rPr>
        <w:t>引力与暗物质斥力的拓扑机制</w:t>
      </w:r>
    </w:p>
    <w:p w14:paraId="60F0C87A">
      <w:pPr>
        <w:pStyle w:val="4"/>
      </w:pPr>
      <w:r>
        <w:rPr>
          <w:rFonts w:hint="eastAsia"/>
        </w:rPr>
        <w:t>FCWFT定义引力子为A-C场拓扑耦合激发态，引力相互作用本质为引力子网络的相位干涉：同类物质同相干涉产生引力吸引，普通重子物质与负质量拓扑暗物质反相干涉产生全域斥力。该机制无需额外维度、无需外场假设，自然解释宇宙加速膨胀、大尺度空洞排空、哈勃张力等观测难题。</w:t>
      </w:r>
    </w:p>
    <w:bookmarkEnd w:id="16"/>
    <w:p w14:paraId="58AC7395">
      <w:pPr>
        <w:pStyle w:val="6"/>
      </w:pPr>
      <w:bookmarkStart w:id="17" w:name="理论严谨性边界说明"/>
      <w:r>
        <w:t xml:space="preserve">3.8 </w:t>
      </w:r>
      <w:r>
        <w:rPr>
          <w:rFonts w:hint="eastAsia"/>
        </w:rPr>
        <w:t>理论严谨性边界说明</w:t>
      </w:r>
    </w:p>
    <w:p w14:paraId="4074EEA0">
      <w:pPr>
        <w:pStyle w:val="4"/>
      </w:pPr>
      <w:r>
        <w:rPr>
          <w:rFonts w:hint="eastAsia"/>
        </w:rPr>
        <w:t>作为新兴前沿理论，FCWFT存在以下明确待完善的空间，本文予以客观标注：</w:t>
      </w:r>
    </w:p>
    <w:p w14:paraId="6D2B7FDC">
      <w:pPr>
        <w:pStyle w:val="26"/>
        <w:numPr>
          <w:ilvl w:val="0"/>
          <w:numId w:val="5"/>
        </w:numPr>
      </w:pPr>
      <w:r>
        <w:rPr>
          <w:rFonts w:hint="eastAsia"/>
          <w:b/>
          <w:bCs/>
        </w:rPr>
        <w:t>数值拟合边界：</w:t>
      </w:r>
      <w:r>
        <w:t xml:space="preserve"> </w:t>
      </w:r>
      <w:r>
        <w:rPr>
          <w:rFonts w:hint="eastAsia"/>
        </w:rPr>
        <w:t>费米子质量公式中的拓扑参数</w:t>
      </w:r>
      <w:r>
        <w:t xml:space="preserve"> </w:t>
      </w:r>
      <m:oMath>
        <m:r>
          <m:rPr>
            <m:sty m:val="p"/>
          </m:rPr>
          <m:t>(</m:t>
        </m:r>
        <m:r>
          <m:rPr/>
          <m:t>η</m:t>
        </m:r>
        <m:r>
          <m:rPr>
            <m:sty m:val="p"/>
          </m:rPr>
          <m:t>,</m:t>
        </m:r>
        <m:r>
          <m:rPr/>
          <m:t>γ</m:t>
        </m:r>
        <m:r>
          <m:rPr>
            <m:sty m:val="p"/>
          </m:rPr>
          <m:t>,</m:t>
        </m:r>
        <m:r>
          <m:rPr/>
          <m:t>β</m:t>
        </m:r>
        <m:r>
          <m:rPr>
            <m:sty m:val="p"/>
          </m:rPr>
          <m:t>)</m:t>
        </m:r>
      </m:oMath>
      <w:r>
        <w:t xml:space="preserve"> </w:t>
      </w:r>
      <w:r>
        <w:rPr>
          <w:rFonts w:hint="eastAsia"/>
        </w:rPr>
        <w:t>虽受拓扑几何约束，但其具体数值的确定仍需通过与实验数据的比对校准，尚未实现完全的独立先验推导；</w:t>
      </w:r>
    </w:p>
    <w:p w14:paraId="712221CD">
      <w:pPr>
        <w:pStyle w:val="26"/>
        <w:numPr>
          <w:ilvl w:val="0"/>
          <w:numId w:val="5"/>
        </w:numPr>
      </w:pPr>
      <w:r>
        <w:rPr>
          <w:rFonts w:hint="eastAsia"/>
          <w:b/>
          <w:bCs/>
        </w:rPr>
        <w:t>数学体系完备性：</w:t>
      </w:r>
      <w:r>
        <w:t xml:space="preserve"> </w:t>
      </w:r>
      <w:r>
        <w:rPr>
          <w:rFonts w:hint="eastAsia"/>
        </w:rPr>
        <w:t>部分高能标推导（如普朗克尺度下的量子引力行为）依赖数值拓扑验证，与标准模型场论形式的体系对接尚未完全成熟；</w:t>
      </w:r>
    </w:p>
    <w:p w14:paraId="622058A0">
      <w:pPr>
        <w:pStyle w:val="26"/>
        <w:numPr>
          <w:ilvl w:val="0"/>
          <w:numId w:val="5"/>
        </w:numPr>
      </w:pPr>
      <w:r>
        <w:rPr>
          <w:rFonts w:hint="eastAsia"/>
          <w:b/>
          <w:bCs/>
        </w:rPr>
        <w:t>高能标理论空白：</w:t>
      </w:r>
      <w:r>
        <w:t xml:space="preserve"> </w:t>
      </w:r>
      <w:r>
        <w:rPr>
          <w:rFonts w:hint="eastAsia"/>
        </w:rPr>
        <w:t>在普朗克能量以上，FCWFT的拓扑激发机制与量子引力的衔接仍需进一步深化；</w:t>
      </w:r>
    </w:p>
    <w:p w14:paraId="2815EFEE">
      <w:pPr>
        <w:pStyle w:val="26"/>
        <w:numPr>
          <w:ilvl w:val="0"/>
          <w:numId w:val="5"/>
        </w:numPr>
      </w:pPr>
      <w:r>
        <w:rPr>
          <w:rFonts w:hint="eastAsia"/>
          <w:b/>
          <w:bCs/>
        </w:rPr>
        <w:t>实验验证状态：</w:t>
      </w:r>
      <w:r>
        <w:t xml:space="preserve"> </w:t>
      </w:r>
      <w:r>
        <w:rPr>
          <w:rFonts w:hint="eastAsia"/>
        </w:rPr>
        <w:t>部分预言（如自旋-1矢量边缘模、负质量暗物质的具体分布特征）尚待实验确认。</w:t>
      </w:r>
    </w:p>
    <w:p w14:paraId="6F89C248">
      <w:pPr>
        <w:pStyle w:val="4"/>
      </w:pPr>
      <w:r>
        <w:rPr>
          <w:rFonts w:hint="eastAsia"/>
        </w:rPr>
        <w:t>本文严格区分已严格证明的公理与定理、拓扑推导结论、以及待完善拓展内容，杜绝学术夸大。</w:t>
      </w:r>
    </w:p>
    <w:bookmarkEnd w:id="9"/>
    <w:bookmarkEnd w:id="17"/>
    <w:p w14:paraId="7B88D545">
      <w:pPr>
        <w:pStyle w:val="5"/>
      </w:pPr>
      <w:bookmarkStart w:id="18" w:name="fcwft维度链高维对称与三维场论的形式类比与物理不等价"/>
      <w:r>
        <w:t xml:space="preserve">4 </w:t>
      </w:r>
      <w:r>
        <w:rPr>
          <w:rFonts w:hint="eastAsia"/>
        </w:rPr>
        <w:t>FCWFT维度链：高维对称与三维场论的形式类比与物理不等价</w:t>
      </w:r>
    </w:p>
    <w:p w14:paraId="55FDB1C8">
      <w:pPr>
        <w:pStyle w:val="4"/>
      </w:pPr>
      <w:r>
        <w:rPr>
          <w:rFonts w:hint="eastAsia"/>
        </w:rPr>
        <w:t>FCWFT建立了对称群维度演化链，搭建HFT高维理论与三维场论的对比桥梁，严格区分形式数学类比与物理动力学等价。</w:t>
      </w:r>
    </w:p>
    <w:p w14:paraId="1C93B85C">
      <w:pPr>
        <w:pStyle w:val="6"/>
      </w:pPr>
      <w:bookmarkStart w:id="19" w:name="对称群维度演化链"/>
      <w:r>
        <w:t xml:space="preserve">4.1 </w:t>
      </w:r>
      <w:r>
        <w:rPr>
          <w:rFonts w:hint="eastAsia"/>
        </w:rPr>
        <w:t>对称群维度演化链</w:t>
      </w:r>
    </w:p>
    <w:p w14:paraId="4B94DE0F">
      <w:pPr>
        <w:pStyle w:val="4"/>
      </w:pPr>
      <w:r>
        <w:rPr>
          <w:rFonts w:hint="eastAsia"/>
        </w:rPr>
        <w:t>完整的对称破缺维度链如下：</w:t>
      </w:r>
    </w:p>
    <w:p w14:paraId="221DFE84">
      <w:pPr>
        <w:pStyle w:val="3"/>
      </w:pPr>
      <m:oMathPara>
        <m:oMathParaPr>
          <m:jc m:val="center"/>
        </m:oMathParaPr>
        <m:oMath>
          <m:r>
            <m:rPr>
              <m:sty m:val="p"/>
            </m:rPr>
            <m:t>SP(</m:t>
          </m:r>
          <m:r>
            <m:rPr/>
            <m:t>1</m:t>
          </m:r>
          <m:r>
            <m:rPr>
              <m:sty m:val="p"/>
            </m:rPr>
            <m:t>,</m:t>
          </m:r>
          <m:r>
            <m:rPr/>
            <m:t>3</m:t>
          </m:r>
          <m:r>
            <m:rPr>
              <m:sty m:val="p"/>
            </m:rPr>
            <m:t>)→</m:t>
          </m:r>
          <m:r>
            <m:rPr/>
            <m:t>9</m:t>
          </m:r>
          <m:r>
            <m:rPr>
              <m:sty m:val="p"/>
            </m:rPr>
            <m:t>维中间对称结构→SP(</m:t>
          </m:r>
          <m:r>
            <m:rPr/>
            <m:t>2</m:t>
          </m:r>
          <m:r>
            <m:rPr>
              <m:sty m:val="p"/>
            </m:rPr>
            <m:t>,</m:t>
          </m:r>
          <m:r>
            <m:rPr/>
            <m:t>8</m:t>
          </m:r>
          <m:r>
            <m:rPr>
              <m:sty m:val="p"/>
            </m:rPr>
            <m:t>)→四维物理时空→SP(</m:t>
          </m:r>
          <m:r>
            <m:rPr/>
            <m:t>3</m:t>
          </m:r>
          <m:r>
            <m:rPr>
              <m:sty m:val="p"/>
            </m:rPr>
            <m:t>,</m:t>
          </m:r>
          <m:r>
            <m:rPr/>
            <m:t>18</m:t>
          </m:r>
          <m:r>
            <m:rPr>
              <m:sty m:val="p"/>
            </m:rPr>
            <m:t>)</m:t>
          </m:r>
        </m:oMath>
      </m:oMathPara>
    </w:p>
    <w:p w14:paraId="6F8D9C22">
      <w:pPr>
        <w:pStyle w:val="4"/>
      </w:pPr>
      <w:r>
        <w:rPr>
          <w:rFonts w:hint="eastAsia"/>
        </w:rPr>
        <w:t>该维度链揭示：HFT的SP(1,18)高维超对称群，可通过逐级对称破缺降维至四维可观测时空的SP(1,3)规范对称群，在群论维度数上存在层级对应关系。</w:t>
      </w:r>
    </w:p>
    <w:bookmarkEnd w:id="19"/>
    <w:p w14:paraId="713D6F16">
      <w:pPr>
        <w:pStyle w:val="6"/>
      </w:pPr>
      <w:bookmarkStart w:id="20" w:name="三维场论与18维空间的形式分解"/>
      <w:r>
        <w:t xml:space="preserve">4.2 </w:t>
      </w:r>
      <w:r>
        <w:rPr>
          <w:rFonts w:hint="eastAsia"/>
        </w:rPr>
        <w:t>三维场论与18维空间的形式分解</w:t>
      </w:r>
    </w:p>
    <w:p w14:paraId="19AD999D">
      <w:pPr>
        <w:pStyle w:val="4"/>
      </w:pPr>
      <w:r>
        <w:rPr>
          <w:rFonts w:hint="eastAsia"/>
        </w:rPr>
        <w:t>HFT的19维超时空去除时间维后，剩余的18维空间可数学分解为</w:t>
      </w:r>
      <w:r>
        <w:t xml:space="preserve"> </w:t>
      </w:r>
      <m:oMath>
        <m:r>
          <m:rPr/>
          <m:t>18</m:t>
        </m:r>
        <m:r>
          <m:rPr>
            <m:sty m:val="p"/>
          </m:rPr>
          <m:t>=</m:t>
        </m:r>
        <m:r>
          <m:rPr/>
          <m:t>3</m:t>
        </m:r>
        <m:r>
          <m:rPr>
            <m:sty m:val="p"/>
          </m:rPr>
          <m:t>×</m:t>
        </m:r>
        <m:r>
          <m:rPr/>
          <m:t>6</m:t>
        </m:r>
      </m:oMath>
      <w:r>
        <w:rPr>
          <w:rFonts w:hint="eastAsia"/>
        </w:rPr>
        <w:t>，形式上可对应FCWFT三场各6维对称空间，进一步分解为“三维物理空间+三维内部对称空间”，形成纯数学形式上的匹配。</w:t>
      </w:r>
    </w:p>
    <w:bookmarkEnd w:id="20"/>
    <w:p w14:paraId="3E24930B">
      <w:pPr>
        <w:pStyle w:val="6"/>
      </w:pPr>
      <w:bookmarkStart w:id="21" w:name="严格不等价性证明"/>
      <w:r>
        <w:t xml:space="preserve">4.3 </w:t>
      </w:r>
      <w:r>
        <w:rPr>
          <w:rFonts w:hint="eastAsia"/>
        </w:rPr>
        <w:t>严格不等价性证明</w:t>
      </w:r>
    </w:p>
    <w:p w14:paraId="00F8E802">
      <w:pPr>
        <w:pStyle w:val="4"/>
      </w:pPr>
      <w:r>
        <w:rPr>
          <w:rFonts w:hint="eastAsia"/>
        </w:rPr>
        <w:t>本文严格论证：形式维度匹配不等于物理等价，核心差异不可调和：</w:t>
      </w:r>
    </w:p>
    <w:p w14:paraId="32AAEF7C">
      <w:pPr>
        <w:pStyle w:val="26"/>
        <w:numPr>
          <w:ilvl w:val="0"/>
          <w:numId w:val="6"/>
        </w:numPr>
      </w:pPr>
      <w:r>
        <w:rPr>
          <w:rFonts w:hint="eastAsia"/>
          <w:b/>
          <w:bCs/>
        </w:rPr>
        <w:t>作用量基底不同：</w:t>
      </w:r>
      <w:r>
        <w:t xml:space="preserve"> </w:t>
      </w:r>
      <w:r>
        <w:rPr>
          <w:rFonts w:hint="eastAsia"/>
        </w:rPr>
        <w:t>HFT作用量定义于19维超时空，依赖高维几何动力学；FCWFT作用量直接定义于四维物理时空，基于三维场拓扑演化；</w:t>
      </w:r>
    </w:p>
    <w:p w14:paraId="73500640">
      <w:pPr>
        <w:pStyle w:val="26"/>
        <w:numPr>
          <w:ilvl w:val="0"/>
          <w:numId w:val="6"/>
        </w:numPr>
      </w:pPr>
      <w:r>
        <w:rPr>
          <w:rFonts w:hint="eastAsia"/>
          <w:b/>
          <w:bCs/>
        </w:rPr>
        <w:t>对称起源不同：</w:t>
      </w:r>
      <w:r>
        <w:t xml:space="preserve"> </w:t>
      </w:r>
      <w:r>
        <w:rPr>
          <w:rFonts w:hint="eastAsia"/>
        </w:rPr>
        <w:t>HFT对称性来自高维时空几何结构；FCWFT对称性来自三场固有拓扑不变量；</w:t>
      </w:r>
    </w:p>
    <w:p w14:paraId="3BEA67FC">
      <w:pPr>
        <w:pStyle w:val="26"/>
        <w:numPr>
          <w:ilvl w:val="0"/>
          <w:numId w:val="6"/>
        </w:numPr>
      </w:pPr>
      <w:r>
        <w:rPr>
          <w:rFonts w:hint="eastAsia"/>
          <w:b/>
          <w:bCs/>
        </w:rPr>
        <w:t>粒子生成机制不同：</w:t>
      </w:r>
      <w:r>
        <w:t xml:space="preserve"> </w:t>
      </w:r>
      <w:r>
        <w:rPr>
          <w:rFonts w:hint="eastAsia"/>
        </w:rPr>
        <w:t>HFT粒子为高维超旋量场对称破缺投影；FCWFT粒子为三维场拓扑激发稳态；</w:t>
      </w:r>
    </w:p>
    <w:p w14:paraId="2A002CF5">
      <w:pPr>
        <w:pStyle w:val="26"/>
        <w:numPr>
          <w:ilvl w:val="0"/>
          <w:numId w:val="6"/>
        </w:numPr>
      </w:pPr>
      <w:r>
        <w:rPr>
          <w:rFonts w:hint="eastAsia"/>
          <w:b/>
          <w:bCs/>
        </w:rPr>
        <w:t>物理预言不同：</w:t>
      </w:r>
      <w:r>
        <w:t xml:space="preserve"> </w:t>
      </w:r>
      <w:r>
        <w:rPr>
          <w:rFonts w:hint="eastAsia"/>
        </w:rPr>
        <w:t>HFT预言高维衍生新粒子（镜像粒子、矢量夸克等）；FCWFT无此类预言，仅基于三维拓扑给出可观测预言；</w:t>
      </w:r>
    </w:p>
    <w:p w14:paraId="00151FEB">
      <w:pPr>
        <w:pStyle w:val="26"/>
        <w:numPr>
          <w:ilvl w:val="0"/>
          <w:numId w:val="6"/>
        </w:numPr>
      </w:pPr>
      <w:r>
        <w:rPr>
          <w:rFonts w:hint="eastAsia"/>
          <w:b/>
          <w:bCs/>
        </w:rPr>
        <w:t>暗物质与引力起源不同：</w:t>
      </w:r>
      <w:r>
        <w:t xml:space="preserve"> </w:t>
      </w:r>
      <w:r>
        <w:rPr>
          <w:rFonts w:hint="eastAsia"/>
        </w:rPr>
        <w:t>两类理论的核心物理机制无任何动力学重合。</w:t>
      </w:r>
    </w:p>
    <w:p w14:paraId="45342DEA">
      <w:pPr>
        <w:pStyle w:val="4"/>
      </w:pPr>
      <w:r>
        <w:rPr>
          <w:rFonts w:hint="eastAsia"/>
        </w:rPr>
        <w:t>综上，维度链的真实价值仅限于作为跨理论对比的工具性桥梁，不构成任何等价性推论。</w:t>
      </w:r>
    </w:p>
    <w:bookmarkEnd w:id="18"/>
    <w:bookmarkEnd w:id="21"/>
    <w:p w14:paraId="615AA343">
      <w:pPr>
        <w:pStyle w:val="5"/>
      </w:pPr>
      <w:bookmarkStart w:id="22" w:name="宇宙大尺度空洞观测的解释力实证对比"/>
      <w:r>
        <w:t xml:space="preserve">5 </w:t>
      </w:r>
      <w:r>
        <w:rPr>
          <w:rFonts w:hint="eastAsia"/>
        </w:rPr>
        <w:t>宇宙大尺度空洞观测的解释力实证对比</w:t>
      </w:r>
    </w:p>
    <w:p w14:paraId="73F91500">
      <w:pPr>
        <w:pStyle w:val="4"/>
      </w:pPr>
      <w:r>
        <w:rPr>
          <w:rFonts w:hint="eastAsia"/>
        </w:rPr>
        <w:t>KBC空洞、牧夫座空洞等巨型宇宙空洞，是检验统一场论大尺度动力学的核心实证标准，能够有效区分两类理论的物理适配性。</w:t>
      </w:r>
    </w:p>
    <w:p w14:paraId="18E7E982">
      <w:pPr>
        <w:pStyle w:val="6"/>
      </w:pPr>
      <w:bookmarkStart w:id="23" w:name="hft的空洞解释机制与局限"/>
      <w:r>
        <w:t xml:space="preserve">5.1 </w:t>
      </w:r>
      <w:r>
        <w:rPr>
          <w:rFonts w:hint="eastAsia"/>
        </w:rPr>
        <w:t>HFT的空洞解释机制与局限</w:t>
      </w:r>
    </w:p>
    <w:p w14:paraId="1EC60C9D">
      <w:pPr>
        <w:pStyle w:val="4"/>
      </w:pPr>
      <w:r>
        <w:rPr>
          <w:rFonts w:hint="eastAsia"/>
        </w:rPr>
        <w:t>HFT以高维规范场引力演化、原初宇宙涨落来解释大尺度空洞结构，依托标度规范场的引力效应实现结构拟合。然而，该框架存在固有局限：缺乏天然的大尺度斥力机制。球形空洞结构、银河系位于空洞中心、哈勃张力局域差异等观测特征，均需要额外的初始条件假设与参数微调，属于后验拟合解释，不具备第一性原理的必然性。</w:t>
      </w:r>
    </w:p>
    <w:bookmarkEnd w:id="23"/>
    <w:p w14:paraId="6DFE9926">
      <w:pPr>
        <w:pStyle w:val="6"/>
      </w:pPr>
      <w:bookmarkStart w:id="24" w:name="fcwft的空洞解释机制与优势"/>
      <w:r>
        <w:t xml:space="preserve">5.2 </w:t>
      </w:r>
      <w:r>
        <w:rPr>
          <w:rFonts w:hint="eastAsia"/>
        </w:rPr>
        <w:t>FCWFT的空洞解释机制与优势</w:t>
      </w:r>
    </w:p>
    <w:p w14:paraId="724C4551">
      <w:pPr>
        <w:pStyle w:val="4"/>
      </w:pPr>
      <w:r>
        <w:rPr>
          <w:rFonts w:hint="eastAsia"/>
        </w:rPr>
        <w:t>FCWFT依托物质-负质量暗物质全域斥力机制，从第一性原理自然推导空洞的所有观测特征：各向同性斥力形成球形排空结构、斥力动力学筛选宜居中心区域、局域斥力提升哈勃常数。上述过程无需任何参数微调与额外假设，所有观测现象均为理论先验预言的结果。</w:t>
      </w:r>
    </w:p>
    <w:bookmarkEnd w:id="22"/>
    <w:bookmarkEnd w:id="24"/>
    <w:p w14:paraId="63694922">
      <w:pPr>
        <w:pStyle w:val="5"/>
      </w:pPr>
      <w:bookmarkStart w:id="25" w:name="两大理论系统性全方位对比"/>
      <w:r>
        <w:t xml:space="preserve">6 </w:t>
      </w:r>
      <w:r>
        <w:rPr>
          <w:rFonts w:hint="eastAsia"/>
        </w:rPr>
        <w:t>两大理论系统性全方位对比</w:t>
      </w:r>
    </w:p>
    <w:p w14:paraId="78A79484">
      <w:pPr>
        <w:pStyle w:val="6"/>
      </w:pPr>
      <w:bookmarkStart w:id="26" w:name="底层范式对比"/>
      <w:r>
        <w:t xml:space="preserve">6.1 </w:t>
      </w:r>
      <w:r>
        <w:rPr>
          <w:rFonts w:hint="eastAsia"/>
        </w:rPr>
        <w:t>底层范式对比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923"/>
        <w:gridCol w:w="4696"/>
      </w:tblGrid>
      <w:tr w14:paraId="3C54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A8D82FB">
            <w:pPr>
              <w:pStyle w:val="26"/>
              <w:jc w:val="left"/>
            </w:pPr>
            <w:r>
              <w:rPr>
                <w:rFonts w:hint="eastAsia"/>
                <w:b/>
              </w:rPr>
              <w:t>对比维度</w:t>
            </w:r>
          </w:p>
        </w:tc>
        <w:tc>
          <w:tcPr>
            <w:shd w:val="clear" w:color="auto" w:fill="B9CDE5"/>
          </w:tcPr>
          <w:p w14:paraId="105DFA41">
            <w:pPr>
              <w:pStyle w:val="26"/>
              <w:jc w:val="left"/>
            </w:pPr>
            <w:r>
              <w:rPr>
                <w:rFonts w:hint="eastAsia"/>
                <w:b/>
              </w:rPr>
              <w:t>HFT超统一场论</w:t>
            </w:r>
          </w:p>
        </w:tc>
        <w:tc>
          <w:tcPr>
            <w:shd w:val="clear" w:color="auto" w:fill="B9CDE5"/>
          </w:tcPr>
          <w:p w14:paraId="19E445A2">
            <w:pPr>
              <w:pStyle w:val="26"/>
              <w:jc w:val="left"/>
            </w:pPr>
            <w:r>
              <w:rPr>
                <w:rFonts w:hint="eastAsia"/>
                <w:b/>
              </w:rPr>
              <w:t>FCWFT三场统一场论</w:t>
            </w:r>
          </w:p>
        </w:tc>
      </w:tr>
      <w:tr w14:paraId="4D81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231F6">
            <w:pPr>
              <w:pStyle w:val="26"/>
              <w:jc w:val="left"/>
            </w:pPr>
            <w:r>
              <w:rPr>
                <w:rFonts w:hint="eastAsia"/>
                <w:b/>
                <w:bCs/>
              </w:rPr>
              <w:t>时空基底</w:t>
            </w:r>
          </w:p>
        </w:tc>
        <w:tc>
          <w:p w14:paraId="7C98FA88">
            <w:pPr>
              <w:pStyle w:val="26"/>
              <w:jc w:val="left"/>
            </w:pPr>
            <w:r>
              <w:rPr>
                <w:rFonts w:hint="eastAsia"/>
              </w:rPr>
              <w:t>19维超时空为基本，四维为投影</w:t>
            </w:r>
          </w:p>
        </w:tc>
        <w:tc>
          <w:p w14:paraId="7609A202">
            <w:pPr>
              <w:pStyle w:val="26"/>
              <w:jc w:val="left"/>
            </w:pPr>
            <w:r>
              <w:rPr>
                <w:rFonts w:hint="eastAsia"/>
              </w:rPr>
              <w:t>四维物理时空为唯一基本基底</w:t>
            </w:r>
          </w:p>
        </w:tc>
      </w:tr>
      <w:tr w14:paraId="70A9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25528">
            <w:pPr>
              <w:pStyle w:val="26"/>
              <w:jc w:val="left"/>
            </w:pPr>
            <w:r>
              <w:rPr>
                <w:rFonts w:hint="eastAsia"/>
                <w:b/>
                <w:bCs/>
              </w:rPr>
              <w:t>核心哲学</w:t>
            </w:r>
          </w:p>
        </w:tc>
        <w:tc>
          <w:p w14:paraId="1E0D1860">
            <w:pPr>
              <w:pStyle w:val="26"/>
              <w:jc w:val="left"/>
            </w:pPr>
            <w:r>
              <w:rPr>
                <w:rFonts w:hint="eastAsia"/>
              </w:rPr>
              <w:t>内禀量子数决定时空维度（几何本体）</w:t>
            </w:r>
          </w:p>
        </w:tc>
        <w:tc>
          <w:p w14:paraId="40B0E659">
            <w:pPr>
              <w:pStyle w:val="26"/>
              <w:jc w:val="left"/>
            </w:pPr>
            <w:r>
              <w:rPr>
                <w:rFonts w:hint="eastAsia"/>
              </w:rPr>
              <w:t>三维固有场拓扑激发生成全部物理（场本体）</w:t>
            </w:r>
          </w:p>
        </w:tc>
      </w:tr>
      <w:tr w14:paraId="5052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7FB816">
            <w:pPr>
              <w:pStyle w:val="26"/>
              <w:jc w:val="left"/>
            </w:pPr>
            <w:r>
              <w:rPr>
                <w:rFonts w:hint="eastAsia"/>
                <w:b/>
                <w:bCs/>
              </w:rPr>
              <w:t>基本基元</w:t>
            </w:r>
          </w:p>
        </w:tc>
        <w:tc>
          <w:p w14:paraId="2C79F343">
            <w:pPr>
              <w:pStyle w:val="26"/>
              <w:jc w:val="left"/>
            </w:pPr>
            <w:r>
              <w:rPr>
                <w:rFonts w:hint="eastAsia"/>
              </w:rPr>
              <w:t>单一高维超旋量场</w:t>
            </w:r>
          </w:p>
        </w:tc>
        <w:tc>
          <w:p w14:paraId="627A236A">
            <w:pPr>
              <w:pStyle w:val="26"/>
              <w:jc w:val="left"/>
            </w:pPr>
            <w:r>
              <w:rPr>
                <w:rFonts w:hint="eastAsia"/>
              </w:rPr>
              <w:t>三类不可约拓扑涡旋场</w:t>
            </w:r>
          </w:p>
        </w:tc>
      </w:tr>
      <w:tr w14:paraId="2438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A3497F">
            <w:pPr>
              <w:pStyle w:val="26"/>
              <w:jc w:val="left"/>
            </w:pPr>
            <w:r>
              <w:rPr>
                <w:rFonts w:hint="eastAsia"/>
                <w:b/>
                <w:bCs/>
              </w:rPr>
              <w:t>统一机制</w:t>
            </w:r>
          </w:p>
        </w:tc>
        <w:tc>
          <w:p w14:paraId="45079D40">
            <w:pPr>
              <w:pStyle w:val="26"/>
              <w:jc w:val="left"/>
            </w:pPr>
            <w:r>
              <w:rPr>
                <w:rFonts w:hint="eastAsia"/>
              </w:rPr>
              <w:t>高维对称破缺</w:t>
            </w:r>
            <w:r>
              <w:t xml:space="preserve"> + </w:t>
            </w:r>
            <w:r>
              <w:rPr>
                <w:rFonts w:hint="eastAsia"/>
              </w:rPr>
              <w:t>规范-几何对偶</w:t>
            </w:r>
          </w:p>
        </w:tc>
        <w:tc>
          <w:p w14:paraId="2AD3C02E">
            <w:pPr>
              <w:pStyle w:val="26"/>
              <w:jc w:val="left"/>
            </w:pPr>
            <w:r>
              <w:rPr>
                <w:rFonts w:hint="eastAsia"/>
              </w:rPr>
              <w:t>三维场耦合</w:t>
            </w:r>
            <w:r>
              <w:t xml:space="preserve"> + </w:t>
            </w:r>
            <w:r>
              <w:rPr>
                <w:rFonts w:hint="eastAsia"/>
              </w:rPr>
              <w:t>拓扑激发演化</w:t>
            </w:r>
          </w:p>
        </w:tc>
      </w:tr>
      <w:tr w14:paraId="04F3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05A7B9">
            <w:pPr>
              <w:pStyle w:val="26"/>
              <w:jc w:val="left"/>
            </w:pPr>
            <w:r>
              <w:rPr>
                <w:rFonts w:hint="eastAsia"/>
                <w:b/>
                <w:bCs/>
              </w:rPr>
              <w:t>自由参数</w:t>
            </w:r>
          </w:p>
        </w:tc>
        <w:tc>
          <w:p w14:paraId="49172A1C">
            <w:pPr>
              <w:pStyle w:val="26"/>
              <w:jc w:val="left"/>
            </w:pPr>
            <w:r>
              <w:rPr>
                <w:rFonts w:hint="eastAsia"/>
              </w:rPr>
              <w:t>含紧致化、耦合常数等拟合参数</w:t>
            </w:r>
          </w:p>
        </w:tc>
        <w:tc>
          <w:p w14:paraId="2B8C6301">
            <w:pPr>
              <w:pStyle w:val="26"/>
              <w:jc w:val="left"/>
            </w:pPr>
            <w:r>
              <w:rPr>
                <w:rFonts w:hint="eastAsia"/>
              </w:rPr>
              <w:t>零人工自由参数，全拓扑导出（注：部分参数数值需实验校准）</w:t>
            </w:r>
          </w:p>
        </w:tc>
      </w:tr>
      <w:bookmarkEnd w:id="26"/>
    </w:tbl>
    <w:p w14:paraId="5C7E23B4">
      <w:pPr>
        <w:pStyle w:val="6"/>
      </w:pPr>
      <w:bookmarkStart w:id="27" w:name="物理机制对比"/>
      <w:r>
        <w:t xml:space="preserve">6.2 </w:t>
      </w:r>
      <w:r>
        <w:rPr>
          <w:rFonts w:hint="eastAsia"/>
        </w:rPr>
        <w:t>物理机制对比</w:t>
      </w:r>
    </w:p>
    <w:p w14:paraId="0CEE63D9">
      <w:pPr>
        <w:pStyle w:val="4"/>
      </w:pPr>
      <w:r>
        <w:rPr>
          <w:rFonts w:hint="eastAsia"/>
        </w:rPr>
        <w:t>HFT依赖高维几何对称实现相互作用统一，数学体系成熟、理论传承完善、对接引力波观测；FCWFT建立了正反夸克、轻子的全套色荷拓扑体系，明确了上下夸克、反上下夸克的色荷拓扑单元组成，从微观质量谱、量子特性到宇观宇宙结构实现全尺度统一，可证伪性、可观测性更强。</w:t>
      </w:r>
    </w:p>
    <w:bookmarkEnd w:id="27"/>
    <w:p w14:paraId="6FFC06FE">
      <w:pPr>
        <w:pStyle w:val="6"/>
      </w:pPr>
      <w:bookmarkStart w:id="28" w:name="可证伪性与实证边界"/>
      <w:r>
        <w:t xml:space="preserve">6.3 </w:t>
      </w:r>
      <w:r>
        <w:rPr>
          <w:rFonts w:hint="eastAsia"/>
        </w:rPr>
        <w:t>可证伪性与实证边界</w:t>
      </w:r>
    </w:p>
    <w:p w14:paraId="04EF5C95">
      <w:pPr>
        <w:pStyle w:val="4"/>
      </w:pPr>
      <w:r>
        <w:rPr>
          <w:rFonts w:hint="eastAsia"/>
        </w:rPr>
        <w:t>HFT的实证依赖高维效应的间接观测，预言信号隐蔽、检验难度高；FCWFT拥有大量高精度、直接可观测的预言（费米子质量、宇宙组分、空洞结构、哈勃张力、粒子全同性阈值等），可证伪性显著更强。与此同时，FCWFT也存在高能标理论待完善的短板。</w:t>
      </w:r>
    </w:p>
    <w:bookmarkEnd w:id="25"/>
    <w:bookmarkEnd w:id="28"/>
    <w:p w14:paraId="3FB19AF6">
      <w:pPr>
        <w:pStyle w:val="5"/>
      </w:pPr>
      <w:bookmarkStart w:id="29" w:name="理论负担与科学优雅性客观评估"/>
      <w:r>
        <w:t xml:space="preserve">7 </w:t>
      </w:r>
      <w:r>
        <w:rPr>
          <w:rFonts w:hint="eastAsia"/>
        </w:rPr>
        <w:t>理论负担与科学优雅性客观评估</w:t>
      </w:r>
    </w:p>
    <w:p w14:paraId="716AA74F">
      <w:pPr>
        <w:pStyle w:val="6"/>
      </w:pPr>
      <w:bookmarkStart w:id="30" w:name="概念负担"/>
      <w:r>
        <w:t xml:space="preserve">7.1 </w:t>
      </w:r>
      <w:r>
        <w:rPr>
          <w:rFonts w:hint="eastAsia"/>
        </w:rPr>
        <w:t>概念负担</w:t>
      </w:r>
    </w:p>
    <w:p w14:paraId="25FC4F10">
      <w:pPr>
        <w:pStyle w:val="4"/>
      </w:pPr>
      <w:r>
        <w:rPr>
          <w:rFonts w:hint="eastAsia"/>
        </w:rPr>
        <w:t>HFT需引入19维时空、SP(1,18)对称群、双标架纤维丛、超引力场、紧致化结构等多重抽象实体，理论负担较大，距离可观测物理较远；FCWFT仅依托三维三场加拓扑不变量，概念极简、贴合可观测宇宙，符合奥卡姆剃刀原理。</w:t>
      </w:r>
    </w:p>
    <w:bookmarkEnd w:id="30"/>
    <w:p w14:paraId="0514F87E">
      <w:pPr>
        <w:pStyle w:val="6"/>
      </w:pPr>
      <w:bookmarkStart w:id="31" w:name="数学特征"/>
      <w:r>
        <w:t xml:space="preserve">7.2 </w:t>
      </w:r>
      <w:r>
        <w:rPr>
          <w:rFonts w:hint="eastAsia"/>
        </w:rPr>
        <w:t>数学特征</w:t>
      </w:r>
    </w:p>
    <w:p w14:paraId="3A0D6979">
      <w:pPr>
        <w:pStyle w:val="4"/>
      </w:pPr>
      <w:r>
        <w:rPr>
          <w:rFonts w:hint="eastAsia"/>
        </w:rPr>
        <w:t>HFT的数学工具宏大成熟（高维微分几何、超对称表示论等），体系完整无争议；FCWFT依托低维拓扑几何、场张量耦合，数学体系简洁直观，但仍处于持续完善拓展的阶段。</w:t>
      </w:r>
    </w:p>
    <w:bookmarkEnd w:id="29"/>
    <w:bookmarkEnd w:id="31"/>
    <w:p w14:paraId="529D222E">
      <w:pPr>
        <w:pStyle w:val="5"/>
      </w:pPr>
      <w:bookmarkStart w:id="32" w:name="范式对立的深层本质"/>
      <w:r>
        <w:t xml:space="preserve">8 </w:t>
      </w:r>
      <w:r>
        <w:rPr>
          <w:rFonts w:hint="eastAsia"/>
        </w:rPr>
        <w:t>范式对立的深层本质</w:t>
      </w:r>
    </w:p>
    <w:p w14:paraId="4FBC98B8">
      <w:pPr>
        <w:pStyle w:val="4"/>
      </w:pPr>
      <w:r>
        <w:rPr>
          <w:rFonts w:hint="eastAsia"/>
        </w:rPr>
        <w:t>两套理论的差异并非局部机制差异，而是底层物理世界观的根本对立：</w:t>
      </w:r>
    </w:p>
    <w:p w14:paraId="6A8238BC">
      <w:pPr>
        <w:pStyle w:val="26"/>
        <w:numPr>
          <w:ilvl w:val="0"/>
          <w:numId w:val="7"/>
        </w:numPr>
      </w:pPr>
      <w:r>
        <w:rPr>
          <w:rFonts w:hint="eastAsia"/>
          <w:b/>
          <w:bCs/>
        </w:rPr>
        <w:t>时空本质对立：</w:t>
      </w:r>
      <w:r>
        <w:t xml:space="preserve"> </w:t>
      </w:r>
      <w:r>
        <w:rPr>
          <w:rFonts w:hint="eastAsia"/>
        </w:rPr>
        <w:t>HFT认为时空维度是衍生、可变、高维的；FCWFT认为三维空间是公理的、固定的、唯一的物理基底；</w:t>
      </w:r>
    </w:p>
    <w:p w14:paraId="2DDE7B1B">
      <w:pPr>
        <w:pStyle w:val="26"/>
        <w:numPr>
          <w:ilvl w:val="0"/>
          <w:numId w:val="7"/>
        </w:numPr>
      </w:pPr>
      <w:r>
        <w:rPr>
          <w:rFonts w:hint="eastAsia"/>
          <w:b/>
          <w:bCs/>
        </w:rPr>
        <w:t>统一逻辑对立：</w:t>
      </w:r>
      <w:r>
        <w:t xml:space="preserve"> </w:t>
      </w:r>
      <w:r>
        <w:rPr>
          <w:rFonts w:hint="eastAsia"/>
        </w:rPr>
        <w:t>HFT以几何统一相互作用；FCWFT以场本体拓扑统一所有物理现象；</w:t>
      </w:r>
    </w:p>
    <w:p w14:paraId="74FBEEAB">
      <w:pPr>
        <w:pStyle w:val="26"/>
        <w:numPr>
          <w:ilvl w:val="0"/>
          <w:numId w:val="7"/>
        </w:numPr>
      </w:pPr>
      <w:r>
        <w:rPr>
          <w:rFonts w:hint="eastAsia"/>
          <w:b/>
          <w:bCs/>
        </w:rPr>
        <w:t>解释逻辑对立：</w:t>
      </w:r>
      <w:r>
        <w:t xml:space="preserve"> </w:t>
      </w:r>
      <w:r>
        <w:rPr>
          <w:rFonts w:hint="eastAsia"/>
        </w:rPr>
        <w:t>HFT依赖对称破缺与参数拟合解释低维物理；FCWFT以第一性拓扑公理直接推导可观测物理；</w:t>
      </w:r>
    </w:p>
    <w:p w14:paraId="3BCB20AC">
      <w:pPr>
        <w:pStyle w:val="26"/>
        <w:numPr>
          <w:ilvl w:val="0"/>
          <w:numId w:val="7"/>
        </w:numPr>
      </w:pPr>
      <w:r>
        <w:rPr>
          <w:rFonts w:hint="eastAsia"/>
          <w:b/>
          <w:bCs/>
        </w:rPr>
        <w:t>科学路径对立：</w:t>
      </w:r>
      <w:r>
        <w:t xml:space="preserve"> </w:t>
      </w:r>
      <w:r>
        <w:rPr>
          <w:rFonts w:hint="eastAsia"/>
        </w:rPr>
        <w:t>HFT延续经典场论高维拓展的主流范式；FCWFT开创三维场本体拓扑统一的全新范式。</w:t>
      </w:r>
    </w:p>
    <w:p w14:paraId="29051B64">
      <w:pPr>
        <w:pStyle w:val="4"/>
      </w:pPr>
      <w:r>
        <w:rPr>
          <w:rFonts w:hint="eastAsia"/>
        </w:rPr>
        <w:t>二者无法通过参数修正或机制补充实现融合，属于竞争性的终极物理范式。</w:t>
      </w:r>
    </w:p>
    <w:bookmarkEnd w:id="32"/>
    <w:p w14:paraId="330C2398">
      <w:pPr>
        <w:pStyle w:val="5"/>
      </w:pPr>
      <w:bookmarkStart w:id="33" w:name="综合评判与科学前景"/>
      <w:r>
        <w:t xml:space="preserve">9 </w:t>
      </w:r>
      <w:r>
        <w:rPr>
          <w:rFonts w:hint="eastAsia"/>
        </w:rPr>
        <w:t>综合评判与科学前景</w:t>
      </w:r>
    </w:p>
    <w:p w14:paraId="5C7C8E87">
      <w:pPr>
        <w:pStyle w:val="6"/>
      </w:pPr>
      <w:bookmarkStart w:id="34" w:name="hft的科学价值与定位"/>
      <w:r>
        <w:t xml:space="preserve">9.1 </w:t>
      </w:r>
      <w:r>
        <w:rPr>
          <w:rFonts w:hint="eastAsia"/>
        </w:rPr>
        <w:t>HFT的科学价值与定位</w:t>
      </w:r>
    </w:p>
    <w:p w14:paraId="2008AC43">
      <w:pPr>
        <w:pStyle w:val="4"/>
      </w:pPr>
      <w:r>
        <w:rPr>
          <w:rFonts w:hint="eastAsia"/>
        </w:rPr>
        <w:t>HFT是国内原创、体系成熟的高维统一场论，突破传统场论框架，完成了四种基本相互作用的高维几何统一，严格阐明了规范对称性的引力起源，对接国家级引力波观测工程。该理论严谨、传承扎实，是高维统一范式的代表性成果。其主要局限为：依赖不可观测的额外维度、参数负担较高、大尺度宇宙现象的解释需要额外假设、可证伪性偏弱。</w:t>
      </w:r>
    </w:p>
    <w:bookmarkEnd w:id="34"/>
    <w:p w14:paraId="2BA3541D">
      <w:pPr>
        <w:pStyle w:val="6"/>
      </w:pPr>
      <w:bookmarkStart w:id="35" w:name="fcwft的科学价值与定位"/>
      <w:r>
        <w:t xml:space="preserve">9.2 </w:t>
      </w:r>
      <w:r>
        <w:rPr>
          <w:rFonts w:hint="eastAsia"/>
        </w:rPr>
        <w:t>FCWFT的科学价值与定位</w:t>
      </w:r>
    </w:p>
    <w:p w14:paraId="4DDAEBAD">
      <w:pPr>
        <w:pStyle w:val="4"/>
      </w:pPr>
      <w:r>
        <w:rPr>
          <w:rFonts w:hint="eastAsia"/>
        </w:rPr>
        <w:t>FCWFT突破传统高维统一思路，建立了三维场本体统一的新范式，完善了正反上下夸克的色荷拓扑单元规则，搭建起自洽的夸克色荷拓扑体系，实现了波粒二象性、粒子全同性、费米子质量谱、宇宙组分、大尺度空洞结构五大核心物理问题的第一性原理解答。零自由参数、强可证伪性、跨尺度统一、粒子荷结构自洽是其核心创新优势。作为新兴理论，其数学体系完善度、高能标物理拓展、学界验证度仍需持续推进。</w:t>
      </w:r>
    </w:p>
    <w:bookmarkEnd w:id="35"/>
    <w:p w14:paraId="0837762E">
      <w:pPr>
        <w:pStyle w:val="6"/>
      </w:pPr>
      <w:bookmarkStart w:id="36" w:name="未来判别性实证路径"/>
      <w:r>
        <w:t xml:space="preserve">9.3 </w:t>
      </w:r>
      <w:r>
        <w:rPr>
          <w:rFonts w:hint="eastAsia"/>
        </w:rPr>
        <w:t>未来判别性实证路径</w:t>
      </w:r>
    </w:p>
    <w:p w14:paraId="5DB10BEC">
      <w:pPr>
        <w:pStyle w:val="4"/>
      </w:pPr>
      <w:r>
        <w:rPr>
          <w:rFonts w:hint="eastAsia"/>
        </w:rPr>
        <w:t>未来10–20年的高精度观测将直接判别两大范式的合理性：</w:t>
      </w:r>
    </w:p>
    <w:p w14:paraId="26C5DE4A">
      <w:pPr>
        <w:pStyle w:val="26"/>
        <w:numPr>
          <w:ilvl w:val="0"/>
          <w:numId w:val="8"/>
        </w:numPr>
      </w:pPr>
      <w:r>
        <w:rPr>
          <w:rFonts w:hint="eastAsia"/>
          <w:b/>
          <w:bCs/>
        </w:rPr>
        <w:t>太极计划引力波探测（2026–2035）：</w:t>
      </w:r>
      <w:r>
        <w:t xml:space="preserve"> </w:t>
      </w:r>
      <w:r>
        <w:rPr>
          <w:rFonts w:hint="eastAsia"/>
        </w:rPr>
        <w:t>检验HFT预言的引力子修正；FCWFT预言引力子为A-C耦合激发，具有特征波长；</w:t>
      </w:r>
    </w:p>
    <w:p w14:paraId="55B8AE76">
      <w:pPr>
        <w:pStyle w:val="26"/>
        <w:numPr>
          <w:ilvl w:val="0"/>
          <w:numId w:val="8"/>
        </w:numPr>
      </w:pPr>
      <w:r>
        <w:rPr>
          <w:rFonts w:hint="eastAsia"/>
          <w:b/>
          <w:bCs/>
        </w:rPr>
        <w:t>暗能量红移演化高精度测量：</w:t>
      </w:r>
      <w:r>
        <w:t xml:space="preserve"> </w:t>
      </w:r>
      <w:r>
        <w:rPr>
          <w:rFonts w:hint="eastAsia"/>
        </w:rPr>
        <w:t>FCWFT预言</w:t>
      </w:r>
      <w:r>
        <w:t xml:space="preserve"> </w:t>
      </w:r>
      <m:oMath>
        <m:r>
          <m:rPr/>
          <m:t>dw</m:t>
        </m:r>
        <m:r>
          <m:rPr>
            <m:sty m:val="p"/>
          </m:rPr>
          <m:t>/</m:t>
        </m:r>
        <m:r>
          <m:rPr/>
          <m:t>dz</m:t>
        </m:r>
        <m:r>
          <m:rPr>
            <m:sty m:val="p"/>
          </m:rPr>
          <m:t>≈−</m:t>
        </m:r>
        <m:r>
          <m:rPr/>
          <m:t>0.02</m:t>
        </m:r>
      </m:oMath>
      <w:r>
        <w:rPr>
          <w:rFonts w:hint="eastAsia"/>
        </w:rPr>
        <w:t>；HFT的Q(c)-标量场演化需具体计算；</w:t>
      </w:r>
    </w:p>
    <w:p w14:paraId="6A9F9E0F">
      <w:pPr>
        <w:pStyle w:val="26"/>
        <w:numPr>
          <w:ilvl w:val="0"/>
          <w:numId w:val="8"/>
        </w:numPr>
      </w:pPr>
      <w:r>
        <w:rPr>
          <w:rFonts w:hint="eastAsia"/>
          <w:b/>
          <w:bCs/>
        </w:rPr>
        <w:t>KBC空洞精细结构与暗物质分布观测：</w:t>
      </w:r>
      <w:r>
        <w:t xml:space="preserve"> </w:t>
      </w:r>
      <w:r>
        <w:rPr>
          <w:rFonts w:hint="eastAsia"/>
        </w:rPr>
        <w:t>FCWFT预言负质量暗物质相对富集和球形排空；HFT缺乏直接的大尺度斥力机制；</w:t>
      </w:r>
    </w:p>
    <w:p w14:paraId="56C1B8B1">
      <w:pPr>
        <w:pStyle w:val="26"/>
        <w:numPr>
          <w:ilvl w:val="0"/>
          <w:numId w:val="8"/>
        </w:numPr>
      </w:pPr>
      <w:r>
        <w:rPr>
          <w:rFonts w:hint="eastAsia"/>
          <w:b/>
          <w:bCs/>
        </w:rPr>
        <w:t>高能粒子新粒子搜寻：</w:t>
      </w:r>
      <w:r>
        <w:t xml:space="preserve"> </w:t>
      </w:r>
      <w:r>
        <w:rPr>
          <w:rFonts w:hint="eastAsia"/>
        </w:rPr>
        <w:t>HFT预言镜像粒子、矢量型夸克；FCWFT不预言此类高维降维粒子；</w:t>
      </w:r>
    </w:p>
    <w:p w14:paraId="639E5146">
      <w:pPr>
        <w:pStyle w:val="26"/>
        <w:numPr>
          <w:ilvl w:val="0"/>
          <w:numId w:val="8"/>
        </w:numPr>
      </w:pPr>
      <w:r>
        <w:rPr>
          <w:rFonts w:hint="eastAsia"/>
          <w:b/>
          <w:bCs/>
        </w:rPr>
        <w:t>粒子全同性极限精度检验：</w:t>
      </w:r>
      <w:r>
        <w:t xml:space="preserve"> </w:t>
      </w:r>
      <w:r>
        <w:rPr>
          <w:rFonts w:hint="eastAsia"/>
        </w:rPr>
        <w:t>FCWFT预言同类粒子参数偏差小于</w:t>
      </w:r>
      <w:r>
        <w:t xml:space="preserve"> </w:t>
      </w:r>
      <m:oMath>
        <m:sSup>
          <m:sSupPr/>
          <m:e>
            <m:r>
              <m:rPr/>
              <m:t>10</m:t>
            </m:r>
          </m:e>
          <m:sup>
            <m:r>
              <m:rPr>
                <m:sty m:val="p"/>
              </m:rPr>
              <m:t>−</m:t>
            </m:r>
            <m:r>
              <m:rPr/>
              <m:t>15</m:t>
            </m:r>
          </m:sup>
        </m:sSup>
      </m:oMath>
      <w:r>
        <w:rPr>
          <w:rFonts w:hint="eastAsia"/>
        </w:rPr>
        <w:t>；HFT无明确预言；</w:t>
      </w:r>
    </w:p>
    <w:p w14:paraId="2C8D8F5F">
      <w:pPr>
        <w:pStyle w:val="26"/>
        <w:numPr>
          <w:ilvl w:val="0"/>
          <w:numId w:val="8"/>
        </w:numPr>
      </w:pPr>
      <w:r>
        <w:rPr>
          <w:rFonts w:hint="eastAsia"/>
          <w:b/>
          <w:bCs/>
        </w:rPr>
        <w:t>分数量子霍尔拓扑模实验验证：</w:t>
      </w:r>
      <w:r>
        <w:t xml:space="preserve"> </w:t>
      </w:r>
      <w:r>
        <w:rPr>
          <w:rFonts w:hint="eastAsia"/>
        </w:rPr>
        <w:t>FCWFT预言自旋-1矢量边缘模（2–7</w:t>
      </w:r>
      <w:r>
        <w:t xml:space="preserve"> </w:t>
      </w:r>
      <w:r>
        <w:rPr>
          <w:rFonts w:hint="eastAsia"/>
        </w:rPr>
        <w:t>GHz）；传统理论无此预言。</w:t>
      </w:r>
    </w:p>
    <w:bookmarkEnd w:id="33"/>
    <w:bookmarkEnd w:id="36"/>
    <w:p w14:paraId="043DBD9E">
      <w:pPr>
        <w:pStyle w:val="5"/>
      </w:pPr>
      <w:bookmarkStart w:id="37" w:name="结语"/>
      <w:r>
        <w:t xml:space="preserve">10 </w:t>
      </w:r>
      <w:r>
        <w:rPr>
          <w:rFonts w:hint="eastAsia"/>
        </w:rPr>
        <w:t>结语</w:t>
      </w:r>
    </w:p>
    <w:p w14:paraId="25E8EC53">
      <w:pPr>
        <w:pStyle w:val="4"/>
      </w:pPr>
      <w:r>
        <w:rPr>
          <w:rFonts w:hint="eastAsia"/>
        </w:rPr>
        <w:t>吴岳良院士的19维超统一场论（HFT）与场组合波函数理论（FCWFT），代表了当代统一场论探索的两条核心竞争性范式。HFT延续百年几何统一传统，以高维超时空对称结构实现相互作用的理论统一，数学成熟、体系完整、对接实证；FCWFT颠覆高维拓展思路，确立了上下夸克、反上下夸克对应的B场色荷拓扑单元组成规则，以三维不可约场公理与拓扑激发机制，实现了从微观夸克、轻子到宇观宇宙的零参数全尺度物理统一，具备较强的科学性、自洽性与可证伪性。</w:t>
      </w:r>
    </w:p>
    <w:p w14:paraId="6338CF0F">
      <w:pPr>
        <w:pStyle w:val="3"/>
      </w:pPr>
      <w:r>
        <w:rPr>
          <w:rFonts w:hint="eastAsia"/>
        </w:rPr>
        <w:t>FCWFT原创的维度链分析视角，厘清了高维对称群与三维场论的形式关联，但严格证明二者不存在物理动力学等价性，范式对立根深蒂固。</w:t>
      </w:r>
    </w:p>
    <w:p w14:paraId="401D4172">
      <w:pPr>
        <w:pStyle w:val="3"/>
      </w:pPr>
      <w:r>
        <w:rPr>
          <w:rFonts w:hint="eastAsia"/>
        </w:rPr>
        <w:t>两大理论各有优势与短板：HFT胜在理论成熟、学术积淀深厚、几何结构优美；FCWFT胜在逻辑极简、体系自洽、贴合观测、第一性原理彻底、无人工参数。统一场论的终极探索并非单一路径的绝对正确，而是不同范式的迭代竞争与互补完善。未来高精度实验与天文观测，将最终判定时空与物质的底层本质，推动理论物理完成新一轮范式革新。</w:t>
      </w:r>
    </w:p>
    <w:bookmarkEnd w:id="37"/>
    <w:p w14:paraId="19E4F218">
      <w:pPr>
        <w:pStyle w:val="5"/>
      </w:pPr>
      <w:bookmarkStart w:id="38" w:name="参考文献"/>
      <w:r>
        <w:rPr>
          <w:rFonts w:hint="eastAsia"/>
        </w:rPr>
        <w:t>参考文献</w:t>
      </w:r>
    </w:p>
    <w:p w14:paraId="087FECC0">
      <w:pPr>
        <w:pStyle w:val="4"/>
      </w:pPr>
      <w:r>
        <w:t>[1] Wu Y L. Hyperunified field theory and gravitational gauge–geometry duality[J]. The European Physical Journal C, 2018, 78: 28.</w:t>
      </w:r>
      <w:r>
        <w:br w:type="textWrapping"/>
      </w:r>
      <w:r>
        <w:t>[2] Wu Y L. The foundation of the hyperunified field theory I — Fundamental building block and symmetry[J]. International Journal of Modern Physics A, 2021, 36(28): 2143001.</w:t>
      </w:r>
      <w:r>
        <w:br w:type="textWrapping"/>
      </w:r>
      <w:r>
        <w:t>[3] Wu Y L. The foundation of the hyperunified field theory II — Fundamental interaction and evolving universe[J]. International Journal of Modern Physics A, 2021, 36(28): 2143002.</w:t>
      </w:r>
      <w:r>
        <w:br w:type="textWrapping"/>
      </w:r>
      <w:r>
        <w:t xml:space="preserve">[4] </w:t>
      </w:r>
      <w:r>
        <w:rPr>
          <w:rFonts w:hint="eastAsia"/>
        </w:rPr>
        <w:t>中国科学院理论物理研究所.</w:t>
      </w:r>
      <w:r>
        <w:t xml:space="preserve"> </w:t>
      </w:r>
      <w:r>
        <w:rPr>
          <w:rFonts w:hint="eastAsia"/>
        </w:rPr>
        <w:t>超统一场论为揭秘时空和引力本质及物质和宇宙起源开辟新途径[EB/OL].</w:t>
      </w:r>
      <w:r>
        <w:t xml:space="preserve"> 2021.</w:t>
      </w:r>
      <w:r>
        <w:br w:type="textWrapping"/>
      </w:r>
      <w:r>
        <w:t xml:space="preserve">[5] </w:t>
      </w:r>
      <w:r>
        <w:rPr>
          <w:rFonts w:hint="eastAsia"/>
        </w:rPr>
        <w:t>国家自然科学基金委员会.</w:t>
      </w:r>
      <w:r>
        <w:t xml:space="preserve"> </w:t>
      </w:r>
      <w:r>
        <w:rPr>
          <w:rFonts w:hint="eastAsia"/>
        </w:rPr>
        <w:t>揭秘爱因斯坦统一场论研究取得重大突破[EB/OL].</w:t>
      </w:r>
      <w:r>
        <w:t xml:space="preserve"> 2026.</w:t>
      </w:r>
      <w:r>
        <w:br w:type="textWrapping"/>
      </w:r>
      <w:r>
        <w:t xml:space="preserve">[6] </w:t>
      </w:r>
      <w:r>
        <w:rPr>
          <w:rFonts w:hint="eastAsia"/>
        </w:rPr>
        <w:t>吴岳良.</w:t>
      </w:r>
      <w:r>
        <w:t xml:space="preserve"> </w:t>
      </w:r>
      <w:r>
        <w:rPr>
          <w:rFonts w:hint="eastAsia"/>
        </w:rPr>
        <w:t>超统一场论与太极空间引力波探测[J].</w:t>
      </w:r>
      <w:r>
        <w:t xml:space="preserve"> </w:t>
      </w:r>
      <w:r>
        <w:rPr>
          <w:rFonts w:hint="eastAsia"/>
        </w:rPr>
        <w:t>现代物理进展,</w:t>
      </w:r>
      <w:r>
        <w:t xml:space="preserve"> 2023.</w:t>
      </w:r>
      <w:r>
        <w:br w:type="textWrapping"/>
      </w:r>
      <w:r>
        <w:t>[7] Li Z J, Zhao G Y, Xue Y Y. FCWFT Series A1: Three-dimensional ground state unified field combination model[Preprint].</w:t>
      </w:r>
      <w:r>
        <w:br w:type="textWrapping"/>
      </w:r>
      <w:r>
        <w:t>[8] Li Z J, Zhao G Y, Xue Y Y. FCWFT Series A4: Derivation of particle masses from topological first principles[Preprint].</w:t>
      </w:r>
      <w:r>
        <w:br w:type="textWrapping"/>
      </w:r>
      <w:r>
        <w:t>[9] Li Z J, Zhao G Y, Xue Y Y. FCWFT Series A6: Topological geometric origin of elementary particle indistinguishability[Preprint].</w:t>
      </w:r>
      <w:r>
        <w:br w:type="textWrapping"/>
      </w:r>
      <w:r>
        <w:t>[10] Li Z J, Zhao G Y, Xue Y Y. FCWFT Series C9: First-principles derivation of cosmic component ratios from topological vortex structure[Preprint].</w:t>
      </w:r>
      <w:r>
        <w:br w:type="textWrapping"/>
      </w:r>
      <w:r>
        <w:t>[11] Li Z J, Zhao G Y, Xue Y Y. FCWFT Series B24: Topological graviton network and cosmic repulsion mechanism[Preprint].</w:t>
      </w:r>
      <w:r>
        <w:br w:type="textWrapping"/>
      </w:r>
      <w:r>
        <w:t>[12] Planck Collaboration. Planck 2018 results. VI. Cosmological parameters[J]. Astronomy &amp; Astrophysics, 2020, 641: A6.</w:t>
      </w:r>
    </w:p>
    <w:p w14:paraId="2EBB66A6">
      <w:pPr>
        <w:pStyle w:val="3"/>
      </w:pPr>
      <w:bookmarkStart w:id="39" w:name="_GoBack"/>
      <w:bookmarkEnd w:id="39"/>
    </w:p>
    <w:bookmarkEnd w:id="0"/>
    <w:bookmarkEnd w:id="3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EC6748F"/>
    <w:rsid w:val="23D56344"/>
    <w:rsid w:val="367E3A4E"/>
    <w:rsid w:val="380A4A6F"/>
    <w:rsid w:val="444A6219"/>
    <w:rsid w:val="4AE866C7"/>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846</Words>
  <Characters>954</Characters>
  <Lines>283</Lines>
  <Paragraphs>310</Paragraphs>
  <TotalTime>7</TotalTime>
  <ScaleCrop>false</ScaleCrop>
  <LinksUpToDate>false</LinksUpToDate>
  <CharactersWithSpaces>961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2026-07-27T21:27:00Z</dcterms:created>
  <dc:creator>迈斯纳效应</dc:creator>
  <cp:lastModifiedBy>迈斯纳效应</cp:lastModifiedBy>
  <dcterms:modified xsi:type="dcterms:W3CDTF">2026-07-27T21:39:01Z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B25B65EBBEF44F55AC2C92E35F60C810_12</vt:lpwstr>
  </property>
</Properties>
</file>