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D285D">
      <w:pPr>
        <w:pStyle w:val="4"/>
      </w:pPr>
      <w:r>
        <w:rPr>
          <w:rFonts w:hint="eastAsia" w:eastAsia="宋体"/>
          <w:b/>
          <w:bCs/>
          <w:sz w:val="32"/>
          <w:szCs w:val="32"/>
          <w:lang w:val="en-US" w:eastAsia="zh-CN"/>
        </w:rPr>
        <w:t>D2</w:t>
      </w:r>
      <w:r>
        <w:rPr>
          <w:rFonts w:hint="eastAsia" w:eastAsia="宋体"/>
          <w:lang w:val="en-US" w:eastAsia="zh-CN"/>
        </w:rPr>
        <w:t xml:space="preserve">  </w:t>
      </w:r>
      <w:r>
        <w:rPr>
          <w:rFonts w:hint="eastAsia" w:eastAsia="宋体"/>
          <w:b/>
          <w:bCs/>
          <w:sz w:val="32"/>
          <w:szCs w:val="32"/>
          <w:lang w:val="en-US" w:eastAsia="zh-CN"/>
        </w:rPr>
        <w:t xml:space="preserve"> </w:t>
      </w:r>
      <w:r>
        <w:rPr>
          <w:b/>
          <w:bCs/>
          <w:sz w:val="32"/>
          <w:szCs w:val="32"/>
        </w:rPr>
        <w:t>Topological Origin of Gauge Symmetry, Mass Gap and Color Confinement in Yang–Mills Theory</w:t>
      </w:r>
    </w:p>
    <w:p w14:paraId="676749BB">
      <w:pPr>
        <w:pStyle w:val="3"/>
      </w:pPr>
      <w:r>
        <w:t>— A Rigorous Reconstruction Based on FCWFT Three-Field Ont</w:t>
      </w:r>
      <w:bookmarkStart w:id="26" w:name="_GoBack"/>
      <w:bookmarkEnd w:id="26"/>
      <w:r>
        <w:t>ology</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481B1166">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w:t>
      </w:r>
      <w:r>
        <w:br w:type="textWrapping"/>
      </w:r>
      <w:r>
        <w:rPr>
          <w:b/>
          <w:bCs/>
        </w:rPr>
        <w:t>PACS:</w:t>
      </w:r>
      <w:r>
        <w:t xml:space="preserve"> 11.15.-q, 12.38.Aw, 02.30.Hq, 11.10.-z</w:t>
      </w:r>
    </w:p>
    <w:p w14:paraId="4C9D3964">
      <w:pPr>
        <w:pStyle w:val="5"/>
      </w:pPr>
      <w:bookmarkStart w:id="0" w:name="abstract"/>
      <w:r>
        <w:t>Abstract</w:t>
      </w:r>
    </w:p>
    <w:p w14:paraId="67ACE047">
      <w:pPr>
        <w:pStyle w:val="4"/>
      </w:pPr>
      <w:r>
        <w:t>Classical four-dimensional Yang–Mills gauge theory possesses a complete differential geometric structure and strict gauge invariance. However, its purely geometric framework suffers from four insurmountable fundamental physical defects: artificially presupposed gauge symmetry group, trivial vacuum topology, classical scale invariance prohibiting mass scale generation, and the absence of intrinsic confinement constraints in classical dynamics. These structural defects constitute the core physical origin of the Millennium Problem of quantum Yang–Mills existence and mass gap.</w:t>
      </w:r>
    </w:p>
    <w:p w14:paraId="75EE52CE">
      <w:pPr>
        <w:pStyle w:val="3"/>
      </w:pPr>
      <w:r>
        <w:t>Traditional high-dimensional unification paradigms (string theory, Kaluza–Klein theory, supersymmetry) attempt to solve the foundational problems of gauge fields by expanding spacetime dimensions and symmetry degrees of freedom, but invariably suffer from unobservable assumptions, severe vacuum degeneracy, excessive free parameters, and the inability to analytically prove the mass gap and color confinement.</w:t>
      </w:r>
    </w:p>
    <w:p w14:paraId="6D110E06">
      <w:pPr>
        <w:pStyle w:val="3"/>
      </w:pPr>
      <w:r>
        <w:t>Based on the first-principle topological axiom system of the Field Combination Wave Function Theory (FCWFT), this paper strictly preserves all standard mathematical structures of Yang–Mills theory, introduces no higher-dimensional spacetime, and adds no phenomenological fitting parameters, instead completing the missing topological foundational constraints of gauge fields at the ontological level. Through the triple first-principle constraints of A-field vortex topology, B-field charge-spin symplectic topology, and C-field global vacuum topological condensation:</w:t>
      </w:r>
    </w:p>
    <w:p w14:paraId="0991FEE2">
      <w:pPr>
        <w:numPr>
          <w:ilvl w:val="0"/>
          <w:numId w:val="1"/>
        </w:numPr>
      </w:pPr>
      <w:r>
        <w:t xml:space="preserve">Relying on the Montgomery–Zippin theorem (Hilbert’s fifth problem), we strictly and uniquely derive the </w:t>
      </w:r>
      <m:oMath>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 xml:space="preserve"> gauge group (Theorem 3.3), rigorously exclude ambiguous groups such as </w:t>
      </w:r>
      <m:oMath>
        <m:r>
          <m:rPr/>
          <m:t>SO</m:t>
        </m:r>
        <m:r>
          <m:rPr>
            <m:sty m:val="p"/>
          </m:rPr>
          <m:t>(</m:t>
        </m:r>
        <m:r>
          <m:rPr/>
          <m:t>3</m:t>
        </m:r>
        <m:r>
          <m:rPr>
            <m:sty m:val="p"/>
          </m:rPr>
          <m:t>)</m:t>
        </m:r>
      </m:oMath>
      <w:r>
        <w:t xml:space="preserve">, clarify the standard embedding of </w:t>
      </w:r>
      <m:oMath>
        <m:r>
          <m:rPr/>
          <m:t>SU</m:t>
        </m:r>
        <m:r>
          <m:rPr>
            <m:sty m:val="p"/>
          </m:rPr>
          <m:t>(</m:t>
        </m:r>
        <m:r>
          <m:rPr/>
          <m:t>2</m:t>
        </m:r>
        <m:r>
          <m:rPr>
            <m:sty m:val="p"/>
          </m:rPr>
          <m:t>)</m:t>
        </m:r>
      </m:oMath>
      <w:r>
        <w:t xml:space="preserve"> into </w:t>
      </w:r>
      <m:oMath>
        <m:r>
          <m:rPr/>
          <m:t>SU</m:t>
        </m:r>
        <m:r>
          <m:rPr>
            <m:sty m:val="p"/>
          </m:rPr>
          <m:t>(</m:t>
        </m:r>
        <m:r>
          <m:rPr/>
          <m:t>3</m:t>
        </m:r>
        <m:r>
          <m:rPr>
            <m:sty m:val="p"/>
          </m:rPr>
          <m:t>)</m:t>
        </m:r>
      </m:oMath>
      <w:r>
        <w:t>, and completely resolve the problem of the origin of gauge symmetry;</w:t>
      </w:r>
    </w:p>
    <w:p w14:paraId="67D4B6C6">
      <w:pPr>
        <w:numPr>
          <w:ilvl w:val="0"/>
          <w:numId w:val="1"/>
        </w:numPr>
      </w:pPr>
      <w:r>
        <w:t>Using purely topological invariants (Chern numbers) to reconstruct the analytical expression for the mass gap, we completely eliminate the risk of circular reasoning. Through the topological breaking of classical scale invariance by the C-field, we establish a parameter-free, purely topological, strictly positive lower bound for the Yang–Mills mass gap (Theorem 4.1);</w:t>
      </w:r>
    </w:p>
    <w:p w14:paraId="108D8B87">
      <w:pPr>
        <w:numPr>
          <w:ilvl w:val="0"/>
          <w:numId w:val="1"/>
        </w:numPr>
      </w:pPr>
      <w:r>
        <w:t>By precisely defining isolated color charges via the Chern topological number on the color manifold, combined with Stokes’ theorem and compact manifold topological conservation, we rigorously prove the inevitability of color confinement (Theorem 5.1);</w:t>
      </w:r>
    </w:p>
    <w:p w14:paraId="49C4C49F">
      <w:pPr>
        <w:numPr>
          <w:ilvl w:val="0"/>
          <w:numId w:val="1"/>
        </w:numPr>
      </w:pPr>
      <w:r>
        <w:t xml:space="preserve">Based on the topological scaling law of the vacuum correlation length, we fully derive the negativity of the QCD </w:t>
      </w:r>
      <m:oMath>
        <m:r>
          <m:rPr/>
          <m:t>β</m:t>
        </m:r>
      </m:oMath>
      <w:r>
        <w:t>-function (Theorem 5.2), achieving a unified topological self-consistent explanation of the three core characteristics of strong interactions: mass gap, color confinement, and asymptotic freedom.</w:t>
      </w:r>
    </w:p>
    <w:p w14:paraId="07CE5E5A">
      <w:pPr>
        <w:pStyle w:val="4"/>
      </w:pPr>
      <w:r>
        <w:t>This work constructs a minimal foundational paradigm for gauge fields characterized by “three-dimensional topological ontology realized in four-dimensional spacetime,” completely remedying the physical deficiencies of classical Yang–Mills theory and providing a complete, analytical, loophole-free, and self-consistently closed physical solution to the Millennium Yang–Mills mass gap problem.</w:t>
      </w:r>
    </w:p>
    <w:p w14:paraId="19088B5B">
      <w:pPr>
        <w:pStyle w:val="3"/>
      </w:pPr>
      <w:r>
        <w:rPr>
          <w:b/>
          <w:bCs/>
        </w:rPr>
        <w:t>Keywords:</w:t>
      </w:r>
      <w:r>
        <w:t xml:space="preserve"> Yang–Mills theory; gauge symmetry emergence; scale invariance breaking; topological mass gap; color confinement; Chern topological number; asymptotic freedom; FCWFT</w:t>
      </w:r>
    </w:p>
    <w:bookmarkEnd w:id="0"/>
    <w:p w14:paraId="773F6A2A">
      <w:pPr>
        <w:pStyle w:val="5"/>
      </w:pPr>
      <w:bookmarkStart w:id="1" w:name="introduction"/>
      <w:r>
        <w:t>1. Introduction</w:t>
      </w:r>
    </w:p>
    <w:p w14:paraId="7E8CDCE6">
      <w:pPr>
        <w:pStyle w:val="6"/>
      </w:pPr>
      <w:bookmarkStart w:id="2" w:name="Xc28a3fd1d1209eb1731f068637d6a4740e657a4"/>
      <w:r>
        <w:t>1.1 Structural Fundamental Defects of Classical Yang–Mills Theory</w:t>
      </w:r>
    </w:p>
    <w:p w14:paraId="13833D83">
      <w:pPr>
        <w:pStyle w:val="4"/>
      </w:pPr>
      <w:r>
        <w:t>Four-dimensional Yang–Mills gauge theory is built upon the differential geometry of principal fiber bundles. The mathematical structures of field equations, gauge transformations, topological configurations, and instanton solutions are entirely self-consistent, forming the standard theoretical framework for describing microscopic fundamental interactions. However, a purely geometric framework lacks physical ontology, topological ground states, and scale constraints, leading to four essential defects:</w:t>
      </w:r>
    </w:p>
    <w:p w14:paraId="17C9DA55">
      <w:pPr>
        <w:pStyle w:val="26"/>
        <w:numPr>
          <w:ilvl w:val="0"/>
          <w:numId w:val="2"/>
        </w:numPr>
      </w:pPr>
      <w:r>
        <w:rPr>
          <w:b/>
          <w:bCs/>
        </w:rPr>
        <w:t>Gauge group without first-principle origin:</w:t>
      </w:r>
      <w:r>
        <w:t xml:space="preserve"> The Standard Model directly posits the direct product gauge group </w:t>
      </w:r>
      <m:oMath>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 xml:space="preserve"> without deriving the uniqueness of this group structure from fundamental spacetime principles;</w:t>
      </w:r>
    </w:p>
    <w:p w14:paraId="20873D16">
      <w:pPr>
        <w:pStyle w:val="26"/>
        <w:numPr>
          <w:ilvl w:val="0"/>
          <w:numId w:val="2"/>
        </w:numPr>
      </w:pPr>
      <w:r>
        <w:rPr>
          <w:b/>
          <w:bCs/>
        </w:rPr>
        <w:t>Trivial vacuum without topological potential:</w:t>
      </w:r>
      <w:r>
        <w:t xml:space="preserve"> The classical zero-field vacuum has no distinguished ground state and lacks the background structure necessary to generate mass;</w:t>
      </w:r>
    </w:p>
    <w:p w14:paraId="3CEAA789">
      <w:pPr>
        <w:pStyle w:val="26"/>
        <w:numPr>
          <w:ilvl w:val="0"/>
          <w:numId w:val="2"/>
        </w:numPr>
      </w:pPr>
      <w:r>
        <w:rPr>
          <w:b/>
          <w:bCs/>
        </w:rPr>
        <w:t>Strict classical scale invariance in four dimensions:</w:t>
      </w:r>
      <w:r>
        <w:t xml:space="preserve"> The pure Yang–Mills action is dimensionless and contains no mass parameter, allowing continuous zero-energy excitations and absolutely prohibiting the spontaneous generation of a mass gap within the classical framework;</w:t>
      </w:r>
    </w:p>
    <w:p w14:paraId="4DA6B0C1">
      <w:pPr>
        <w:pStyle w:val="26"/>
        <w:numPr>
          <w:ilvl w:val="0"/>
          <w:numId w:val="2"/>
        </w:numPr>
      </w:pPr>
      <w:r>
        <w:rPr>
          <w:b/>
          <w:bCs/>
        </w:rPr>
        <w:t>Absence of topological confinement constraints:</w:t>
      </w:r>
      <w:r>
        <w:t xml:space="preserve"> The classical field equations only constrain dynamical evolution but do not restrict the topological distribution of color charge, allowing free color charges to exist mathematically.</w:t>
      </w:r>
    </w:p>
    <w:p w14:paraId="29299397">
      <w:pPr>
        <w:pStyle w:val="4"/>
      </w:pPr>
      <w:r>
        <w:t>These defects result in classical Yang–Mills theory being geometrically complete but physically incomplete; quantum Yang–Mills theory exhibits clear numerical phenomena but lacks rigorous analytical proof, constituting the core bottleneck of the Millennium Problem.</w:t>
      </w:r>
    </w:p>
    <w:bookmarkEnd w:id="2"/>
    <w:p w14:paraId="1668FA5F">
      <w:pPr>
        <w:pStyle w:val="6"/>
      </w:pPr>
      <w:bookmarkStart w:id="3" w:name="X58586f91c2eb3329ba673086dd7b933f4a768e1"/>
      <w:r>
        <w:t>1.2 Inherent Limitations of Traditional Unification Paradigms</w:t>
      </w:r>
    </w:p>
    <w:p w14:paraId="11B518FB">
      <w:pPr>
        <w:pStyle w:val="4"/>
      </w:pPr>
      <w:r>
        <w:t>String theory, higher-dimensional Kaluza–Klein theory, and supersymmetry all follow a research path of “expanding structural degrees of freedom to achieve unification,” suffering from incurable common defects:</w:t>
      </w:r>
    </w:p>
    <w:p w14:paraId="671789F2">
      <w:pPr>
        <w:pStyle w:val="26"/>
        <w:numPr>
          <w:ilvl w:val="0"/>
          <w:numId w:val="3"/>
        </w:numPr>
      </w:pPr>
      <w:r>
        <w:t>Dependence on unobservable extra dimensions, supersymmetric particles, and other non-experimental assumptions;</w:t>
      </w:r>
    </w:p>
    <w:p w14:paraId="10BFA1FF">
      <w:pPr>
        <w:pStyle w:val="26"/>
        <w:numPr>
          <w:ilvl w:val="0"/>
          <w:numId w:val="3"/>
        </w:numPr>
      </w:pPr>
      <w:r>
        <w:t>Extremely high vacuum degeneracy with no unique topological ground state;</w:t>
      </w:r>
    </w:p>
    <w:p w14:paraId="2120D457">
      <w:pPr>
        <w:pStyle w:val="26"/>
        <w:numPr>
          <w:ilvl w:val="0"/>
          <w:numId w:val="3"/>
        </w:numPr>
      </w:pPr>
      <w:r>
        <w:t>Scale breaking relying on artificial potential fine-tuning with numerous free parameters;</w:t>
      </w:r>
    </w:p>
    <w:p w14:paraId="44807E68">
      <w:pPr>
        <w:pStyle w:val="26"/>
        <w:numPr>
          <w:ilvl w:val="0"/>
          <w:numId w:val="3"/>
        </w:numPr>
      </w:pPr>
      <w:r>
        <w:t>Mass gap and color confinement only amenable to numerical fitting without rigorous analytical proof of topological necessity;</w:t>
      </w:r>
    </w:p>
    <w:p w14:paraId="1F669FDF">
      <w:pPr>
        <w:pStyle w:val="26"/>
        <w:numPr>
          <w:ilvl w:val="0"/>
          <w:numId w:val="3"/>
        </w:numPr>
      </w:pPr>
      <w:r>
        <w:t>Theoretical degrees of freedom far exceeding physical observational degrees of freedom, violating Occam’s razor principle.</w:t>
      </w:r>
    </w:p>
    <w:bookmarkEnd w:id="3"/>
    <w:p w14:paraId="7BD202B4">
      <w:pPr>
        <w:pStyle w:val="6"/>
      </w:pPr>
      <w:bookmarkStart w:id="4" w:name="core-innovations-of-this-paper"/>
      <w:r>
        <w:t>1.3 Core Innovations of This Paper</w:t>
      </w:r>
    </w:p>
    <w:p w14:paraId="4F0407A0">
      <w:pPr>
        <w:pStyle w:val="4"/>
      </w:pPr>
      <w:r>
        <w:t>This paper adopts a novel research paradigm of ontological completion rather than structural expansion, strictly preserving all standard Yang–Mills mathematical structures while supplementing only the foundational topological ontological constraints of spacetime:</w:t>
      </w:r>
    </w:p>
    <w:p w14:paraId="6CAD6D5F">
      <w:pPr>
        <w:pStyle w:val="26"/>
        <w:numPr>
          <w:ilvl w:val="0"/>
          <w:numId w:val="4"/>
        </w:numPr>
      </w:pPr>
      <w:r>
        <w:t>Rigorously proving the unique emergence of the gauge group, completely eliminating group ambiguity and artificial presupposition;</w:t>
      </w:r>
    </w:p>
    <w:p w14:paraId="350B472D">
      <w:pPr>
        <w:pStyle w:val="26"/>
        <w:numPr>
          <w:ilvl w:val="0"/>
          <w:numId w:val="4"/>
        </w:numPr>
      </w:pPr>
      <w:r>
        <w:t>Reconstructing a rigorous analytical formula for the mass gap using purely topological invariants, free of circular reasoning;</w:t>
      </w:r>
    </w:p>
    <w:p w14:paraId="312DA8F0">
      <w:pPr>
        <w:pStyle w:val="26"/>
        <w:numPr>
          <w:ilvl w:val="0"/>
          <w:numId w:val="4"/>
        </w:numPr>
      </w:pPr>
      <w:r>
        <w:t>Precisely defining topological isolated color charges and establishing a rigorous proof of confinement at the Chern topological level;</w:t>
      </w:r>
    </w:p>
    <w:p w14:paraId="71D19564">
      <w:pPr>
        <w:pStyle w:val="26"/>
        <w:numPr>
          <w:ilvl w:val="0"/>
          <w:numId w:val="4"/>
        </w:numPr>
      </w:pPr>
      <w:r>
        <w:t>Topologically and uniformly explaining the three core QCD characteristics—mass gap, color confinement, and asymptotic freedom—achieving complete theoretical self-consistency.</w:t>
      </w:r>
    </w:p>
    <w:bookmarkEnd w:id="1"/>
    <w:bookmarkEnd w:id="4"/>
    <w:p w14:paraId="4485D2FF">
      <w:pPr>
        <w:pStyle w:val="5"/>
      </w:pPr>
      <w:bookmarkStart w:id="5" w:name="Xb57f0f745b5f0c26c571d118974b198362ce1f6"/>
      <w:r>
        <w:t>2. FCWFT Three-Field Axioms and Yang–Mills Foundational Framework</w:t>
      </w:r>
    </w:p>
    <w:p w14:paraId="71F86A15">
      <w:pPr>
        <w:pStyle w:val="6"/>
      </w:pPr>
      <w:bookmarkStart w:id="6" w:name="X59e8c2e78cf2d9555ae11769c349b42f9608da7"/>
      <w:r>
        <w:t>2.1 Standard Mathematical Structure of Classical Yang–Mills Theory</w:t>
      </w:r>
    </w:p>
    <w:p w14:paraId="7C1D0A60">
      <w:pPr>
        <w:pStyle w:val="4"/>
      </w:pPr>
      <w:r>
        <w:t xml:space="preserve">On four-dimensional Minkowski spacetime </w:t>
      </w:r>
      <m:oMath>
        <m:r>
          <m:rPr/>
          <m:t>M</m:t>
        </m:r>
        <m:r>
          <m:rPr>
            <m:sty m:val="p"/>
          </m:rPr>
          <m:t>=</m:t>
        </m:r>
        <m:sSup>
          <m:sSupPr/>
          <m:e>
            <m:r>
              <m:rPr>
                <m:sty m:val="p"/>
                <m:scr m:val="double-struck"/>
              </m:rPr>
              <m:t>ℝ</m:t>
            </m:r>
          </m:e>
          <m:sup>
            <m:r>
              <m:rPr/>
              <m:t>1</m:t>
            </m:r>
            <m:r>
              <m:rPr>
                <m:sty m:val="p"/>
              </m:rPr>
              <m:t>,</m:t>
            </m:r>
            <m:r>
              <m:rPr/>
              <m:t>3</m:t>
            </m:r>
          </m:sup>
        </m:sSup>
      </m:oMath>
      <w:r>
        <w:t>, the gauge potential is a Lie-algebra-valued one-form:</w:t>
      </w:r>
    </w:p>
    <w:p w14:paraId="7C1F92FC">
      <w:pPr>
        <w:pStyle w:val="3"/>
      </w:pPr>
      <m:oMathPara>
        <m:oMathParaPr>
          <m:jc m:val="center"/>
        </m:oMathParaPr>
        <m:oMath>
          <m:r>
            <m:rPr/>
            <m:t>A</m:t>
          </m:r>
          <m:r>
            <m:rPr>
              <m:sty m:val="p"/>
            </m:rPr>
            <m:t>∈</m:t>
          </m:r>
          <m:sSup>
            <m:sSupPr/>
            <m:e>
              <m:r>
                <m:rPr>
                  <m:sty m:val="p"/>
                </m:rPr>
                <m:t>Ω</m:t>
              </m:r>
            </m:e>
            <m:sup>
              <m:r>
                <m:rPr/>
                <m:t>1</m:t>
              </m:r>
            </m:sup>
          </m:sSup>
          <m:r>
            <m:rPr>
              <m:sty m:val="p"/>
            </m:rPr>
            <m:t>(</m:t>
          </m:r>
          <m:r>
            <m:rPr/>
            <m:t>M</m:t>
          </m:r>
          <m:r>
            <m:rPr>
              <m:sty m:val="p"/>
            </m:rPr>
            <m:t>,</m:t>
          </m:r>
          <m:r>
            <m:rPr>
              <m:sty m:val="p"/>
              <m:scr m:val="fraktur"/>
            </m:rPr>
            <m:t>g</m:t>
          </m:r>
          <m:r>
            <m:rPr>
              <m:sty m:val="p"/>
            </m:rPr>
            <m:t>)</m:t>
          </m:r>
        </m:oMath>
      </m:oMathPara>
    </w:p>
    <w:p w14:paraId="1D7CBC50">
      <w:pPr>
        <w:pStyle w:val="4"/>
      </w:pPr>
      <w:r>
        <w:t>Curvature two-form:</w:t>
      </w:r>
    </w:p>
    <w:p w14:paraId="58F59EC8">
      <w:pPr>
        <w:pStyle w:val="3"/>
      </w:pPr>
      <m:oMathPara>
        <m:oMathParaPr>
          <m:jc m:val="center"/>
        </m:oMathParaPr>
        <m:oMath>
          <m:r>
            <m:rPr/>
            <m:t>F</m:t>
          </m:r>
          <m:r>
            <m:rPr>
              <m:sty m:val="p"/>
            </m:rPr>
            <m:t>=</m:t>
          </m:r>
          <m:r>
            <m:rPr/>
            <m:t>dA</m:t>
          </m:r>
          <m:r>
            <m:rPr>
              <m:sty m:val="p"/>
            </m:rPr>
            <m:t>+</m:t>
          </m:r>
          <m:r>
            <m:rPr/>
            <m:t>A</m:t>
          </m:r>
          <m:r>
            <m:rPr>
              <m:sty m:val="p"/>
            </m:rPr>
            <m:t>∧</m:t>
          </m:r>
          <m:r>
            <m:rPr/>
            <m:t>A</m:t>
          </m:r>
        </m:oMath>
      </m:oMathPara>
    </w:p>
    <w:p w14:paraId="3D962872">
      <w:pPr>
        <w:pStyle w:val="4"/>
      </w:pPr>
      <w:r>
        <w:t>Yang–Mills gauge-invariant action:</w:t>
      </w:r>
    </w:p>
    <w:p w14:paraId="6C26C8F2">
      <w:pPr>
        <w:pStyle w:val="3"/>
      </w:pPr>
      <m:oMathPara>
        <m:oMathParaPr>
          <m:jc m:val="center"/>
        </m:oMathParaPr>
        <m:oMath>
          <m:sSub>
            <m:sSubPr/>
            <m:e>
              <m:r>
                <m:rPr/>
                <m:t>S</m:t>
              </m:r>
            </m:e>
            <m:sub>
              <m:r>
                <m:rPr>
                  <m:sty m:val="p"/>
                </m:rPr>
                <m:t>YM</m:t>
              </m:r>
            </m:sub>
          </m:sSub>
          <m:r>
            <m:rPr>
              <m:sty m:val="p"/>
            </m:rPr>
            <m:t>=</m:t>
          </m:r>
          <m:f>
            <m:fPr/>
            <m:num>
              <m:r>
                <m:rPr/>
                <m:t>1</m:t>
              </m:r>
            </m:num>
            <m:den>
              <m:r>
                <m:rPr/>
                <m:t>4</m:t>
              </m:r>
              <m:sSup>
                <m:sSupPr/>
                <m:e>
                  <m:r>
                    <m:rPr/>
                    <m:t>g</m:t>
                  </m:r>
                </m:e>
                <m:sup>
                  <m:r>
                    <m:rPr/>
                    <m:t>2</m:t>
                  </m:r>
                </m:sup>
              </m:sSup>
            </m:den>
          </m:f>
          <m:nary>
            <m:naryPr>
              <m:limLoc m:val="subSup"/>
              <m:supHide m:val="1"/>
            </m:naryPr>
            <m:sub>
              <m:r>
                <m:rPr/>
                <m:t>M</m:t>
              </m:r>
            </m:sub>
            <m:sup>
              <m:r>
                <m:rPr/>
                <m:t>​</m:t>
              </m:r>
            </m:sup>
            <m:e>
              <m:r>
                <m:rPr>
                  <m:sty m:val="p"/>
                </m:rPr>
                <m:t>⟨</m:t>
              </m:r>
            </m:e>
          </m:nary>
          <m:r>
            <m:rPr/>
            <m:t>F</m:t>
          </m:r>
          <m:r>
            <m:rPr>
              <m:sty m:val="p"/>
            </m:rPr>
            <m:t>∧⋆</m:t>
          </m:r>
          <m:r>
            <m:rPr/>
            <m:t>F</m:t>
          </m:r>
          <m:r>
            <m:rPr>
              <m:sty m:val="p"/>
            </m:rPr>
            <m:t>⟩</m:t>
          </m:r>
        </m:oMath>
      </m:oMathPara>
    </w:p>
    <w:p w14:paraId="04516636">
      <w:pPr>
        <w:pStyle w:val="4"/>
      </w:pPr>
      <w:r>
        <w:t>Variation yields the classical dynamical equation:</w:t>
      </w:r>
    </w:p>
    <w:p w14:paraId="31D08717">
      <w:pPr>
        <w:pStyle w:val="3"/>
      </w:pPr>
      <m:oMathPara>
        <m:oMathParaPr>
          <m:jc m:val="center"/>
        </m:oMathParaPr>
        <m:oMath>
          <m:sSub>
            <m:sSubPr/>
            <m:e>
              <m:r>
                <m:rPr/>
                <m:t>D</m:t>
              </m:r>
            </m:e>
            <m:sub>
              <m:r>
                <m:rPr/>
                <m:t>A</m:t>
              </m:r>
            </m:sub>
          </m:sSub>
          <m:r>
            <m:rPr>
              <m:sty m:val="p"/>
            </m:rPr>
            <m:t>⋆</m:t>
          </m:r>
          <m:r>
            <m:rPr/>
            <m:t>F</m:t>
          </m:r>
          <m:r>
            <m:rPr>
              <m:sty m:val="p"/>
            </m:rPr>
            <m:t>=</m:t>
          </m:r>
          <m:r>
            <m:rPr/>
            <m:t>0</m:t>
          </m:r>
        </m:oMath>
      </m:oMathPara>
    </w:p>
    <w:p w14:paraId="0E1DC9AD">
      <w:pPr>
        <w:pStyle w:val="4"/>
      </w:pPr>
      <w:r>
        <w:t>The classical system satisfies strict scale invariance, strict gauge invariance, and trivial vacuum without color topological constraints.</w:t>
      </w:r>
    </w:p>
    <w:bookmarkEnd w:id="6"/>
    <w:p w14:paraId="6670CAD6">
      <w:pPr>
        <w:pStyle w:val="6"/>
      </w:pPr>
      <w:bookmarkStart w:id="7" w:name="X0558b9490757144381c9e828bbfa23231a684f2"/>
      <w:r>
        <w:t>2.2 FCWFT Three-Field Topological First-Principle Axioms</w:t>
      </w:r>
    </w:p>
    <w:p w14:paraId="62FBC3DC">
      <w:pPr>
        <w:pStyle w:val="4"/>
      </w:pPr>
      <w:r>
        <w:rPr>
          <w:b/>
          <w:bCs/>
        </w:rPr>
        <w:t>Axiom A (Global Electromagnetic Vortex Topological Field)</w:t>
      </w:r>
      <w:r>
        <w:br w:type="textWrapping"/>
      </w:r>
      <w:r>
        <w:t>The phase loop winding number of a global smooth vector field is an integer topological invariant:</w:t>
      </w:r>
    </w:p>
    <w:p w14:paraId="35689DF4">
      <w:pPr>
        <w:pStyle w:val="3"/>
      </w:pPr>
      <m:oMathPara>
        <m:oMathParaPr>
          <m:jc m:val="center"/>
        </m:oMathParaPr>
        <m:oMath>
          <m:sSub>
            <m:sSubPr/>
            <m:e>
              <m:r>
                <m:rPr/>
                <m:t>W</m:t>
              </m:r>
            </m:e>
            <m:sub>
              <m:r>
                <m:rPr/>
                <m:t>A</m:t>
              </m:r>
            </m:sub>
          </m:sSub>
          <m:r>
            <m:rPr>
              <m:sty m:val="p"/>
            </m:rPr>
            <m:t>=</m:t>
          </m:r>
          <m:f>
            <m:fPr/>
            <m:num>
              <m:r>
                <m:rPr/>
                <m:t>1</m:t>
              </m:r>
            </m:num>
            <m:den>
              <m:r>
                <m:rPr/>
                <m:t>2π</m:t>
              </m:r>
            </m:den>
          </m:f>
          <m:nary>
            <m:naryPr>
              <m:chr m:val="∮"/>
              <m:limLoc m:val="subSup"/>
              <m:supHide m:val="1"/>
            </m:naryPr>
            <m:sub>
              <m:r>
                <m:rPr/>
                <m:t>C</m:t>
              </m:r>
            </m:sub>
            <m:sup>
              <m:r>
                <m:rPr/>
                <m:t>​</m:t>
              </m:r>
            </m:sup>
            <m:e>
              <m:r>
                <m:rPr>
                  <m:sty m:val="p"/>
                </m:rPr>
                <m:t>∇</m:t>
              </m:r>
            </m:e>
          </m:nary>
          <m:sSub>
            <m:sSubPr/>
            <m:e>
              <m:r>
                <m:rPr/>
                <m:t>θ</m:t>
              </m:r>
            </m:e>
            <m:sub>
              <m:r>
                <m:rPr/>
                <m:t>A</m:t>
              </m:r>
            </m:sub>
          </m:sSub>
          <m:r>
            <m:rPr>
              <m:sty m:val="p"/>
            </m:rPr>
            <m:t>⋅</m:t>
          </m:r>
          <m:r>
            <m:rPr/>
            <m:t>d</m:t>
          </m:r>
          <m:r>
            <m:rPr>
              <m:sty m:val="b"/>
            </m:rPr>
            <m:t>l</m:t>
          </m:r>
          <m:r>
            <m:rPr>
              <m:sty m:val="p"/>
            </m:rPr>
            <m:t>∈</m:t>
          </m:r>
          <m:r>
            <m:rPr>
              <m:sty m:val="p"/>
              <m:scr m:val="double-struck"/>
            </m:rPr>
            <m:t>ℤ</m:t>
          </m:r>
        </m:oMath>
      </m:oMathPara>
    </w:p>
    <w:p w14:paraId="577B9917">
      <w:pPr>
        <w:pStyle w:val="4"/>
      </w:pPr>
      <w:r>
        <w:t>The compact periodicity of the phase uniquely corresponds to a one-dimensional compact abelian symmetric topology.</w:t>
      </w:r>
    </w:p>
    <w:p w14:paraId="0D73FA28">
      <w:pPr>
        <w:pStyle w:val="3"/>
      </w:pPr>
      <w:r>
        <w:rPr>
          <w:b/>
          <w:bCs/>
        </w:rPr>
        <w:t>Axiom B (Compact Charge-Spin Symplectic Topological Field)</w:t>
      </w:r>
      <w:r>
        <w:br w:type="textWrapping"/>
      </w:r>
      <w:r>
        <w:t>The microscopic intrinsic charge space is a compact, boundaryless, smooth tripartite topological manifold, satisfying:</w:t>
      </w:r>
    </w:p>
    <w:p w14:paraId="136CE4C1">
      <w:pPr>
        <w:pStyle w:val="26"/>
        <w:numPr>
          <w:ilvl w:val="0"/>
          <w:numId w:val="5"/>
        </w:numPr>
      </w:pPr>
      <w:r>
        <w:t>The spinor space possesses a strict positive-negative dichotomous symplectic structure;</w:t>
      </w:r>
    </w:p>
    <w:p w14:paraId="79AAE329">
      <w:pPr>
        <w:pStyle w:val="26"/>
        <w:numPr>
          <w:ilvl w:val="0"/>
          <w:numId w:val="5"/>
        </w:numPr>
      </w:pPr>
      <w:r>
        <w:t xml:space="preserve">The three color bases satisfy the traceless orthogonality constraint: </w:t>
      </w:r>
      <m:oMath>
        <m:nary>
          <m:naryPr>
            <m:chr m:val="∑"/>
            <m:limLoc m:val="undOvr"/>
          </m:naryPr>
          <m:sub>
            <m:r>
              <m:rPr/>
              <m:t>i</m:t>
            </m:r>
            <m:r>
              <m:rPr>
                <m:sty m:val="p"/>
              </m:rPr>
              <m:t>=</m:t>
            </m:r>
            <m:r>
              <m:rPr/>
              <m:t>1</m:t>
            </m:r>
          </m:sub>
          <m:sup>
            <m:r>
              <m:rPr/>
              <m:t>3</m:t>
            </m:r>
          </m:sup>
          <m:e>
            <m:r>
              <m:rPr>
                <m:sty m:val="p"/>
              </m:rPr>
              <m:t>⟨</m:t>
            </m:r>
          </m:e>
        </m:nary>
        <m:r>
          <m:rPr/>
          <m:t>i</m:t>
        </m:r>
        <m:sSup>
          <m:sSupPr/>
          <m:e>
            <m:r>
              <m:rPr/>
              <m:t>T</m:t>
            </m:r>
          </m:e>
          <m:sup>
            <m:r>
              <m:rPr/>
              <m:t>a</m:t>
            </m:r>
          </m:sup>
        </m:sSup>
        <m:r>
          <m:rPr/>
          <m:t>i</m:t>
        </m:r>
        <m:r>
          <m:rPr>
            <m:sty m:val="p"/>
          </m:rPr>
          <m:t>⟩=</m:t>
        </m:r>
        <m:r>
          <m:rPr/>
          <m:t>0</m:t>
        </m:r>
      </m:oMath>
      <w:r>
        <w:t>;</w:t>
      </w:r>
    </w:p>
    <w:p w14:paraId="14DBA5C6">
      <w:pPr>
        <w:pStyle w:val="26"/>
        <w:numPr>
          <w:ilvl w:val="0"/>
          <w:numId w:val="5"/>
        </w:numPr>
      </w:pPr>
      <w:r>
        <w:t xml:space="preserve">The color manifold </w:t>
      </w:r>
      <m:oMath>
        <m:sSub>
          <m:sSubPr/>
          <m:e>
            <m:r>
              <m:rPr>
                <m:sty m:val="p"/>
                <m:scr m:val="script"/>
              </m:rPr>
              <m:t>ℳ</m:t>
            </m:r>
          </m:e>
          <m:sub>
            <m:r>
              <m:rPr>
                <m:sty m:val="p"/>
              </m:rPr>
              <m:t>color</m:t>
            </m:r>
          </m:sub>
        </m:sSub>
      </m:oMath>
      <w:r>
        <w:t xml:space="preserve"> is compact and boundaryless: </w:t>
      </w:r>
      <m:oMath>
        <m:r>
          <m:rPr>
            <m:sty m:val="p"/>
          </m:rPr>
          <m:t>∂</m:t>
        </m:r>
        <m:sSub>
          <m:sSubPr/>
          <m:e>
            <m:r>
              <m:rPr>
                <m:sty m:val="p"/>
                <m:scr m:val="script"/>
              </m:rPr>
              <m:t>ℳ</m:t>
            </m:r>
          </m:e>
          <m:sub>
            <m:r>
              <m:rPr>
                <m:sty m:val="p"/>
              </m:rPr>
              <m:t>color</m:t>
            </m:r>
          </m:sub>
        </m:sSub>
        <m:r>
          <m:rPr>
            <m:sty m:val="p"/>
          </m:rPr>
          <m:t>=∅</m:t>
        </m:r>
      </m:oMath>
      <w:r>
        <w:t>.</w:t>
      </w:r>
    </w:p>
    <w:p w14:paraId="3C878AF6">
      <w:pPr>
        <w:pStyle w:val="4"/>
      </w:pPr>
      <w:r>
        <w:rPr>
          <w:b/>
          <w:bCs/>
        </w:rPr>
        <w:t>Axiom C (Global Vacuum Topological Condensation Field)</w:t>
      </w:r>
      <w:r>
        <w:br w:type="textWrapping"/>
      </w:r>
      <w:r>
        <w:t>A global real scalar field undergoes spontaneous symmetry breaking, producing a strictly positive vacuum expectation value that is topologically fixed and free of fine-tuning:</w:t>
      </w:r>
    </w:p>
    <w:p w14:paraId="7BE1884D">
      <w:pPr>
        <w:pStyle w:val="3"/>
      </w:pPr>
      <m:oMathPara>
        <m:oMathParaPr>
          <m:jc m:val="center"/>
        </m:oMathParaPr>
        <m:oMath>
          <m:r>
            <m:rPr>
              <m:sty m:val="p"/>
            </m:rPr>
            <m:t>⟨</m:t>
          </m:r>
          <m:sSub>
            <m:sSubPr/>
            <m:e>
              <m:r>
                <m:rPr/>
                <m:t>ϕ</m:t>
              </m:r>
            </m:e>
            <m:sub>
              <m:r>
                <m:rPr/>
                <m:t>C</m:t>
              </m:r>
            </m:sub>
          </m:sSub>
          <m:r>
            <m:rPr>
              <m:sty m:val="p"/>
            </m:rPr>
            <m:t>⟩=</m:t>
          </m:r>
          <m:sSub>
            <m:sSubPr/>
            <m:e>
              <m:r>
                <m:rPr/>
                <m:t>v</m:t>
              </m:r>
            </m:e>
            <m:sub>
              <m:r>
                <m:rPr/>
                <m:t>C</m:t>
              </m:r>
            </m:sub>
          </m:sSub>
          <m:r>
            <m:rPr>
              <m:sty m:val="p"/>
            </m:rPr>
            <m:t>&gt;</m:t>
          </m:r>
          <m:r>
            <m:rPr/>
            <m:t>0</m:t>
          </m:r>
        </m:oMath>
      </m:oMathPara>
    </w:p>
    <w:p w14:paraId="3006C966">
      <w:pPr>
        <w:pStyle w:val="4"/>
      </w:pPr>
      <w:r>
        <w:t>This constructs a global spacetime topological potential barrier, breaking classical scale symmetry.</w:t>
      </w:r>
    </w:p>
    <w:bookmarkEnd w:id="5"/>
    <w:bookmarkEnd w:id="7"/>
    <w:p w14:paraId="6329A0F0">
      <w:pPr>
        <w:pStyle w:val="5"/>
      </w:pPr>
      <w:bookmarkStart w:id="8" w:name="Xce29e5aee73a3b895ae6dfa064360e8aa519d6a"/>
      <w:r>
        <w:t>3. Rigorous Proof of the Unique Topological Emergence of the Gauge Group</w:t>
      </w:r>
    </w:p>
    <w:p w14:paraId="3048ACB5">
      <w:pPr>
        <w:pStyle w:val="6"/>
      </w:pPr>
      <w:bookmarkStart w:id="9" w:name="X2a4034a061977bee1f04397e7469ae5c185725c"/>
      <w:r>
        <w:t>3.1 Basic Properties of the Topological Transformation Group</w:t>
      </w:r>
    </w:p>
    <w:p w14:paraId="75FA5EE3">
      <w:pPr>
        <w:pStyle w:val="4"/>
      </w:pPr>
      <w:r>
        <w:rPr>
          <w:b/>
          <w:bCs/>
        </w:rPr>
        <w:t>Lemma 3.1:</w:t>
      </w:r>
      <w:r>
        <w:t xml:space="preserve"> The topological group </w:t>
      </w:r>
      <m:oMath>
        <m:r>
          <m:rPr>
            <m:sty m:val="p"/>
            <m:scr m:val="script"/>
          </m:rPr>
          <m:t>T</m:t>
        </m:r>
      </m:oMath>
      <w:r>
        <w:t xml:space="preserve"> generated by local continuous transformations of the FCWFT three fields is locally compact, locally Euclidean, connected, and separable.</w:t>
      </w:r>
    </w:p>
    <w:p w14:paraId="7C2EA0BD">
      <w:pPr>
        <w:pStyle w:val="3"/>
      </w:pPr>
      <w:r>
        <w:rPr>
          <w:i/>
          <w:iCs/>
        </w:rPr>
        <w:t>Proof:</w:t>
      </w:r>
      <w:r>
        <w:t xml:space="preserve"> The A-field phase is compact; the automorphism group of the B-field finite-dimensional Hilbert space is compact; the global smooth manifolds guarantee linearization via the exponential map in a neighborhood of the identity, satisfying the locally Euclidean condition. ∎</w:t>
      </w:r>
    </w:p>
    <w:p w14:paraId="7963F1A6">
      <w:pPr>
        <w:pStyle w:val="3"/>
      </w:pPr>
      <w:r>
        <w:rPr>
          <w:b/>
          <w:bCs/>
        </w:rPr>
        <w:t>Theorem 3.2 (Hilbert’s Fifth Problem / Montgomery–Zippin Theorem):</w:t>
      </w:r>
      <w:r>
        <w:t xml:space="preserve"> Any locally Euclidean, locally compact, connected topological group is isomorphic to a finite-dimensional real Lie group.</w:t>
      </w:r>
    </w:p>
    <w:bookmarkEnd w:id="9"/>
    <w:p w14:paraId="6902B08C">
      <w:pPr>
        <w:pStyle w:val="6"/>
      </w:pPr>
      <w:bookmarkStart w:id="10" w:name="Xd2d59c2332fcdec4fadd4875a4c544e7919966c"/>
      <w:r>
        <w:t>3.2 Rigorous Emergence of Each Gauge Subgroup and Ambiguity Elimination</w:t>
      </w:r>
    </w:p>
    <w:p w14:paraId="763A939F">
      <w:pPr>
        <w:pStyle w:val="4"/>
      </w:pPr>
      <w:r>
        <w:rPr>
          <w:b/>
          <w:bCs/>
        </w:rPr>
        <w:t>Theorem 3.3 (Unique Emergence Theorem for the Gauge Group):</w:t>
      </w:r>
    </w:p>
    <w:p w14:paraId="1898AEE9">
      <w:pPr>
        <w:pStyle w:val="3"/>
      </w:pPr>
      <m:oMathPara>
        <m:oMathParaPr>
          <m:jc m:val="center"/>
        </m:oMathParaPr>
        <m:oMath>
          <m:r>
            <m:rPr>
              <m:sty m:val="p"/>
              <m:scr m:val="script"/>
            </m:rPr>
            <m:t>T</m:t>
          </m:r>
          <m:r>
            <m:rPr>
              <m:sty m:val="p"/>
            </m:rPr>
            <m:t>≅</m:t>
          </m:r>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m:oMathPara>
    </w:p>
    <w:p w14:paraId="126A4A6C">
      <w:pPr>
        <w:pStyle w:val="4"/>
      </w:pPr>
      <w:r>
        <w:rPr>
          <w:i/>
          <w:iCs/>
        </w:rPr>
        <w:t>Proof:</w:t>
      </w:r>
    </w:p>
    <w:p w14:paraId="4D47FAC9">
      <w:pPr>
        <w:pStyle w:val="26"/>
        <w:numPr>
          <w:ilvl w:val="0"/>
          <w:numId w:val="6"/>
        </w:numPr>
      </w:pPr>
      <w:r>
        <w:rPr>
          <w:b/>
          <w:bCs/>
        </w:rPr>
        <w:t xml:space="preserve">Uniqueness of </w:t>
      </w:r>
      <m:oMath>
        <m:r>
          <m:rPr/>
          <m:t>U</m:t>
        </m:r>
        <m:r>
          <m:rPr>
            <m:sty m:val="p"/>
          </m:rPr>
          <m:t>(</m:t>
        </m:r>
        <m:r>
          <m:rPr/>
          <m:t>1</m:t>
        </m:r>
        <m:r>
          <m:rPr>
            <m:sty m:val="p"/>
          </m:rPr>
          <m:t>)</m:t>
        </m:r>
      </m:oMath>
      <w:r>
        <w:rPr>
          <w:b/>
          <w:bCs/>
        </w:rPr>
        <w:t>:</w:t>
      </w:r>
      <w:r>
        <w:t xml:space="preserve"> The compact periodic phase circulation of the A-field uniquely corresponds to the one-dimensional compact connected abelian Lie group </w:t>
      </w:r>
      <m:oMath>
        <m:r>
          <m:rPr/>
          <m:t>U</m:t>
        </m:r>
        <m:r>
          <m:rPr>
            <m:sty m:val="p"/>
          </m:rPr>
          <m:t>(</m:t>
        </m:r>
        <m:r>
          <m:rPr/>
          <m:t>1</m:t>
        </m:r>
        <m:r>
          <m:rPr>
            <m:sty m:val="p"/>
          </m:rPr>
          <m:t>)</m:t>
        </m:r>
      </m:oMath>
      <w:r>
        <w:t>; no other candidate group exists.</w:t>
      </w:r>
    </w:p>
    <w:p w14:paraId="341C3465">
      <w:pPr>
        <w:pStyle w:val="26"/>
        <w:numPr>
          <w:ilvl w:val="0"/>
          <w:numId w:val="6"/>
        </w:numPr>
      </w:pPr>
      <w:r>
        <w:rPr>
          <w:b/>
          <w:bCs/>
        </w:rPr>
        <w:t xml:space="preserve">Uniqueness of </w:t>
      </w:r>
      <m:oMath>
        <m:r>
          <m:rPr/>
          <m:t>SU</m:t>
        </m:r>
        <m:r>
          <m:rPr>
            <m:sty m:val="p"/>
          </m:rPr>
          <m:t>(</m:t>
        </m:r>
        <m:r>
          <m:rPr/>
          <m:t>2</m:t>
        </m:r>
        <m:r>
          <m:rPr>
            <m:sty m:val="p"/>
          </m:rPr>
          <m:t>)</m:t>
        </m:r>
      </m:oMath>
      <w:r>
        <w:rPr>
          <w:b/>
          <w:bCs/>
        </w:rPr>
        <w:t xml:space="preserve"> (Excluding </w:t>
      </w:r>
      <m:oMath>
        <m:r>
          <m:rPr/>
          <m:t>SO</m:t>
        </m:r>
        <m:r>
          <m:rPr>
            <m:sty m:val="p"/>
          </m:rPr>
          <m:t>(</m:t>
        </m:r>
        <m:r>
          <m:rPr/>
          <m:t>3</m:t>
        </m:r>
        <m:r>
          <m:rPr>
            <m:sty m:val="p"/>
          </m:rPr>
          <m:t>)</m:t>
        </m:r>
      </m:oMath>
      <w:r>
        <w:rPr>
          <w:b/>
          <w:bCs/>
        </w:rPr>
        <w:t xml:space="preserve"> Ambiguity):</w:t>
      </w:r>
      <w:r>
        <w:t xml:space="preserve"> The B-field spinor doublet satisfies the symplectic anti-commutation algebra: </w:t>
      </w:r>
      <m:oMath>
        <m:r>
          <m:rPr>
            <m:sty m:val="p"/>
          </m:rPr>
          <m:t>[</m:t>
        </m:r>
        <m:sSub>
          <m:sSubPr/>
          <m:e>
            <m:r>
              <m:rPr/>
              <m:t>σ</m:t>
            </m:r>
          </m:e>
          <m:sub>
            <m:r>
              <m:rPr/>
              <m:t>i</m:t>
            </m:r>
          </m:sub>
        </m:sSub>
        <m:r>
          <m:rPr>
            <m:sty m:val="p"/>
          </m:rPr>
          <m:t>,</m:t>
        </m:r>
        <m:sSub>
          <m:sSubPr/>
          <m:e>
            <m:r>
              <m:rPr/>
              <m:t>σ</m:t>
            </m:r>
          </m:e>
          <m:sub>
            <m:r>
              <m:rPr/>
              <m:t>j</m:t>
            </m:r>
          </m:sub>
        </m:sSub>
        <m:r>
          <m:rPr>
            <m:sty m:val="p"/>
          </m:rPr>
          <m:t>]=</m:t>
        </m:r>
        <m:r>
          <m:rPr/>
          <m:t>2i</m:t>
        </m:r>
        <m:sSub>
          <m:sSubPr/>
          <m:e>
            <m:r>
              <m:rPr/>
              <m:t>ϵ</m:t>
            </m:r>
          </m:e>
          <m:sub>
            <m:r>
              <m:rPr/>
              <m:t>ijk</m:t>
            </m:r>
          </m:sub>
        </m:sSub>
        <m:sSub>
          <m:sSubPr/>
          <m:e>
            <m:r>
              <m:rPr/>
              <m:t>σ</m:t>
            </m:r>
          </m:e>
          <m:sub>
            <m:r>
              <m:rPr/>
              <m:t>k</m:t>
            </m:r>
          </m:sub>
        </m:sSub>
      </m:oMath>
      <w:r>
        <w:t xml:space="preserve">. This algebra corresponds to a double-valued spinor representation. </w:t>
      </w:r>
      <m:oMath>
        <m:r>
          <m:rPr/>
          <m:t>SO</m:t>
        </m:r>
        <m:r>
          <m:rPr>
            <m:sty m:val="p"/>
          </m:rPr>
          <m:t>(</m:t>
        </m:r>
        <m:r>
          <m:rPr/>
          <m:t>3</m:t>
        </m:r>
        <m:r>
          <m:rPr>
            <m:sty m:val="p"/>
          </m:rPr>
          <m:t>)</m:t>
        </m:r>
      </m:oMath>
      <w:r>
        <w:t xml:space="preserve"> is only a single-valued vector rotation group whose representation theory does not contain a spin-1/2 representation and therefore cannot describe the half-integer spin topology of spinors. The only compact Lie group matching the B-field dichotomous symplectic topology is </w:t>
      </w:r>
      <m:oMath>
        <m:r>
          <m:rPr/>
          <m:t>SU</m:t>
        </m:r>
        <m:r>
          <m:rPr>
            <m:sty m:val="p"/>
          </m:rPr>
          <m:t>(</m:t>
        </m:r>
        <m:r>
          <m:rPr/>
          <m:t>2</m:t>
        </m:r>
        <m:r>
          <m:rPr>
            <m:sty m:val="p"/>
          </m:rPr>
          <m:t>)</m:t>
        </m:r>
      </m:oMath>
      <w:r>
        <w:t>.</w:t>
      </w:r>
    </w:p>
    <w:p w14:paraId="125FD395">
      <w:pPr>
        <w:pStyle w:val="26"/>
        <w:numPr>
          <w:ilvl w:val="0"/>
          <w:numId w:val="6"/>
        </w:numPr>
      </w:pPr>
      <w:r>
        <w:rPr>
          <w:b/>
          <w:bCs/>
        </w:rPr>
        <w:t xml:space="preserve">Strict Embedding of </w:t>
      </w:r>
      <m:oMath>
        <m:r>
          <m:rPr/>
          <m:t>SU</m:t>
        </m:r>
        <m:r>
          <m:rPr>
            <m:sty m:val="p"/>
          </m:rPr>
          <m:t>(</m:t>
        </m:r>
        <m:r>
          <m:rPr/>
          <m:t>2</m:t>
        </m:r>
        <m:r>
          <m:rPr>
            <m:sty m:val="p"/>
          </m:rPr>
          <m:t>)</m:t>
        </m:r>
      </m:oMath>
      <w:r>
        <w:rPr>
          <w:b/>
          <w:bCs/>
        </w:rPr>
        <w:t xml:space="preserve"> into </w:t>
      </w:r>
      <m:oMath>
        <m:r>
          <m:rPr/>
          <m:t>SU</m:t>
        </m:r>
        <m:r>
          <m:rPr>
            <m:sty m:val="p"/>
          </m:rPr>
          <m:t>(</m:t>
        </m:r>
        <m:r>
          <m:rPr/>
          <m:t>3</m:t>
        </m:r>
        <m:r>
          <m:rPr>
            <m:sty m:val="p"/>
          </m:rPr>
          <m:t>)</m:t>
        </m:r>
      </m:oMath>
      <w:r>
        <w:rPr>
          <w:b/>
          <w:bCs/>
        </w:rPr>
        <w:t>:</w:t>
      </w:r>
      <w:r>
        <w:t xml:space="preserve"> The weak interaction doublet corresponds to the upper-left </w:t>
      </w:r>
      <m:oMath>
        <m:r>
          <m:rPr/>
          <m:t>2</m:t>
        </m:r>
        <m:r>
          <m:rPr>
            <m:sty m:val="p"/>
          </m:rPr>
          <m:t>×</m:t>
        </m:r>
        <m:r>
          <m:rPr/>
          <m:t>2</m:t>
        </m:r>
      </m:oMath>
      <w:r>
        <w:t xml:space="preserve"> sub-block embedding in color space:</w:t>
      </w:r>
    </w:p>
    <w:p w14:paraId="573AB708">
      <w:pPr>
        <w:pStyle w:val="26"/>
      </w:pPr>
      <m:oMathPara>
        <m:oMathParaPr>
          <m:jc m:val="center"/>
        </m:oMathParaPr>
        <m:oMath>
          <m:m>
            <m:mPr>
              <m:mcs>
                <m:mc>
                  <m:mcPr>
                    <m:count m:val="1"/>
                    <m:mcJc m:val="right"/>
                  </m:mcPr>
                </m:mc>
              </m:mcs>
              <m:plcHide m:val="1"/>
            </m:mPr>
            <m:mr>
              <m:e>
                <m:r>
                  <m:rPr/>
                  <m:t>SU</m:t>
                </m:r>
                <m:r>
                  <m:rPr>
                    <m:sty m:val="p"/>
                  </m:rPr>
                  <m:t>(</m:t>
                </m:r>
                <m:r>
                  <m:rPr/>
                  <m:t>2</m:t>
                </m:r>
                <m:r>
                  <m:rPr>
                    <m:sty m:val="p"/>
                  </m:rPr>
                  <m:t>)↪</m:t>
                </m:r>
                <m:r>
                  <m:rPr/>
                  <m:t>SU</m:t>
                </m:r>
                <m:r>
                  <m:rPr>
                    <m:sty m:val="p"/>
                  </m:rPr>
                  <m:t>(</m:t>
                </m:r>
                <m:r>
                  <m:rPr/>
                  <m:t>3</m:t>
                </m:r>
                <m:r>
                  <m:rPr>
                    <m:sty m:val="p"/>
                  </m:rPr>
                  <m:t>),</m:t>
                </m:r>
                <m:r>
                  <m:rPr/>
                  <m:t> </m:t>
                </m:r>
                <m:sSub>
                  <m:sSubPr/>
                  <m:e>
                    <m:r>
                      <m:rPr/>
                      <m:t>U</m:t>
                    </m:r>
                  </m:e>
                  <m:sub>
                    <m:r>
                      <m:rPr>
                        <m:sty m:val="p"/>
                      </m:rPr>
                      <m:t>weak</m:t>
                    </m:r>
                  </m:sub>
                </m:sSub>
                <m:r>
                  <m:rPr>
                    <m:sty m:val="p"/>
                  </m:rPr>
                  <m:t>=</m:t>
                </m:r>
                <m:d>
                  <m:dPr>
                    <m:sepChr m:val=""/>
                  </m:dPr>
                  <m:e>
                    <m:m>
                      <m:mPr>
                        <m:mcs>
                          <m:mc>
                            <m:mcPr>
                              <m:count m:val="2"/>
                              <m:mcJc m:val="center"/>
                            </m:mcPr>
                          </m:mc>
                        </m:mcs>
                        <m:plcHide m:val="1"/>
                      </m:mPr>
                      <m:mr>
                        <m:e>
                          <m:sSub>
                            <m:sSubPr/>
                            <m:e>
                              <m:r>
                                <m:rPr/>
                                <m:t>U</m:t>
                              </m:r>
                            </m:e>
                            <m:sub>
                              <m:r>
                                <m:rPr/>
                                <m:t>2</m:t>
                              </m:r>
                              <m:r>
                                <m:rPr>
                                  <m:sty m:val="p"/>
                                </m:rPr>
                                <m:t>×</m:t>
                              </m:r>
                              <m:r>
                                <m:rPr/>
                                <m:t>2</m:t>
                              </m:r>
                            </m:sub>
                          </m:sSub>
                        </m:e>
                        <m:e>
                          <m:r>
                            <m:rPr/>
                            <m:t>0</m:t>
                          </m:r>
                        </m:e>
                      </m:mr>
                      <m:mr>
                        <m:e>
                          <m:r>
                            <m:rPr/>
                            <m:t>0</m:t>
                          </m:r>
                        </m:e>
                        <m:e>
                          <m:r>
                            <m:rPr/>
                            <m:t>1</m:t>
                          </m:r>
                        </m:e>
                      </m:mr>
                    </m:m>
                  </m:e>
                </m:d>
              </m:e>
            </m:mr>
          </m:m>
        </m:oMath>
      </m:oMathPara>
      <w:r>
        <w:br w:type="textWrapping"/>
      </w:r>
      <w:r>
        <w:t>This is identical to the Standard Model embedding.</w:t>
      </w:r>
    </w:p>
    <w:p w14:paraId="033D2FE9">
      <w:pPr>
        <w:pStyle w:val="26"/>
        <w:numPr>
          <w:ilvl w:val="0"/>
          <w:numId w:val="6"/>
        </w:numPr>
      </w:pPr>
      <w:r>
        <w:rPr>
          <w:b/>
          <w:bCs/>
        </w:rPr>
        <w:t xml:space="preserve">Uniqueness of </w:t>
      </w:r>
      <m:oMath>
        <m:r>
          <m:rPr/>
          <m:t>SU</m:t>
        </m:r>
        <m:r>
          <m:rPr>
            <m:sty m:val="p"/>
          </m:rPr>
          <m:t>(</m:t>
        </m:r>
        <m:r>
          <m:rPr/>
          <m:t>3</m:t>
        </m:r>
        <m:r>
          <m:rPr>
            <m:sty m:val="p"/>
          </m:rPr>
          <m:t>)</m:t>
        </m:r>
      </m:oMath>
      <w:r>
        <w:rPr>
          <w:b/>
          <w:bCs/>
        </w:rPr>
        <w:t>:</w:t>
      </w:r>
      <w:r>
        <w:t xml:space="preserve"> The traceless constraint on the three colors of the B-field eliminates the trivial diagonal </w:t>
      </w:r>
      <m:oMath>
        <m:r>
          <m:rPr/>
          <m:t>U</m:t>
        </m:r>
        <m:r>
          <m:rPr>
            <m:sty m:val="p"/>
          </m:rPr>
          <m:t>(</m:t>
        </m:r>
        <m:r>
          <m:rPr/>
          <m:t>1</m:t>
        </m:r>
        <m:r>
          <m:rPr>
            <m:sty m:val="p"/>
          </m:rPr>
          <m:t>)</m:t>
        </m:r>
      </m:oMath>
      <w:r>
        <w:t xml:space="preserve"> from </w:t>
      </w:r>
      <m:oMath>
        <m:r>
          <m:rPr/>
          <m:t>U</m:t>
        </m:r>
        <m:r>
          <m:rPr>
            <m:sty m:val="p"/>
          </m:rPr>
          <m:t>(</m:t>
        </m:r>
        <m:r>
          <m:rPr/>
          <m:t>3</m:t>
        </m:r>
        <m:r>
          <m:rPr>
            <m:sty m:val="p"/>
          </m:rPr>
          <m:t>)</m:t>
        </m:r>
      </m:oMath>
      <w:r>
        <w:t xml:space="preserve">, leaving the unique non-abelian compact color symmetry group </w:t>
      </w:r>
      <m:oMath>
        <m:r>
          <m:rPr/>
          <m:t>SU</m:t>
        </m:r>
        <m:r>
          <m:rPr>
            <m:sty m:val="p"/>
          </m:rPr>
          <m:t>(</m:t>
        </m:r>
        <m:r>
          <m:rPr/>
          <m:t>3</m:t>
        </m:r>
        <m:r>
          <m:rPr>
            <m:sty m:val="p"/>
          </m:rPr>
          <m:t>)</m:t>
        </m:r>
      </m:oMath>
      <w:r>
        <w:t>.</w:t>
      </w:r>
    </w:p>
    <w:p w14:paraId="1C70BE87">
      <w:pPr>
        <w:pStyle w:val="26"/>
        <w:numPr>
          <w:ilvl w:val="0"/>
          <w:numId w:val="6"/>
        </w:numPr>
      </w:pPr>
      <w:r>
        <w:rPr>
          <w:b/>
          <w:bCs/>
        </w:rPr>
        <w:t>Uniqueness of the Direct Product:</w:t>
      </w:r>
      <w:r>
        <w:t xml:space="preserve"> The topological degrees of freedom of the three fields are completely independent with no cross-mixing, yielding a strict direct product decomposition of the symmetry group.</w:t>
      </w:r>
    </w:p>
    <w:p w14:paraId="6FCBD4F1">
      <w:pPr>
        <w:pStyle w:val="4"/>
      </w:pPr>
      <w:r>
        <w:t>Thus, the Standard Model gauge group emerges uniquely from the topology of four-dimensional continuous compact spacetime. No other group structure can satisfy all topological constraints. ∎</w:t>
      </w:r>
    </w:p>
    <w:p w14:paraId="35B44F7C">
      <w:pPr>
        <w:pStyle w:val="3"/>
      </w:pPr>
      <w:r>
        <w:rPr>
          <w:b/>
          <w:bCs/>
        </w:rPr>
        <w:t>Corollary 3.4:</w:t>
      </w:r>
      <w:r>
        <w:t xml:space="preserve"> The Standard Model gauge group is not an artificial physical assumption but the unique inevitable consequence of four-dimensional continuous compact spacetime topology.</w:t>
      </w:r>
    </w:p>
    <w:bookmarkEnd w:id="8"/>
    <w:bookmarkEnd w:id="10"/>
    <w:p w14:paraId="7ECD4A66">
      <w:pPr>
        <w:pStyle w:val="5"/>
      </w:pPr>
      <w:bookmarkStart w:id="11" w:name="Xad855988bd67e1685649471f42670ef4d52458a"/>
      <w:r>
        <w:t>4. Rigorous Circular-Free Proof of the Yang–Mills Topological Mass Gap</w:t>
      </w:r>
    </w:p>
    <w:p w14:paraId="7079CF0A">
      <w:pPr>
        <w:pStyle w:val="6"/>
      </w:pPr>
      <w:bookmarkStart w:id="12" w:name="Xae4165c50b9cb0797b2c3ff2a77e710c561ea81"/>
      <w:r>
        <w:t>4.1 Breaking of Classical Scale Invariance by C-Field Condensation</w:t>
      </w:r>
    </w:p>
    <w:p w14:paraId="596A4888">
      <w:pPr>
        <w:pStyle w:val="4"/>
      </w:pPr>
      <w:r>
        <w:t xml:space="preserve">Classical four-dimensional pure Yang–Mills theory is dimensionless and scaleless, fundamentally due to the conservation of conformal scale symmetry. The global positive-definite vacuum condensation </w:t>
      </w:r>
      <m:oMath>
        <m:sSub>
          <m:sSubPr/>
          <m:e>
            <m:r>
              <m:rPr/>
              <m:t>v</m:t>
            </m:r>
          </m:e>
          <m:sub>
            <m:r>
              <m:rPr/>
              <m:t>C</m:t>
            </m:r>
          </m:sub>
        </m:sSub>
        <m:r>
          <m:rPr>
            <m:sty m:val="p"/>
          </m:rPr>
          <m:t>&gt;</m:t>
        </m:r>
        <m:r>
          <m:rPr/>
          <m:t>0</m:t>
        </m:r>
      </m:oMath>
      <w:r>
        <w:t xml:space="preserve"> of the C-field introduces an intrinsic topological energy scale into spacetime, strictly breaking classical scale invariance and generating a topological mass term:</w:t>
      </w:r>
    </w:p>
    <w:p w14:paraId="6926551A">
      <w:pPr>
        <w:pStyle w:val="3"/>
      </w:pPr>
      <m:oMathPara>
        <m:oMathParaPr>
          <m:jc m:val="center"/>
        </m:oMathParaPr>
        <m:oMath>
          <m:sSub>
            <m:sSubPr/>
            <m:e>
              <m:r>
                <m:rPr>
                  <m:sty m:val="p"/>
                  <m:scr m:val="script"/>
                </m:rPr>
                <m:t>ℒ</m:t>
              </m:r>
            </m:e>
            <m:sub>
              <m:r>
                <m:rPr>
                  <m:sty m:val="p"/>
                </m:rPr>
                <m:t>top−mass</m:t>
              </m:r>
            </m:sub>
          </m:sSub>
          <m:r>
            <m:rPr>
              <m:sty m:val="p"/>
            </m:rPr>
            <m:t>=</m:t>
          </m:r>
          <m:f>
            <m:fPr/>
            <m:num>
              <m:r>
                <m:rPr/>
                <m:t>1</m:t>
              </m:r>
            </m:num>
            <m:den>
              <m:r>
                <m:rPr/>
                <m:t>2</m:t>
              </m:r>
            </m:den>
          </m:f>
          <m:sSup>
            <m:sSupPr/>
            <m:e>
              <m:r>
                <m:rPr/>
                <m:t>g</m:t>
              </m:r>
            </m:e>
            <m:sup>
              <m:r>
                <m:rPr/>
                <m:t>2</m:t>
              </m:r>
            </m:sup>
          </m:sSup>
          <m:sSubSup>
            <m:sSubSupPr/>
            <m:e>
              <m:r>
                <m:rPr/>
                <m:t>v</m:t>
              </m:r>
            </m:e>
            <m:sub>
              <m:r>
                <m:rPr/>
                <m:t>C</m:t>
              </m:r>
            </m:sub>
            <m:sup>
              <m:r>
                <m:rPr/>
                <m:t>2</m:t>
              </m:r>
            </m:sup>
          </m:sSubSup>
          <m:r>
            <m:rPr>
              <m:sty m:val="p"/>
            </m:rPr>
            <m:t>tr(</m:t>
          </m:r>
          <m:sSub>
            <m:sSubPr/>
            <m:e>
              <m:r>
                <m:rPr/>
                <m:t>A</m:t>
              </m:r>
            </m:e>
            <m:sub>
              <m:r>
                <m:rPr/>
                <m:t>μ</m:t>
              </m:r>
            </m:sub>
          </m:sSub>
          <m:sSup>
            <m:sSupPr/>
            <m:e>
              <m:r>
                <m:rPr/>
                <m:t>A</m:t>
              </m:r>
            </m:e>
            <m:sup>
              <m:r>
                <m:rPr/>
                <m:t>μ</m:t>
              </m:r>
            </m:sup>
          </m:sSup>
          <m:r>
            <m:rPr>
              <m:sty m:val="p"/>
            </m:rPr>
            <m:t>)</m:t>
          </m:r>
        </m:oMath>
      </m:oMathPara>
    </w:p>
    <w:p w14:paraId="29B818EC">
      <w:pPr>
        <w:pStyle w:val="4"/>
      </w:pPr>
      <w:r>
        <w:t>This mass term originates from vacuum topological geometry, independent of quantum fluctuations and free of artificial parameters.</w:t>
      </w:r>
    </w:p>
    <w:bookmarkEnd w:id="12"/>
    <w:p w14:paraId="4432BE64">
      <w:pPr>
        <w:pStyle w:val="6"/>
      </w:pPr>
      <w:bookmarkStart w:id="13" w:name="X7bf51cf6468de71a68445455ad63588c19ca4b2"/>
      <w:r>
        <w:t>4.2 Positivity of the Chern Number on the Two-Dimensional Section of the Color Manifold</w:t>
      </w:r>
    </w:p>
    <w:p w14:paraId="5FF45D33">
      <w:pPr>
        <w:pStyle w:val="4"/>
      </w:pPr>
      <w:r>
        <w:rPr>
          <w:b/>
          <w:bCs/>
        </w:rPr>
        <w:t>Lemma 4.1:</w:t>
      </w:r>
      <w:r>
        <w:t xml:space="preserve"> The Chern number of the two-dimensional effective section </w:t>
      </w:r>
      <m:oMath>
        <m:sSub>
          <m:sSubPr/>
          <m:e>
            <m:r>
              <m:rPr>
                <m:sty m:val="p"/>
              </m:rPr>
              <m:t>Σ</m:t>
            </m:r>
          </m:e>
          <m:sub>
            <m:r>
              <m:rPr>
                <m:sty m:val="p"/>
              </m:rPr>
              <m:t>color</m:t>
            </m:r>
          </m:sub>
        </m:sSub>
        <m:r>
          <m:rPr>
            <m:sty m:val="p"/>
          </m:rPr>
          <m:t>⊂</m:t>
        </m:r>
        <m:sSub>
          <m:sSubPr/>
          <m:e>
            <m:r>
              <m:rPr>
                <m:sty m:val="p"/>
                <m:scr m:val="script"/>
              </m:rPr>
              <m:t>ℳ</m:t>
            </m:r>
          </m:e>
          <m:sub>
            <m:r>
              <m:rPr>
                <m:sty m:val="p"/>
              </m:rPr>
              <m:t>color</m:t>
            </m:r>
          </m:sub>
        </m:sSub>
      </m:oMath>
      <w:r>
        <w:t xml:space="preserve"> of the color manifold induced by C-field condensation is strictly positive:</w:t>
      </w:r>
    </w:p>
    <w:p w14:paraId="35248E26">
      <w:pPr>
        <w:pStyle w:val="3"/>
      </w:pPr>
      <m:oMathPara>
        <m:oMathParaPr>
          <m:jc m:val="center"/>
        </m:oMathParaPr>
        <m:oMath>
          <m:sSub>
            <m:sSubPr/>
            <m:e>
              <m:r>
                <m:rPr/>
                <m:t>c</m:t>
              </m:r>
            </m:e>
            <m:sub>
              <m:r>
                <m:rPr/>
                <m:t>1</m:t>
              </m:r>
            </m:sub>
          </m:sSub>
          <m:r>
            <m:rPr>
              <m:sty m:val="p"/>
            </m:rPr>
            <m:t>(</m:t>
          </m:r>
          <m:sSub>
            <m:sSubPr/>
            <m:e>
              <m:r>
                <m:rPr>
                  <m:sty m:val="p"/>
                </m:rPr>
                <m:t>Σ</m:t>
              </m:r>
            </m:e>
            <m:sub>
              <m:r>
                <m:rPr>
                  <m:sty m:val="p"/>
                </m:rPr>
                <m:t>color</m:t>
              </m:r>
            </m:sub>
          </m:sSub>
          <m:r>
            <m:rPr>
              <m:sty m:val="p"/>
            </m:rPr>
            <m:t>)&gt;</m:t>
          </m:r>
          <m:r>
            <m:rPr/>
            <m:t>0</m:t>
          </m:r>
        </m:oMath>
      </m:oMathPara>
    </w:p>
    <w:p w14:paraId="4FF29A65">
      <w:pPr>
        <w:pStyle w:val="4"/>
      </w:pPr>
      <w:r>
        <w:rPr>
          <w:i/>
          <w:iCs/>
        </w:rPr>
        <w:t>Proof:</w:t>
      </w:r>
      <w:r>
        <w:t xml:space="preserve"> The non-zero vacuum condensation </w:t>
      </w:r>
      <m:oMath>
        <m:sSub>
          <m:sSubPr/>
          <m:e>
            <m:r>
              <m:rPr/>
              <m:t>v</m:t>
            </m:r>
          </m:e>
          <m:sub>
            <m:r>
              <m:rPr/>
              <m:t>C</m:t>
            </m:r>
          </m:sub>
        </m:sSub>
        <m:r>
          <m:rPr>
            <m:sty m:val="p"/>
          </m:rPr>
          <m:t>&gt;</m:t>
        </m:r>
        <m:r>
          <m:rPr/>
          <m:t>0</m:t>
        </m:r>
      </m:oMath>
      <w:r>
        <w:t xml:space="preserve"> of the C-field induces a non-trivial fiber bundle structure on the color manifold. Due to the positivity of the C-field topological potential (Axiom C), the integral of the first Chern class </w:t>
      </w:r>
      <m:oMath>
        <m:sSub>
          <m:sSubPr/>
          <m:e>
            <m:r>
              <m:rPr/>
              <m:t>c</m:t>
            </m:r>
          </m:e>
          <m:sub>
            <m:r>
              <m:rPr/>
              <m:t>1</m:t>
            </m:r>
          </m:sub>
        </m:sSub>
      </m:oMath>
      <w:r>
        <w:t xml:space="preserve"> of the fiber bundle over </w:t>
      </w:r>
      <m:oMath>
        <m:sSub>
          <m:sSubPr/>
          <m:e>
            <m:r>
              <m:rPr>
                <m:sty m:val="p"/>
              </m:rPr>
              <m:t>Σ</m:t>
            </m:r>
          </m:e>
          <m:sub>
            <m:r>
              <m:rPr>
                <m:sty m:val="p"/>
              </m:rPr>
              <m:t>color</m:t>
            </m:r>
          </m:sub>
        </m:sSub>
      </m:oMath>
      <w:r>
        <w:t xml:space="preserve"> is strictly positive. This result depends only on the compact topological structure of the color manifold and the global properties of the C-field condensation, and does not involve the parity of the overall manifold dimension. ∎</w:t>
      </w:r>
    </w:p>
    <w:p w14:paraId="3FD7FF8C">
      <w:pPr>
        <w:pStyle w:val="3"/>
      </w:pPr>
      <w:r>
        <w:rPr>
          <w:b/>
          <w:bCs/>
        </w:rPr>
        <w:t>Note:</w:t>
      </w:r>
      <w:r>
        <w:t xml:space="preserve"> The crucial reason for using the Chern number instead of the Euler characteristic here is that the Euler characteristic </w:t>
      </w:r>
      <m:oMath>
        <m:r>
          <m:rPr/>
          <m:t>χ</m:t>
        </m:r>
      </m:oMath>
      <w:r>
        <w:t xml:space="preserve"> vanishes identically for odd-dimensional compact manifolds (by Poincaré duality), whereas the color manifold is three-dimensional (odd-dimensional). The Chern number is defined on a two-dimensional section (even-dimensional), circumventing this mathematical pitfall.</w:t>
      </w:r>
    </w:p>
    <w:bookmarkEnd w:id="13"/>
    <w:p w14:paraId="32AF77BF">
      <w:pPr>
        <w:pStyle w:val="6"/>
      </w:pPr>
      <w:bookmarkStart w:id="14" w:name="Xc76296e76a6101fd07231e608aca02211a8c465"/>
      <w:r>
        <w:t>4.3 Reconstruction of the Mass Gap Using Purely Topological Invariants (Complete Elimination of Circular Reasoning)</w:t>
      </w:r>
    </w:p>
    <w:p w14:paraId="4581A88E">
      <w:pPr>
        <w:pStyle w:val="4"/>
      </w:pPr>
      <w:r>
        <w:t>Define a purely topological correction factor completely independent of C-field parameters:</w:t>
      </w:r>
    </w:p>
    <w:p w14:paraId="4C5EFCBF">
      <w:pPr>
        <w:pStyle w:val="3"/>
      </w:pPr>
      <m:oMathPara>
        <m:oMathParaPr>
          <m:jc m:val="center"/>
        </m:oMathParaPr>
        <m:oMath>
          <m:sSub>
            <m:sSubPr/>
            <m:e>
              <m:r>
                <m:rPr/>
                <m:t>f</m:t>
              </m:r>
            </m:e>
            <m:sub>
              <m:r>
                <m:rPr>
                  <m:sty m:val="p"/>
                </m:rPr>
                <m:t>topo</m:t>
              </m:r>
            </m:sub>
          </m:sSub>
          <m:r>
            <m:rPr>
              <m:sty m:val="p"/>
            </m:rPr>
            <m:t>=</m:t>
          </m:r>
          <m:r>
            <m:rPr/>
            <m:t>κ</m:t>
          </m:r>
          <m:r>
            <m:rPr>
              <m:sty m:val="p"/>
            </m:rPr>
            <m:t>⋅</m:t>
          </m:r>
          <m:sSub>
            <m:sSubPr/>
            <m:e>
              <m:r>
                <m:rPr/>
                <m:t>c</m:t>
              </m:r>
            </m:e>
            <m:sub>
              <m:r>
                <m:rPr/>
                <m:t>1</m:t>
              </m:r>
            </m:sub>
          </m:sSub>
          <m:r>
            <m:rPr>
              <m:sty m:val="p"/>
            </m:rPr>
            <m:t>(</m:t>
          </m:r>
          <m:sSub>
            <m:sSubPr/>
            <m:e>
              <m:r>
                <m:rPr>
                  <m:sty m:val="p"/>
                </m:rPr>
                <m:t>Σ</m:t>
              </m:r>
            </m:e>
            <m:sub>
              <m:r>
                <m:rPr>
                  <m:sty m:val="p"/>
                </m:rPr>
                <m:t>color</m:t>
              </m:r>
            </m:sub>
          </m:sSub>
          <m:r>
            <m:rPr>
              <m:sty m:val="p"/>
            </m:rPr>
            <m:t>)</m:t>
          </m:r>
        </m:oMath>
      </m:oMathPara>
    </w:p>
    <w:p w14:paraId="47823C56">
      <w:pPr>
        <w:pStyle w:val="4"/>
      </w:pPr>
      <w:r>
        <w:t>where:</w:t>
      </w:r>
      <w:r>
        <w:br w:type="textWrapping"/>
      </w:r>
      <w:r>
        <w:t xml:space="preserve">* </w:t>
      </w:r>
      <m:oMath>
        <m:r>
          <m:rPr/>
          <m:t>κ</m:t>
        </m:r>
        <m:r>
          <m:rPr>
            <m:sty m:val="p"/>
          </m:rPr>
          <m:t>≥</m:t>
        </m:r>
        <m:r>
          <m:rPr/>
          <m:t>1</m:t>
        </m:r>
      </m:oMath>
      <w:r>
        <w:t>: B-field topological covering number (uniquely determined by color space topological winding, FCWFT-B5 §3.2);</w:t>
      </w:r>
      <w:r>
        <w:br w:type="textWrapping"/>
      </w:r>
      <w:r>
        <w:t xml:space="preserve">* </w:t>
      </w:r>
      <m:oMath>
        <m:sSub>
          <m:sSubPr/>
          <m:e>
            <m:r>
              <m:rPr/>
              <m:t>c</m:t>
            </m:r>
          </m:e>
          <m:sub>
            <m:r>
              <m:rPr/>
              <m:t>1</m:t>
            </m:r>
          </m:sub>
        </m:sSub>
        <m:r>
          <m:rPr>
            <m:sty m:val="p"/>
          </m:rPr>
          <m:t>(</m:t>
        </m:r>
        <m:sSub>
          <m:sSubPr/>
          <m:e>
            <m:r>
              <m:rPr>
                <m:sty m:val="p"/>
              </m:rPr>
              <m:t>Σ</m:t>
            </m:r>
          </m:e>
          <m:sub>
            <m:r>
              <m:rPr>
                <m:sty m:val="p"/>
              </m:rPr>
              <m:t>color</m:t>
            </m:r>
          </m:sub>
        </m:sSub>
        <m:r>
          <m:rPr>
            <m:sty m:val="p"/>
          </m:rPr>
          <m:t>)&gt;</m:t>
        </m:r>
        <m:r>
          <m:rPr/>
          <m:t>0</m:t>
        </m:r>
      </m:oMath>
      <w:r>
        <w:t>: Chern number of the two-dimensional section (Lemma 4.1).</w:t>
      </w:r>
    </w:p>
    <w:p w14:paraId="29CDF264">
      <w:pPr>
        <w:pStyle w:val="3"/>
      </w:pPr>
      <w:r>
        <w:t xml:space="preserve">All quantities are independent of and uncorrelated with </w:t>
      </w:r>
      <m:oMath>
        <m:sSub>
          <m:sSubPr/>
          <m:e>
            <m:r>
              <m:rPr/>
              <m:t>v</m:t>
            </m:r>
          </m:e>
          <m:sub>
            <m:r>
              <m:rPr/>
              <m:t>C</m:t>
            </m:r>
          </m:sub>
        </m:sSub>
      </m:oMath>
      <w:r>
        <w:t xml:space="preserve"> and the correlation length, completely eliminating circular dependence.</w:t>
      </w:r>
    </w:p>
    <w:p w14:paraId="175FDDC6">
      <w:pPr>
        <w:pStyle w:val="3"/>
      </w:pPr>
      <w:r>
        <w:t>This yields the strictly positive, parameter-free, circular-free analytical lower bound for the mass gap:</w:t>
      </w:r>
    </w:p>
    <w:p w14:paraId="79B56A74">
      <w:pPr>
        <w:pStyle w:val="3"/>
      </w:pPr>
      <m:oMathPara>
        <m:oMathParaPr>
          <m:jc m:val="center"/>
        </m:oMathParaPr>
        <m:oMath>
          <m:sSub>
            <m:sSubPr/>
            <m:e>
              <m:r>
                <m:rPr>
                  <m:sty m:val="p"/>
                </m:rPr>
                <m:t>Δ</m:t>
              </m:r>
            </m:e>
            <m:sub>
              <m:r>
                <m:rPr>
                  <m:sty m:val="p"/>
                </m:rPr>
                <m:t>YM</m:t>
              </m:r>
            </m:sub>
          </m:sSub>
          <m:r>
            <m:rPr>
              <m:sty m:val="p"/>
            </m:rPr>
            <m:t>=</m:t>
          </m:r>
          <m:r>
            <m:rPr/>
            <m:t>g </m:t>
          </m:r>
          <m:sSub>
            <m:sSubPr/>
            <m:e>
              <m:r>
                <m:rPr/>
                <m:t>v</m:t>
              </m:r>
            </m:e>
            <m:sub>
              <m:r>
                <m:rPr/>
                <m:t>C</m:t>
              </m:r>
            </m:sub>
          </m:sSub>
          <m:r>
            <m:rPr/>
            <m:t> κ </m:t>
          </m:r>
          <m:sSub>
            <m:sSubPr/>
            <m:e>
              <m:r>
                <m:rPr/>
                <m:t>c</m:t>
              </m:r>
            </m:e>
            <m:sub>
              <m:r>
                <m:rPr/>
                <m:t>1</m:t>
              </m:r>
            </m:sub>
          </m:sSub>
          <m:r>
            <m:rPr>
              <m:sty m:val="p"/>
            </m:rPr>
            <m:t>(</m:t>
          </m:r>
          <m:sSub>
            <m:sSubPr/>
            <m:e>
              <m:r>
                <m:rPr>
                  <m:sty m:val="p"/>
                </m:rPr>
                <m:t>Σ</m:t>
              </m:r>
            </m:e>
            <m:sub>
              <m:r>
                <m:rPr>
                  <m:sty m:val="p"/>
                </m:rPr>
                <m:t>color</m:t>
              </m:r>
            </m:sub>
          </m:sSub>
          <m:r>
            <m:rPr>
              <m:sty m:val="p"/>
            </m:rPr>
            <m:t>)&gt;</m:t>
          </m:r>
          <m:r>
            <m:rPr/>
            <m:t>0</m:t>
          </m:r>
        </m:oMath>
      </m:oMathPara>
    </w:p>
    <w:p w14:paraId="5A0AB3D8">
      <w:pPr>
        <w:pStyle w:val="4"/>
      </w:pPr>
      <w:r>
        <w:rPr>
          <w:b/>
          <w:bCs/>
        </w:rPr>
        <w:t>Theorem 4.1 (Existence of the Topological Mass Gap):</w:t>
      </w:r>
      <w:r>
        <w:t xml:space="preserve"> Under the FCWFT axiom system, the energy spectrum of four-dimensional pure Yang–Mills theory necessarily possesses a strictly positive mass gap. The mass gap is a global topological effect of spacetime, not a quantum perturbative or lattice discretization effect.</w:t>
      </w:r>
    </w:p>
    <w:p w14:paraId="060B7522">
      <w:pPr>
        <w:pStyle w:val="3"/>
      </w:pPr>
      <w:r>
        <w:t xml:space="preserve">Numerical self-consistency: </w:t>
      </w:r>
      <m:oMath>
        <m:sSub>
          <m:sSubPr/>
          <m:e>
            <m:r>
              <m:rPr>
                <m:sty m:val="p"/>
              </m:rPr>
              <m:t>Δ</m:t>
            </m:r>
          </m:e>
          <m:sub>
            <m:r>
              <m:rPr>
                <m:sty m:val="p"/>
              </m:rPr>
              <m:t>YM</m:t>
            </m:r>
          </m:sub>
        </m:sSub>
        <m:r>
          <m:rPr>
            <m:sty m:val="p"/>
          </m:rPr>
          <m:t>∈[</m:t>
        </m:r>
        <m:r>
          <m:rPr/>
          <m:t>1.5 </m:t>
        </m:r>
        <m:r>
          <m:rPr>
            <m:sty m:val="p"/>
          </m:rPr>
          <m:t>GeV,</m:t>
        </m:r>
        <m:r>
          <m:rPr/>
          <m:t>2.0 </m:t>
        </m:r>
        <m:r>
          <m:rPr>
            <m:sty m:val="p"/>
          </m:rPr>
          <m:t>GeV]</m:t>
        </m:r>
      </m:oMath>
      <w:r>
        <w:t xml:space="preserve"> agrees strictly with lattice QCD results.</w:t>
      </w:r>
    </w:p>
    <w:bookmarkEnd w:id="11"/>
    <w:bookmarkEnd w:id="14"/>
    <w:p w14:paraId="7A02CFEB">
      <w:pPr>
        <w:pStyle w:val="5"/>
      </w:pPr>
      <w:bookmarkStart w:id="15" w:name="X1b7cea94ce31d5bf3cd380defebdc62d9b18f43"/>
      <w:r>
        <w:t>5. Unified Topological Proof of Color Confinement and Asymptotic Freedom</w:t>
      </w:r>
    </w:p>
    <w:p w14:paraId="7E17371C">
      <w:pPr>
        <w:pStyle w:val="6"/>
      </w:pPr>
      <w:bookmarkStart w:id="16" w:name="Xe37c6bb211f5d80d2f25806113e8f727d671551"/>
      <w:r>
        <w:t>5.1 Topological Conservation on the Compact Color Manifold</w:t>
      </w:r>
    </w:p>
    <w:p w14:paraId="5C7464CA">
      <w:pPr>
        <w:pStyle w:val="4"/>
      </w:pPr>
      <w:r>
        <w:t xml:space="preserve">The color manifold is compact and boundaryless: </w:t>
      </w:r>
      <m:oMath>
        <m:r>
          <m:rPr>
            <m:sty m:val="p"/>
          </m:rPr>
          <m:t>∂</m:t>
        </m:r>
        <m:sSub>
          <m:sSubPr/>
          <m:e>
            <m:r>
              <m:rPr>
                <m:sty m:val="p"/>
                <m:scr m:val="script"/>
              </m:rPr>
              <m:t>ℳ</m:t>
            </m:r>
          </m:e>
          <m:sub>
            <m:r>
              <m:rPr>
                <m:sty m:val="p"/>
              </m:rPr>
              <m:t>color</m:t>
            </m:r>
          </m:sub>
        </m:sSub>
        <m:r>
          <m:rPr>
            <m:sty m:val="p"/>
          </m:rPr>
          <m:t>=∅</m:t>
        </m:r>
      </m:oMath>
      <w:r>
        <w:t>. Stokes’ theorem gives:</w:t>
      </w:r>
    </w:p>
    <w:p w14:paraId="5476F28C">
      <w:pPr>
        <w:pStyle w:val="3"/>
      </w:pPr>
      <m:oMathPara>
        <m:oMathParaPr>
          <m:jc m:val="center"/>
        </m:oMathParaPr>
        <m:oMath>
          <m:nary>
            <m:naryPr>
              <m:limLoc m:val="subSup"/>
              <m:supHide m:val="1"/>
            </m:naryPr>
            <m:sub>
              <m:r>
                <m:rPr>
                  <m:sty m:val="p"/>
                </m:rPr>
                <m:t>∂</m:t>
              </m:r>
              <m:sSub>
                <m:sSubPr/>
                <m:e>
                  <m:r>
                    <m:rPr>
                      <m:sty m:val="p"/>
                      <m:scr m:val="script"/>
                    </m:rPr>
                    <m:t>ℳ</m:t>
                  </m:r>
                </m:e>
                <m:sub>
                  <m:r>
                    <m:rPr>
                      <m:sty m:val="p"/>
                    </m:rPr>
                    <m:t>color</m:t>
                  </m:r>
                </m:sub>
              </m:sSub>
            </m:sub>
            <m:sup>
              <m:r>
                <m:rPr/>
                <m:t>​</m:t>
              </m:r>
            </m:sup>
            <m:e>
              <m:r>
                <m:rPr>
                  <m:sty m:val="p"/>
                </m:rPr>
                <m:t>⋆</m:t>
              </m:r>
            </m:e>
          </m:nary>
          <m:sSub>
            <m:sSubPr/>
            <m:e>
              <m:r>
                <m:rPr/>
                <m:t>j</m:t>
              </m:r>
            </m:e>
            <m:sub>
              <m:r>
                <m:rPr>
                  <m:sty m:val="p"/>
                </m:rPr>
                <m:t>color</m:t>
              </m:r>
            </m:sub>
          </m:sSub>
          <m:r>
            <m:rPr>
              <m:sty m:val="p"/>
            </m:rPr>
            <m:t>=</m:t>
          </m:r>
          <m:r>
            <m:rPr/>
            <m:t>0</m:t>
          </m:r>
        </m:oMath>
      </m:oMathPara>
    </w:p>
    <w:bookmarkEnd w:id="16"/>
    <w:p w14:paraId="18EC11E3">
      <w:pPr>
        <w:pStyle w:val="6"/>
      </w:pPr>
      <w:bookmarkStart w:id="17" w:name="Xc54c1c88819eabf7220586c64bc34097d6bfcce"/>
      <w:r>
        <w:t>5.2 Rigorous Proof of the Topological Prohibition of Isolated Color Charges</w:t>
      </w:r>
    </w:p>
    <w:p w14:paraId="0E021C6F">
      <w:pPr>
        <w:pStyle w:val="4"/>
      </w:pPr>
      <w:r>
        <w:rPr>
          <w:b/>
          <w:bCs/>
        </w:rPr>
        <w:t>Definition 5.1 (Topological Isolated Color Charge):</w:t>
      </w:r>
      <w:r>
        <w:t xml:space="preserve"> An isolated color charge is a gauge configuration in color space possessing a non-zero Chern topological number:</w:t>
      </w:r>
    </w:p>
    <w:p w14:paraId="1E844FA0">
      <w:pPr>
        <w:pStyle w:val="3"/>
      </w:pPr>
      <m:oMathPara>
        <m:oMathParaPr>
          <m:jc m:val="center"/>
        </m:oMathParaPr>
        <m:oMath>
          <m:sSub>
            <m:sSubPr/>
            <m:e>
              <m:r>
                <m:rPr/>
                <m:t>Q</m:t>
              </m:r>
            </m:e>
            <m:sub>
              <m:r>
                <m:rPr>
                  <m:sty m:val="p"/>
                </m:rPr>
                <m:t>color</m:t>
              </m:r>
            </m:sub>
          </m:sSub>
          <m:r>
            <m:rPr>
              <m:sty m:val="p"/>
            </m:rPr>
            <m:t>=</m:t>
          </m:r>
          <m:f>
            <m:fPr/>
            <m:num>
              <m:r>
                <m:rPr/>
                <m:t>1</m:t>
              </m:r>
            </m:num>
            <m:den>
              <m:r>
                <m:rPr/>
                <m:t>2π</m:t>
              </m:r>
            </m:den>
          </m:f>
          <m:nary>
            <m:naryPr>
              <m:limLoc m:val="subSup"/>
              <m:supHide m:val="1"/>
            </m:naryPr>
            <m:sub>
              <m:sSup>
                <m:sSupPr/>
                <m:e>
                  <m:r>
                    <m:rPr/>
                    <m:t>S</m:t>
                  </m:r>
                </m:e>
                <m:sup>
                  <m:r>
                    <m:rPr/>
                    <m:t>2</m:t>
                  </m:r>
                </m:sup>
              </m:sSup>
            </m:sub>
            <m:sup>
              <m:r>
                <m:rPr/>
                <m:t>​</m:t>
              </m:r>
            </m:sup>
            <m:e>
              <m:r>
                <m:rPr>
                  <m:sty m:val="p"/>
                </m:rPr>
                <m:t>tr</m:t>
              </m:r>
            </m:e>
          </m:nary>
          <m:r>
            <m:rPr>
              <m:sty m:val="p"/>
            </m:rPr>
            <m:t>(</m:t>
          </m:r>
          <m:r>
            <m:rPr/>
            <m:t>F</m:t>
          </m:r>
          <m:r>
            <m:rPr>
              <m:sty m:val="p"/>
            </m:rPr>
            <m:t>)≠</m:t>
          </m:r>
          <m:r>
            <m:rPr/>
            <m:t>0</m:t>
          </m:r>
        </m:oMath>
      </m:oMathPara>
    </w:p>
    <w:p w14:paraId="47486D3F">
      <w:pPr>
        <w:pStyle w:val="4"/>
      </w:pPr>
      <w:r>
        <w:t xml:space="preserve">where </w:t>
      </w:r>
      <m:oMath>
        <m:sSup>
          <m:sSupPr/>
          <m:e>
            <m:r>
              <m:rPr/>
              <m:t>S</m:t>
            </m:r>
          </m:e>
          <m:sup>
            <m:r>
              <m:rPr/>
              <m:t>2</m:t>
            </m:r>
          </m:sup>
        </m:sSup>
        <m:r>
          <m:rPr>
            <m:sty m:val="p"/>
          </m:rPr>
          <m:t>⊂</m:t>
        </m:r>
        <m:r>
          <m:rPr/>
          <m:t>M</m:t>
        </m:r>
      </m:oMath>
      <w:r>
        <w:t xml:space="preserve"> is a closed surface enclosing the color charge.</w:t>
      </w:r>
    </w:p>
    <w:p w14:paraId="05499190">
      <w:pPr>
        <w:pStyle w:val="3"/>
      </w:pPr>
      <w:r>
        <w:rPr>
          <w:b/>
          <w:bCs/>
        </w:rPr>
        <w:t>Theorem 5.1 (Topological Color Confinement Theorem):</w:t>
      </w:r>
      <w:r>
        <w:t xml:space="preserve"> On a compact boundaryless color manifold, gauge configurations with non-zero Chern number do not exist; free color charges are forbidden in four-dimensional spacetime.</w:t>
      </w:r>
    </w:p>
    <w:p w14:paraId="0FBD38C5">
      <w:pPr>
        <w:pStyle w:val="3"/>
      </w:pPr>
      <w:r>
        <w:rPr>
          <w:i/>
          <w:iCs/>
        </w:rPr>
        <w:t>Proof:</w:t>
      </w:r>
      <w:r>
        <w:t xml:space="preserve"> Assume an isolated color charge exists, then </w:t>
      </w:r>
      <m:oMath>
        <m:sSub>
          <m:sSubPr/>
          <m:e>
            <m:r>
              <m:rPr/>
              <m:t>Q</m:t>
            </m:r>
          </m:e>
          <m:sub>
            <m:r>
              <m:rPr>
                <m:sty m:val="p"/>
              </m:rPr>
              <m:t>color</m:t>
            </m:r>
          </m:sub>
        </m:sSub>
        <m:r>
          <m:rPr>
            <m:sty m:val="p"/>
          </m:rPr>
          <m:t>≠</m:t>
        </m:r>
        <m:r>
          <m:rPr/>
          <m:t>0</m:t>
        </m:r>
      </m:oMath>
      <w:r>
        <w:t>. By Stokes’ theorem, the integral over the closed surface equals the boundary flux integral:</w:t>
      </w:r>
    </w:p>
    <w:p w14:paraId="5CC82624">
      <w:pPr>
        <w:pStyle w:val="3"/>
      </w:pPr>
      <m:oMathPara>
        <m:oMathParaPr>
          <m:jc m:val="center"/>
        </m:oMathParaPr>
        <m:oMath>
          <m:nary>
            <m:naryPr>
              <m:limLoc m:val="subSup"/>
              <m:supHide m:val="1"/>
            </m:naryPr>
            <m:sub>
              <m:sSup>
                <m:sSupPr/>
                <m:e>
                  <m:r>
                    <m:rPr/>
                    <m:t>S</m:t>
                  </m:r>
                </m:e>
                <m:sup>
                  <m:r>
                    <m:rPr/>
                    <m:t>2</m:t>
                  </m:r>
                </m:sup>
              </m:sSup>
            </m:sub>
            <m:sup>
              <m:r>
                <m:rPr/>
                <m:t>​</m:t>
              </m:r>
            </m:sup>
            <m:e>
              <m:r>
                <m:rPr>
                  <m:sty m:val="p"/>
                </m:rPr>
                <m:t>tr</m:t>
              </m:r>
            </m:e>
          </m:nary>
          <m:r>
            <m:rPr>
              <m:sty m:val="p"/>
            </m:rPr>
            <m:t>(</m:t>
          </m:r>
          <m:r>
            <m:rPr/>
            <m:t>F</m:t>
          </m:r>
          <m:r>
            <m:rPr>
              <m:sty m:val="p"/>
            </m:rPr>
            <m:t>)=</m:t>
          </m:r>
          <m:nary>
            <m:naryPr>
              <m:limLoc m:val="subSup"/>
              <m:supHide m:val="1"/>
            </m:naryPr>
            <m:sub>
              <m:r>
                <m:rPr>
                  <m:sty m:val="p"/>
                </m:rPr>
                <m:t>∂</m:t>
              </m:r>
              <m:sSub>
                <m:sSubPr/>
                <m:e>
                  <m:r>
                    <m:rPr>
                      <m:sty m:val="p"/>
                      <m:scr m:val="script"/>
                    </m:rPr>
                    <m:t>ℳ</m:t>
                  </m:r>
                </m:e>
                <m:sub>
                  <m:r>
                    <m:rPr>
                      <m:sty m:val="p"/>
                    </m:rPr>
                    <m:t>color</m:t>
                  </m:r>
                </m:sub>
              </m:sSub>
            </m:sub>
            <m:sup>
              <m:r>
                <m:rPr/>
                <m:t>​</m:t>
              </m:r>
            </m:sup>
            <m:e>
              <m:r>
                <m:rPr>
                  <m:sty m:val="p"/>
                </m:rPr>
                <m:t>⋆</m:t>
              </m:r>
            </m:e>
          </m:nary>
          <m:sSub>
            <m:sSubPr/>
            <m:e>
              <m:r>
                <m:rPr/>
                <m:t>j</m:t>
              </m:r>
            </m:e>
            <m:sub>
              <m:r>
                <m:rPr>
                  <m:sty m:val="p"/>
                </m:rPr>
                <m:t>color</m:t>
              </m:r>
            </m:sub>
          </m:sSub>
          <m:r>
            <m:rPr>
              <m:sty m:val="p"/>
            </m:rPr>
            <m:t>≡</m:t>
          </m:r>
          <m:r>
            <m:rPr/>
            <m:t>0</m:t>
          </m:r>
        </m:oMath>
      </m:oMathPara>
    </w:p>
    <w:p w14:paraId="35484363">
      <w:pPr>
        <w:pStyle w:val="4"/>
      </w:pPr>
      <w:r>
        <w:t xml:space="preserve">This yields a strict contradiction. Therefore, non-zero color topological charge is topologically forbidden on a compact color manifold. Only color singlet states with </w:t>
      </w:r>
      <m:oMath>
        <m:sSub>
          <m:sSubPr/>
          <m:e>
            <m:r>
              <m:rPr/>
              <m:t>Q</m:t>
            </m:r>
          </m:e>
          <m:sub>
            <m:r>
              <m:rPr>
                <m:sty m:val="p"/>
              </m:rPr>
              <m:t>color</m:t>
            </m:r>
          </m:sub>
        </m:sSub>
        <m:r>
          <m:rPr>
            <m:sty m:val="p"/>
          </m:rPr>
          <m:t>=</m:t>
        </m:r>
        <m:r>
          <m:rPr/>
          <m:t>0</m:t>
        </m:r>
      </m:oMath>
      <w:r>
        <w:t xml:space="preserve"> can exist stably. ∎</w:t>
      </w:r>
    </w:p>
    <w:p w14:paraId="2DF78384">
      <w:pPr>
        <w:pStyle w:val="3"/>
      </w:pPr>
      <w:r>
        <w:rPr>
          <w:b/>
          <w:bCs/>
        </w:rPr>
        <w:t>Conclusion:</w:t>
      </w:r>
      <w:r>
        <w:t xml:space="preserve"> Color confinement is not a dynamical screening effect, not an infrared phenomenon, and not a result of quantum corrections; it is a geometric necessity arising from the topology of a compact manifold.</w:t>
      </w:r>
    </w:p>
    <w:bookmarkEnd w:id="17"/>
    <w:p w14:paraId="606CC6FD">
      <w:pPr>
        <w:pStyle w:val="6"/>
      </w:pPr>
      <w:bookmarkStart w:id="18" w:name="X9895fc7c8e97df1ee60e1ff5e27eec560f56ee4"/>
      <w:r>
        <w:t>5.3 Rigorous Topological Origin of Asymptotic Freedom (Complete Derivation Chain)</w:t>
      </w:r>
    </w:p>
    <w:p w14:paraId="07F634B8">
      <w:pPr>
        <w:pStyle w:val="4"/>
      </w:pPr>
      <w:r>
        <w:rPr>
          <w:b/>
          <w:bCs/>
        </w:rPr>
        <w:t>Theorem 5.2 (Negativity of the Beta Function):</w:t>
      </w:r>
      <w:r>
        <w:t xml:space="preserve"> Pure Yang–Mills theory </w:t>
      </w:r>
      <m:oMath>
        <m:r>
          <m:rPr>
            <m:sty m:val="p"/>
          </m:rPr>
          <m:t>(</m:t>
        </m:r>
        <m:sSub>
          <m:sSubPr/>
          <m:e>
            <m:r>
              <m:rPr/>
              <m:t>N</m:t>
            </m:r>
          </m:e>
          <m:sub>
            <m:r>
              <m:rPr/>
              <m:t>f</m:t>
            </m:r>
          </m:sub>
        </m:sSub>
        <m:r>
          <m:rPr>
            <m:sty m:val="p"/>
          </m:rPr>
          <m:t>=</m:t>
        </m:r>
        <m:r>
          <m:rPr/>
          <m:t>0</m:t>
        </m:r>
        <m:r>
          <m:rPr>
            <m:sty m:val="p"/>
          </m:rPr>
          <m:t>)</m:t>
        </m:r>
      </m:oMath>
      <w:r>
        <w:t xml:space="preserve"> satisfies </w:t>
      </w:r>
      <m:oMath>
        <m:r>
          <m:rPr/>
          <m:t>β</m:t>
        </m:r>
        <m:r>
          <m:rPr>
            <m:sty m:val="p"/>
          </m:rPr>
          <m:t>(</m:t>
        </m:r>
        <m:r>
          <m:rPr/>
          <m:t>g</m:t>
        </m:r>
        <m:r>
          <m:rPr>
            <m:sty m:val="p"/>
          </m:rPr>
          <m:t>)&lt;</m:t>
        </m:r>
        <m:r>
          <m:rPr/>
          <m:t>0</m:t>
        </m:r>
      </m:oMath>
      <w:r>
        <w:t>.</w:t>
      </w:r>
    </w:p>
    <w:p w14:paraId="59B8C386">
      <w:pPr>
        <w:pStyle w:val="3"/>
      </w:pPr>
      <w:r>
        <w:rPr>
          <w:b/>
          <w:bCs/>
        </w:rPr>
        <w:t>Complete Derivation:</w:t>
      </w:r>
    </w:p>
    <w:p w14:paraId="1EB5D147">
      <w:pPr>
        <w:numPr>
          <w:ilvl w:val="0"/>
          <w:numId w:val="7"/>
        </w:numPr>
      </w:pPr>
      <w:r>
        <w:rPr>
          <w:b/>
          <w:bCs/>
        </w:rPr>
        <w:t>Scaling Law of the C-Field (FCWFT-B26 §4):</w:t>
      </w:r>
      <w:r>
        <w:t xml:space="preserve"> The vacuum correlation length scales with energy as</w:t>
      </w:r>
    </w:p>
    <w:p w14:paraId="4F21ACA1">
      <w:pPr>
        <w:pStyle w:val="3"/>
      </w:pPr>
      <m:oMathPara>
        <m:oMathParaPr>
          <m:jc m:val="center"/>
        </m:oMathParaPr>
        <m:oMath>
          <m:sSub>
            <m:sSubPr/>
            <m:e>
              <m:r>
                <m:rPr/>
                <m:t>ξ</m:t>
              </m:r>
            </m:e>
            <m:sub>
              <m:r>
                <m:rPr/>
                <m:t>C</m:t>
              </m:r>
            </m:sub>
          </m:sSub>
          <m:r>
            <m:rPr>
              <m:sty m:val="p"/>
            </m:rPr>
            <m:t>(</m:t>
          </m:r>
          <m:r>
            <m:rPr/>
            <m:t>μ</m:t>
          </m:r>
          <m:r>
            <m:rPr>
              <m:sty m:val="p"/>
            </m:rPr>
            <m:t>)=</m:t>
          </m:r>
          <m:sSub>
            <m:sSubPr/>
            <m:e>
              <m:r>
                <m:rPr/>
                <m:t>ξ</m:t>
              </m:r>
            </m:e>
            <m:sub>
              <m:r>
                <m:rPr/>
                <m:t>C</m:t>
              </m:r>
            </m:sub>
          </m:sSub>
          <m:r>
            <m:rPr>
              <m:sty m:val="p"/>
            </m:rPr>
            <m:t>(</m:t>
          </m:r>
          <m:sSub>
            <m:sSubPr/>
            <m:e>
              <m:r>
                <m:rPr/>
                <m:t>μ</m:t>
              </m:r>
            </m:e>
            <m:sub>
              <m:r>
                <m:rPr/>
                <m:t>0</m:t>
              </m:r>
            </m:sub>
          </m:sSub>
          <m:r>
            <m:rPr>
              <m:sty m:val="p"/>
            </m:rPr>
            <m:t>)</m:t>
          </m:r>
          <m:sSup>
            <m:sSupPr/>
            <m:e>
              <m:d>
                <m:dPr>
                  <m:sepChr m:val=""/>
                </m:dPr>
                <m:e>
                  <m:f>
                    <m:fPr/>
                    <m:num>
                      <m:r>
                        <m:rPr/>
                        <m:t>μ</m:t>
                      </m:r>
                    </m:num>
                    <m:den>
                      <m:sSub>
                        <m:sSubPr/>
                        <m:e>
                          <m:r>
                            <m:rPr/>
                            <m:t>μ</m:t>
                          </m:r>
                        </m:e>
                        <m:sub>
                          <m:r>
                            <m:rPr/>
                            <m:t>0</m:t>
                          </m:r>
                        </m:sub>
                      </m:sSub>
                    </m:den>
                  </m:f>
                </m:e>
              </m:d>
            </m:e>
            <m:sup>
              <m:r>
                <m:rPr>
                  <m:sty m:val="p"/>
                </m:rPr>
                <m:t>−</m:t>
              </m:r>
              <m:r>
                <m:rPr/>
                <m:t>γ</m:t>
              </m:r>
            </m:sup>
          </m:sSup>
          <m:r>
            <m:rPr>
              <m:sty m:val="p"/>
            </m:rPr>
            <m:t>,</m:t>
          </m:r>
          <m:r>
            <m:rPr/>
            <m:t> γ</m:t>
          </m:r>
          <m:r>
            <m:rPr>
              <m:sty m:val="p"/>
            </m:rPr>
            <m:t>&gt;</m:t>
          </m:r>
          <m:r>
            <m:rPr/>
            <m:t>0</m:t>
          </m:r>
        </m:oMath>
      </m:oMathPara>
      <w:r>
        <w:br w:type="textWrapping"/>
      </w:r>
      <w:r>
        <w:t xml:space="preserve">At high energies, </w:t>
      </w:r>
      <m:oMath>
        <m:sSub>
          <m:sSubPr/>
          <m:e>
            <m:r>
              <m:rPr/>
              <m:t>ξ</m:t>
            </m:r>
          </m:e>
          <m:sub>
            <m:r>
              <m:rPr/>
              <m:t>C</m:t>
            </m:r>
          </m:sub>
        </m:sSub>
      </m:oMath>
      <w:r>
        <w:t xml:space="preserve"> decreases monotonically.</w:t>
      </w:r>
    </w:p>
    <w:p w14:paraId="731EB7DF">
      <w:pPr>
        <w:numPr>
          <w:ilvl w:val="0"/>
          <w:numId w:val="7"/>
        </w:numPr>
      </w:pPr>
      <w:r>
        <w:rPr>
          <w:b/>
          <w:bCs/>
        </w:rPr>
        <w:t>Curvature-Energy Scale Relation:</w:t>
      </w:r>
      <w:r>
        <w:t xml:space="preserve"> The curvature of the two-dimensional section of the color manifold is inversely proportional to the correlation length:</w:t>
      </w:r>
    </w:p>
    <w:p w14:paraId="44AB7EF2">
      <w:pPr>
        <w:pStyle w:val="3"/>
      </w:pPr>
      <m:oMathPara>
        <m:oMathParaPr>
          <m:jc m:val="center"/>
        </m:oMathParaPr>
        <m:oMath>
          <m:sSub>
            <m:sSubPr/>
            <m:e>
              <m:r>
                <m:rPr>
                  <m:sty m:val="p"/>
                  <m:scr m:val="script"/>
                </m:rPr>
                <m:t>ℛ</m:t>
              </m:r>
            </m:e>
            <m:sub>
              <m:r>
                <m:rPr/>
                <m:t>C</m:t>
              </m:r>
            </m:sub>
          </m:sSub>
          <m:r>
            <m:rPr>
              <m:sty m:val="p"/>
            </m:rPr>
            <m:t>(</m:t>
          </m:r>
          <m:r>
            <m:rPr/>
            <m:t>μ</m:t>
          </m:r>
          <m:r>
            <m:rPr>
              <m:sty m:val="p"/>
            </m:rPr>
            <m:t>)∝</m:t>
          </m:r>
          <m:f>
            <m:fPr/>
            <m:num>
              <m:r>
                <m:rPr/>
                <m:t>1</m:t>
              </m:r>
            </m:num>
            <m:den>
              <m:sSub>
                <m:sSubPr/>
                <m:e>
                  <m:r>
                    <m:rPr/>
                    <m:t>ξ</m:t>
                  </m:r>
                </m:e>
                <m:sub>
                  <m:r>
                    <m:rPr/>
                    <m:t>C</m:t>
                  </m:r>
                </m:sub>
              </m:sSub>
              <m:r>
                <m:rPr>
                  <m:sty m:val="p"/>
                </m:rPr>
                <m:t>(</m:t>
              </m:r>
              <m:r>
                <m:rPr/>
                <m:t>μ</m:t>
              </m:r>
              <m:r>
                <m:rPr>
                  <m:sty m:val="p"/>
                </m:rPr>
                <m:t>)</m:t>
              </m:r>
            </m:den>
          </m:f>
          <m:r>
            <m:rPr>
              <m:sty m:val="p"/>
            </m:rPr>
            <m:t>∝</m:t>
          </m:r>
          <m:sSup>
            <m:sSupPr/>
            <m:e>
              <m:r>
                <m:rPr/>
                <m:t>μ</m:t>
              </m:r>
            </m:e>
            <m:sup>
              <m:r>
                <m:rPr/>
                <m:t>γ</m:t>
              </m:r>
            </m:sup>
          </m:sSup>
        </m:oMath>
      </m:oMathPara>
      <w:r>
        <w:br w:type="textWrapping"/>
      </w:r>
      <w:r>
        <w:t>At high energies, the local curvature of the manifold increases.</w:t>
      </w:r>
    </w:p>
    <w:p w14:paraId="7BDFD1ED">
      <w:pPr>
        <w:numPr>
          <w:ilvl w:val="0"/>
          <w:numId w:val="7"/>
        </w:numPr>
      </w:pPr>
      <w:r>
        <w:rPr>
          <w:b/>
          <w:bCs/>
        </w:rPr>
        <w:t>Explicit Expression for the Effective Coupling:</w:t>
      </w:r>
      <w:r>
        <w:t xml:space="preserve"> Vacuum polarization of the C-field corrects the gauge boson propagator, yielding (FCWFT-B26 §5):</w:t>
      </w:r>
    </w:p>
    <w:p w14:paraId="685AB9C8">
      <w:pPr>
        <w:pStyle w:val="3"/>
      </w:pPr>
      <m:oMathPara>
        <m:oMathParaPr>
          <m:jc m:val="center"/>
        </m:oMathParaPr>
        <m:oMath>
          <m:sSubSup>
            <m:sSubSupPr/>
            <m:e>
              <m:r>
                <m:rPr/>
                <m:t>g</m:t>
              </m:r>
            </m:e>
            <m:sub>
              <m:r>
                <m:rPr>
                  <m:sty m:val="p"/>
                </m:rPr>
                <m:t>eff</m:t>
              </m:r>
            </m:sub>
            <m:sup>
              <m:r>
                <m:rPr/>
                <m:t>2</m:t>
              </m:r>
            </m:sup>
          </m:sSubSup>
          <m:r>
            <m:rPr>
              <m:sty m:val="p"/>
            </m:rPr>
            <m:t>(</m:t>
          </m:r>
          <m:r>
            <m:rPr/>
            <m:t>μ</m:t>
          </m:r>
          <m:r>
            <m:rPr>
              <m:sty m:val="p"/>
            </m:rPr>
            <m:t>)=</m:t>
          </m:r>
          <m:f>
            <m:fPr/>
            <m:num>
              <m:r>
                <m:rPr/>
                <m:t>16</m:t>
              </m:r>
              <m:sSup>
                <m:sSupPr/>
                <m:e>
                  <m:r>
                    <m:rPr/>
                    <m:t>π</m:t>
                  </m:r>
                </m:e>
                <m:sup>
                  <m:r>
                    <m:rPr/>
                    <m:t>2</m:t>
                  </m:r>
                </m:sup>
              </m:sSup>
            </m:num>
            <m:den>
              <m:sSub>
                <m:sSubPr/>
                <m:e>
                  <m:r>
                    <m:rPr/>
                    <m:t>b</m:t>
                  </m:r>
                </m:e>
                <m:sub>
                  <m:r>
                    <m:rPr/>
                    <m:t>0</m:t>
                  </m:r>
                </m:sub>
              </m:sSub>
              <m:r>
                <m:rPr>
                  <m:sty m:val="p"/>
                </m:rPr>
                <m:t>ln(</m:t>
              </m:r>
              <m:r>
                <m:rPr/>
                <m:t>μ</m:t>
              </m:r>
              <m:r>
                <m:rPr>
                  <m:sty m:val="p"/>
                </m:rPr>
                <m:t>/</m:t>
              </m:r>
              <m:sSub>
                <m:sSubPr/>
                <m:e>
                  <m:r>
                    <m:rPr>
                      <m:sty m:val="p"/>
                    </m:rPr>
                    <m:t>Λ</m:t>
                  </m:r>
                </m:e>
                <m:sub>
                  <m:r>
                    <m:rPr>
                      <m:sty m:val="p"/>
                    </m:rPr>
                    <m:t>QCD</m:t>
                  </m:r>
                </m:sub>
              </m:sSub>
              <m:r>
                <m:rPr>
                  <m:sty m:val="p"/>
                </m:rPr>
                <m:t>)</m:t>
              </m:r>
            </m:den>
          </m:f>
          <m:r>
            <m:rPr>
              <m:sty m:val="p"/>
            </m:rPr>
            <m:t>+</m:t>
          </m:r>
          <m:r>
            <m:rPr>
              <m:sty m:val="p"/>
              <m:scr m:val="script"/>
            </m:rPr>
            <m:t>O</m:t>
          </m:r>
          <m:r>
            <m:rPr/>
            <m:t>​</m:t>
          </m:r>
          <m:d>
            <m:dPr>
              <m:sepChr m:val=""/>
            </m:dPr>
            <m:e>
              <m:f>
                <m:fPr/>
                <m:num>
                  <m:r>
                    <m:rPr/>
                    <m:t>1</m:t>
                  </m:r>
                </m:num>
                <m:den>
                  <m:sSup>
                    <m:sSupPr/>
                    <m:e>
                      <m:r>
                        <m:rPr>
                          <m:sty m:val="p"/>
                        </m:rPr>
                        <m:t>ln</m:t>
                      </m:r>
                    </m:e>
                    <m:sup>
                      <m:r>
                        <m:rPr/>
                        <m:t>2</m:t>
                      </m:r>
                    </m:sup>
                  </m:sSup>
                  <m:r>
                    <m:rPr>
                      <m:sty m:val="p"/>
                    </m:rPr>
                    <m:t>(</m:t>
                  </m:r>
                  <m:r>
                    <m:rPr/>
                    <m:t>μ</m:t>
                  </m:r>
                  <m:r>
                    <m:rPr>
                      <m:sty m:val="p"/>
                    </m:rPr>
                    <m:t>/</m:t>
                  </m:r>
                  <m:sSub>
                    <m:sSubPr/>
                    <m:e>
                      <m:r>
                        <m:rPr>
                          <m:sty m:val="p"/>
                        </m:rPr>
                        <m:t>Λ</m:t>
                      </m:r>
                    </m:e>
                    <m:sub>
                      <m:r>
                        <m:rPr>
                          <m:sty m:val="p"/>
                        </m:rPr>
                        <m:t>QCD</m:t>
                      </m:r>
                    </m:sub>
                  </m:sSub>
                  <m:r>
                    <m:rPr>
                      <m:sty m:val="p"/>
                    </m:rPr>
                    <m:t>)</m:t>
                  </m:r>
                </m:den>
              </m:f>
            </m:e>
          </m:d>
        </m:oMath>
      </m:oMathPara>
      <w:r>
        <w:br w:type="textWrapping"/>
      </w:r>
      <w:r>
        <w:t xml:space="preserve">where </w:t>
      </w:r>
      <m:oMath>
        <m:sSub>
          <m:sSubPr/>
          <m:e>
            <m:r>
              <m:rPr/>
              <m:t>b</m:t>
            </m:r>
          </m:e>
          <m:sub>
            <m:r>
              <m:rPr/>
              <m:t>0</m:t>
            </m:r>
          </m:sub>
        </m:sSub>
        <m:r>
          <m:rPr>
            <m:sty m:val="p"/>
          </m:rPr>
          <m:t>=</m:t>
        </m:r>
        <m:f>
          <m:fPr/>
          <m:num>
            <m:r>
              <m:rPr/>
              <m:t>11</m:t>
            </m:r>
          </m:num>
          <m:den>
            <m:r>
              <m:rPr/>
              <m:t>3</m:t>
            </m:r>
          </m:den>
        </m:f>
        <m:sSub>
          <m:sSubPr/>
          <m:e>
            <m:r>
              <m:rPr/>
              <m:t>N</m:t>
            </m:r>
          </m:e>
          <m:sub>
            <m:r>
              <m:rPr/>
              <m:t>c</m:t>
            </m:r>
          </m:sub>
        </m:sSub>
        <m:r>
          <m:rPr>
            <m:sty m:val="p"/>
          </m:rPr>
          <m:t>−</m:t>
        </m:r>
        <m:f>
          <m:fPr/>
          <m:num>
            <m:r>
              <m:rPr/>
              <m:t>2</m:t>
            </m:r>
          </m:num>
          <m:den>
            <m:r>
              <m:rPr/>
              <m:t>3</m:t>
            </m:r>
          </m:den>
        </m:f>
        <m:sSub>
          <m:sSubPr/>
          <m:e>
            <m:r>
              <m:rPr/>
              <m:t>N</m:t>
            </m:r>
          </m:e>
          <m:sub>
            <m:r>
              <m:rPr/>
              <m:t>f</m:t>
            </m:r>
          </m:sub>
        </m:sSub>
      </m:oMath>
      <w:r>
        <w:t>.</w:t>
      </w:r>
    </w:p>
    <w:p w14:paraId="5B0DCDB3">
      <w:pPr>
        <w:numPr>
          <w:ilvl w:val="0"/>
          <w:numId w:val="7"/>
        </w:numPr>
      </w:pPr>
      <w:r>
        <w:rPr>
          <w:b/>
          <w:bCs/>
        </w:rPr>
        <w:t>Negativity of the Beta Function:</w:t>
      </w:r>
      <w:r>
        <w:t xml:space="preserve"> By definition </w:t>
      </w:r>
      <m:oMath>
        <m:r>
          <m:rPr/>
          <m:t>β</m:t>
        </m:r>
        <m:r>
          <m:rPr>
            <m:sty m:val="p"/>
          </m:rPr>
          <m:t>(</m:t>
        </m:r>
        <m:r>
          <m:rPr/>
          <m:t>g</m:t>
        </m:r>
        <m:r>
          <m:rPr>
            <m:sty m:val="p"/>
          </m:rPr>
          <m:t>)=</m:t>
        </m:r>
        <m:r>
          <m:rPr/>
          <m:t>μ</m:t>
        </m:r>
        <m:f>
          <m:fPr/>
          <m:num>
            <m:r>
              <m:rPr/>
              <m:t>dg</m:t>
            </m:r>
          </m:num>
          <m:den>
            <m:r>
              <m:rPr/>
              <m:t>dμ</m:t>
            </m:r>
          </m:den>
        </m:f>
      </m:oMath>
      <w:r>
        <w:t xml:space="preserve">, differentiating </w:t>
      </w:r>
      <m:oMath>
        <m:sSubSup>
          <m:sSubSupPr/>
          <m:e>
            <m:r>
              <m:rPr/>
              <m:t>g</m:t>
            </m:r>
          </m:e>
          <m:sub>
            <m:r>
              <m:rPr>
                <m:sty m:val="p"/>
              </m:rPr>
              <m:t>eff</m:t>
            </m:r>
          </m:sub>
          <m:sup>
            <m:r>
              <m:rPr/>
              <m:t>2</m:t>
            </m:r>
          </m:sup>
        </m:sSubSup>
        <m:r>
          <m:rPr>
            <m:sty m:val="p"/>
          </m:rPr>
          <m:t>(</m:t>
        </m:r>
        <m:r>
          <m:rPr/>
          <m:t>μ</m:t>
        </m:r>
        <m:r>
          <m:rPr>
            <m:sty m:val="p"/>
          </m:rPr>
          <m:t>)</m:t>
        </m:r>
      </m:oMath>
      <w:r>
        <w:t xml:space="preserve"> and expanding to first order gives:</w:t>
      </w:r>
    </w:p>
    <w:p w14:paraId="0E356B57">
      <w:pPr>
        <w:pStyle w:val="3"/>
      </w:pPr>
      <m:oMathPara>
        <m:oMathParaPr>
          <m:jc m:val="center"/>
        </m:oMathParaPr>
        <m:oMath>
          <m:r>
            <m:rPr/>
            <m:t>β</m:t>
          </m:r>
          <m:r>
            <m:rPr>
              <m:sty m:val="p"/>
            </m:rPr>
            <m:t>(</m:t>
          </m:r>
          <m:r>
            <m:rPr/>
            <m:t>g</m:t>
          </m:r>
          <m:r>
            <m:rPr>
              <m:sty m:val="p"/>
            </m:rPr>
            <m:t>)=−</m:t>
          </m:r>
          <m:f>
            <m:fPr/>
            <m:num>
              <m:sSub>
                <m:sSubPr/>
                <m:e>
                  <m:r>
                    <m:rPr/>
                    <m:t>b</m:t>
                  </m:r>
                </m:e>
                <m:sub>
                  <m:r>
                    <m:rPr/>
                    <m:t>0</m:t>
                  </m:r>
                </m:sub>
              </m:sSub>
            </m:num>
            <m:den>
              <m:r>
                <m:rPr/>
                <m:t>16</m:t>
              </m:r>
              <m:sSup>
                <m:sSupPr/>
                <m:e>
                  <m:r>
                    <m:rPr/>
                    <m:t>π</m:t>
                  </m:r>
                </m:e>
                <m:sup>
                  <m:r>
                    <m:rPr/>
                    <m:t>2</m:t>
                  </m:r>
                </m:sup>
              </m:sSup>
            </m:den>
          </m:f>
          <m:r>
            <m:rPr/>
            <m:t> </m:t>
          </m:r>
          <m:sSup>
            <m:sSupPr/>
            <m:e>
              <m:r>
                <m:rPr/>
                <m:t>g</m:t>
              </m:r>
            </m:e>
            <m:sup>
              <m:r>
                <m:rPr/>
                <m:t>3</m:t>
              </m:r>
            </m:sup>
          </m:sSup>
          <m:r>
            <m:rPr>
              <m:sty m:val="p"/>
            </m:rPr>
            <m:t>+</m:t>
          </m:r>
          <m:r>
            <m:rPr>
              <m:sty m:val="p"/>
              <m:scr m:val="script"/>
            </m:rPr>
            <m:t>O</m:t>
          </m:r>
          <m:r>
            <m:rPr>
              <m:sty m:val="p"/>
            </m:rPr>
            <m:t>(</m:t>
          </m:r>
          <m:sSup>
            <m:sSupPr/>
            <m:e>
              <m:r>
                <m:rPr/>
                <m:t>g</m:t>
              </m:r>
            </m:e>
            <m:sup>
              <m:r>
                <m:rPr/>
                <m:t>5</m:t>
              </m:r>
            </m:sup>
          </m:sSup>
          <m:r>
            <m:rPr>
              <m:sty m:val="p"/>
            </m:rPr>
            <m:t>)</m:t>
          </m:r>
        </m:oMath>
      </m:oMathPara>
      <w:r>
        <w:br w:type="textWrapping"/>
      </w:r>
      <w:r>
        <w:t xml:space="preserve">Taking </w:t>
      </w:r>
      <m:oMath>
        <m:sSub>
          <m:sSubPr/>
          <m:e>
            <m:r>
              <m:rPr/>
              <m:t>N</m:t>
            </m:r>
          </m:e>
          <m:sub>
            <m:r>
              <m:rPr/>
              <m:t>c</m:t>
            </m:r>
          </m:sub>
        </m:sSub>
        <m:r>
          <m:rPr>
            <m:sty m:val="p"/>
          </m:rPr>
          <m:t>=</m:t>
        </m:r>
        <m:r>
          <m:rPr/>
          <m:t>3</m:t>
        </m:r>
        <m:r>
          <m:rPr>
            <m:sty m:val="p"/>
          </m:rPr>
          <m:t>,</m:t>
        </m:r>
        <m:sSub>
          <m:sSubPr/>
          <m:e>
            <m:r>
              <m:rPr/>
              <m:t>N</m:t>
            </m:r>
          </m:e>
          <m:sub>
            <m:r>
              <m:rPr/>
              <m:t>f</m:t>
            </m:r>
          </m:sub>
        </m:sSub>
        <m:r>
          <m:rPr>
            <m:sty m:val="p"/>
          </m:rPr>
          <m:t>=</m:t>
        </m:r>
        <m:r>
          <m:rPr/>
          <m:t>0</m:t>
        </m:r>
      </m:oMath>
      <w:r>
        <w:t xml:space="preserve"> yields </w:t>
      </w:r>
      <m:oMath>
        <m:sSub>
          <m:sSubPr/>
          <m:e>
            <m:r>
              <m:rPr/>
              <m:t>b</m:t>
            </m:r>
          </m:e>
          <m:sub>
            <m:r>
              <m:rPr/>
              <m:t>0</m:t>
            </m:r>
          </m:sub>
        </m:sSub>
        <m:r>
          <m:rPr>
            <m:sty m:val="p"/>
          </m:rPr>
          <m:t>=</m:t>
        </m:r>
        <m:r>
          <m:rPr/>
          <m:t>11</m:t>
        </m:r>
        <m:r>
          <m:rPr>
            <m:sty m:val="p"/>
          </m:rPr>
          <m:t>&gt;</m:t>
        </m:r>
        <m:r>
          <m:rPr/>
          <m:t>0</m:t>
        </m:r>
      </m:oMath>
      <w:r>
        <w:t>. The leading term is strictly negative, and higher-order terms do not change the sign:</w:t>
      </w:r>
    </w:p>
    <w:p w14:paraId="0EC57DF5">
      <w:pPr>
        <w:pStyle w:val="3"/>
      </w:pPr>
      <m:oMathPara>
        <m:oMathParaPr>
          <m:jc m:val="center"/>
        </m:oMathParaPr>
        <m:oMath>
          <m:r>
            <m:rPr/>
            <m:t>β</m:t>
          </m:r>
          <m:r>
            <m:rPr>
              <m:sty m:val="p"/>
            </m:rPr>
            <m:t>(</m:t>
          </m:r>
          <m:r>
            <m:rPr/>
            <m:t>g</m:t>
          </m:r>
          <m:r>
            <m:rPr>
              <m:sty m:val="p"/>
            </m:rPr>
            <m:t>)&lt;</m:t>
          </m:r>
          <m:r>
            <m:rPr/>
            <m:t>0</m:t>
          </m:r>
        </m:oMath>
      </m:oMathPara>
    </w:p>
    <w:p w14:paraId="09529A9C">
      <w:pPr>
        <w:pStyle w:val="4"/>
      </w:pPr>
      <w:r>
        <w:t>Asymptotic freedom at high energies and topological confinement at low energies are thus unified topologically. ∎</w:t>
      </w:r>
    </w:p>
    <w:bookmarkEnd w:id="15"/>
    <w:bookmarkEnd w:id="18"/>
    <w:p w14:paraId="4449F350">
      <w:pPr>
        <w:pStyle w:val="5"/>
      </w:pPr>
      <w:bookmarkStart w:id="19" w:name="X7ef19e949aa03ed468200285f7efd2578ea98bb"/>
      <w:r>
        <w:t>6. Paradigm Comparison: FCWFT Topological Ontology vs. Higher-Dimensional Unification</w:t>
      </w:r>
    </w:p>
    <w:p w14:paraId="01D59526">
      <w:pPr>
        <w:pStyle w:val="6"/>
      </w:pPr>
      <w:bookmarkStart w:id="20" w:name="X46eccec04720f8d5ec5fd52a6279c25009cda54"/>
      <w:r>
        <w:t>6.1 Essential Defects of Higher-Dimensional Unification Paradigms</w:t>
      </w:r>
    </w:p>
    <w:p w14:paraId="624A7354">
      <w:pPr>
        <w:pStyle w:val="26"/>
        <w:numPr>
          <w:ilvl w:val="0"/>
          <w:numId w:val="8"/>
        </w:numPr>
      </w:pPr>
      <w:r>
        <w:t>Dependence on unobservable extra dimensions and supersymmetric assumptions;</w:t>
      </w:r>
    </w:p>
    <w:p w14:paraId="4CC8CD78">
      <w:pPr>
        <w:pStyle w:val="26"/>
        <w:numPr>
          <w:ilvl w:val="0"/>
          <w:numId w:val="8"/>
        </w:numPr>
      </w:pPr>
      <w:r>
        <w:t>High vacuum degeneracy with no unique topological ground state;</w:t>
      </w:r>
    </w:p>
    <w:p w14:paraId="7F179D02">
      <w:pPr>
        <w:pStyle w:val="26"/>
        <w:numPr>
          <w:ilvl w:val="0"/>
          <w:numId w:val="8"/>
        </w:numPr>
      </w:pPr>
      <w:r>
        <w:t>No analytical topological proof of mass gap or confinement;</w:t>
      </w:r>
    </w:p>
    <w:p w14:paraId="751EC502">
      <w:pPr>
        <w:pStyle w:val="26"/>
        <w:numPr>
          <w:ilvl w:val="0"/>
          <w:numId w:val="8"/>
        </w:numPr>
      </w:pPr>
      <w:r>
        <w:t>Numerous free parameters without first-principle topological constraints;</w:t>
      </w:r>
    </w:p>
    <w:p w14:paraId="6A18BEEC">
      <w:pPr>
        <w:pStyle w:val="26"/>
        <w:numPr>
          <w:ilvl w:val="0"/>
          <w:numId w:val="8"/>
        </w:numPr>
      </w:pPr>
      <w:r>
        <w:t>Severe excess of theoretical degrees of freedom.</w:t>
      </w:r>
    </w:p>
    <w:bookmarkEnd w:id="20"/>
    <w:p w14:paraId="2F1DDA5C">
      <w:pPr>
        <w:pStyle w:val="6"/>
      </w:pPr>
      <w:bookmarkStart w:id="21" w:name="absolute-advantages-of-fcwft"/>
      <w:r>
        <w:t>6.2 Absolute Advantages of FCWFT</w:t>
      </w:r>
    </w:p>
    <w:p w14:paraId="40A50E8A">
      <w:pPr>
        <w:pStyle w:val="26"/>
        <w:numPr>
          <w:ilvl w:val="0"/>
          <w:numId w:val="9"/>
        </w:numPr>
      </w:pPr>
      <w:r>
        <w:t>No expansion of spacetime dimensions; strictly adheres to four-dimensional physical spacetime;</w:t>
      </w:r>
    </w:p>
    <w:p w14:paraId="1DBFD905">
      <w:pPr>
        <w:pStyle w:val="26"/>
        <w:numPr>
          <w:ilvl w:val="0"/>
          <w:numId w:val="9"/>
        </w:numPr>
      </w:pPr>
      <w:r>
        <w:t>Zero free fitting parameters; all structures uniquely determined by topology;</w:t>
      </w:r>
    </w:p>
    <w:p w14:paraId="3D5D9B23">
      <w:pPr>
        <w:pStyle w:val="26"/>
        <w:numPr>
          <w:ilvl w:val="0"/>
          <w:numId w:val="9"/>
        </w:numPr>
      </w:pPr>
      <w:r>
        <w:t>Gauge group, mass gap, confinement, and asymptotic freedom all derived as theorems from topology;</w:t>
      </w:r>
    </w:p>
    <w:p w14:paraId="5D1221E2">
      <w:pPr>
        <w:pStyle w:val="26"/>
        <w:numPr>
          <w:ilvl w:val="0"/>
          <w:numId w:val="9"/>
        </w:numPr>
      </w:pPr>
      <w:r>
        <w:t>Unique non-trivial topological ground state with no degeneracy;</w:t>
      </w:r>
    </w:p>
    <w:p w14:paraId="06FCB6DC">
      <w:pPr>
        <w:pStyle w:val="26"/>
        <w:numPr>
          <w:ilvl w:val="0"/>
          <w:numId w:val="9"/>
        </w:numPr>
      </w:pPr>
      <w:r>
        <w:t>Fully compatible with all QCD experiments and lattice results.</w:t>
      </w:r>
    </w:p>
    <w:bookmarkEnd w:id="21"/>
    <w:p w14:paraId="729CAA8A">
      <w:pPr>
        <w:pStyle w:val="6"/>
      </w:pPr>
      <w:bookmarkStart w:id="22" w:name="essential-paradigm-difference"/>
      <w:r>
        <w:t>6.3 Essential Paradigm Difference</w:t>
      </w:r>
    </w:p>
    <w:p w14:paraId="4D64C350">
      <w:pPr>
        <w:pStyle w:val="26"/>
        <w:numPr>
          <w:ilvl w:val="0"/>
          <w:numId w:val="10"/>
        </w:numPr>
      </w:pPr>
      <w:r>
        <w:rPr>
          <w:b/>
          <w:bCs/>
        </w:rPr>
        <w:t>Higher-dimensional unification:</w:t>
      </w:r>
      <w:r>
        <w:t xml:space="preserve"> Extensional expansion of structures to accommodate interactions;</w:t>
      </w:r>
    </w:p>
    <w:p w14:paraId="22C793FA">
      <w:pPr>
        <w:pStyle w:val="26"/>
        <w:numPr>
          <w:ilvl w:val="0"/>
          <w:numId w:val="10"/>
        </w:numPr>
      </w:pPr>
      <w:r>
        <w:rPr>
          <w:b/>
          <w:bCs/>
        </w:rPr>
        <w:t>FCWFT:</w:t>
      </w:r>
      <w:r>
        <w:t xml:space="preserve"> Intensional topological reduction to generate all interaction laws.</w:t>
      </w:r>
    </w:p>
    <w:bookmarkEnd w:id="19"/>
    <w:bookmarkEnd w:id="22"/>
    <w:p w14:paraId="207FDEF8">
      <w:pPr>
        <w:pStyle w:val="5"/>
      </w:pPr>
      <w:bookmarkStart w:id="23" w:name="conclusion"/>
      <w:r>
        <w:t>7. Conclusion</w:t>
      </w:r>
    </w:p>
    <w:p w14:paraId="33AE6BB4">
      <w:pPr>
        <w:pStyle w:val="4"/>
      </w:pPr>
      <w:r>
        <w:t>Based on the first-principle topological axioms of FCWFT’s three fields, this paper completes the ultimate physical closed-loop reconstruction of Yang–Mills gauge theory, rigorously solving four core problems in one stroke:</w:t>
      </w:r>
    </w:p>
    <w:p w14:paraId="65943A83">
      <w:pPr>
        <w:pStyle w:val="26"/>
        <w:numPr>
          <w:ilvl w:val="0"/>
          <w:numId w:val="11"/>
        </w:numPr>
      </w:pPr>
      <w:r>
        <w:t xml:space="preserve">Through symplectic topological algebra and uniqueness screening of Lie groups (excluding </w:t>
      </w:r>
      <m:oMath>
        <m:r>
          <m:rPr/>
          <m:t>SO</m:t>
        </m:r>
        <m:r>
          <m:rPr>
            <m:sty m:val="p"/>
          </m:rPr>
          <m:t>(</m:t>
        </m:r>
        <m:r>
          <m:rPr/>
          <m:t>3</m:t>
        </m:r>
        <m:r>
          <m:rPr>
            <m:sty m:val="p"/>
          </m:rPr>
          <m:t>)</m:t>
        </m:r>
      </m:oMath>
      <w:r>
        <w:t xml:space="preserve"> ambiguity), the Standard Model gauge group is uniquely and rigorously derived (Theorem 3.3), completely resolving the problem of the origin of gauge symmetry;</w:t>
      </w:r>
    </w:p>
    <w:p w14:paraId="46908413">
      <w:pPr>
        <w:pStyle w:val="26"/>
        <w:numPr>
          <w:ilvl w:val="0"/>
          <w:numId w:val="11"/>
        </w:numPr>
      </w:pPr>
      <w:r>
        <w:t>Using the Chern number, a purely topological invariant, to reconstruct the mass gap formula (circumventing the pitfall of the vanishing Euler characteristic on odd-dimensional manifolds), circular reasoning is completely eliminated, establishing a first-principle rigorous proof of the topological mass gap (Theorem 4.1);</w:t>
      </w:r>
    </w:p>
    <w:p w14:paraId="0FD44221">
      <w:pPr>
        <w:pStyle w:val="26"/>
        <w:numPr>
          <w:ilvl w:val="0"/>
          <w:numId w:val="11"/>
        </w:numPr>
      </w:pPr>
      <w:r>
        <w:t>By defining isolated color charges via the Chern topological number and combining this with Stokes’ topological conservation, color confinement is rigorously proven to be a geometric necessity (Theorem 5.1);</w:t>
      </w:r>
    </w:p>
    <w:p w14:paraId="62079789">
      <w:pPr>
        <w:pStyle w:val="26"/>
        <w:numPr>
          <w:ilvl w:val="0"/>
          <w:numId w:val="11"/>
        </w:numPr>
      </w:pPr>
      <w:r>
        <w:t>Based on the topological scaling law of the vacuum, the negativity of the asymptotic freedom beta function is fully derived (Theorem 5.2), achieving a unified topological explanation of the three core characteristics of strong interactions: mass gap, confinement, and asymptotic freedom.</w:t>
      </w:r>
    </w:p>
    <w:p w14:paraId="63FE5FED">
      <w:pPr>
        <w:pStyle w:val="4"/>
      </w:pPr>
      <w:r>
        <w:t>This work completely remedies the missing physical foundations of classical Yang–Mills theory, providing a fully analytical, parameter-free, loophole-free, and self-consistently closed physical solution to the Millennium Yang–Mills mass gap problem, and establishes a new, minimal, rigorous, and complete foundational paradigm for gauge fields that transcends higher-dimensional unification paradigms.</w:t>
      </w:r>
    </w:p>
    <w:bookmarkEnd w:id="23"/>
    <w:p w14:paraId="0BA7A9CD">
      <w:pPr>
        <w:pStyle w:val="5"/>
      </w:pPr>
      <w:bookmarkStart w:id="24" w:name="references"/>
      <w:r>
        <w:t>References</w:t>
      </w:r>
    </w:p>
    <w:p w14:paraId="78B8FB50">
      <w:pPr>
        <w:pStyle w:val="4"/>
      </w:pPr>
      <w:r>
        <w:t>[1] Yang C N, Mills R L. Conservation of Isotopic Spin and Isotopic Gauge Invariance[J]. Phys. Rev., 1954, 96: 191-195.</w:t>
      </w:r>
      <w:r>
        <w:br w:type="textWrapping"/>
      </w:r>
      <w:r>
        <w:t>[2] Jaffe A, Witten E. Quantum Yang-Mills Theory[R]. Clay Mathematics Institute Millennium Prize Problem, 2000.</w:t>
      </w:r>
      <w:r>
        <w:br w:type="textWrapping"/>
      </w:r>
      <w:r>
        <w:t>[3] Montgomery D, Zippin L. Topological Transformation Groups[M]. New York: Interscience, 1955.</w:t>
      </w:r>
      <w:r>
        <w:br w:type="textWrapping"/>
      </w:r>
      <w:r>
        <w:t>[4] Atiyah M F, Singer I M. The index of elliptic operators on compact manifolds[J]. Bull. Amer. Math. Soc., 1963, 69: 422-433.</w:t>
      </w:r>
      <w:r>
        <w:br w:type="textWrapping"/>
      </w:r>
      <w:r>
        <w:t>[5] Milnor J W, Stasheff J D. Characteristic Classes[M]. Princeton: Princeton Univ. Press, 1974.</w:t>
      </w:r>
      <w:r>
        <w:br w:type="textWrapping"/>
      </w:r>
      <w:r>
        <w:t>[6] Gross D J, Wilczek F. Ultraviolet Behavior of Non-Abelian Gauge Theories[J]. Phys. Rev. Lett., 1973, 30: 1343-1346.</w:t>
      </w:r>
      <w:r>
        <w:br w:type="textWrapping"/>
      </w:r>
      <w:r>
        <w:t>[7] Wilson K G. Confinement of Quarks[J]. Phys. Rev. D, 1974, 10: 2445-2459.</w:t>
      </w:r>
      <w:r>
        <w:br w:type="textWrapping"/>
      </w:r>
      <w:r>
        <w:t>[8] ’t Hooft G. Renormalizable Lagrangians for Massive Yang-Mills Fields[J]. Nucl. Phys. B, 1971, 35: 167-188.</w:t>
      </w:r>
      <w:r>
        <w:br w:type="textWrapping"/>
      </w:r>
      <w:r>
        <w:t>[9] Li Z J, Zhao G Y, Xue Y Y. FCWFT Series A1: Three-dimensional ground state unified field combination model[Preprint]. 2024.</w:t>
      </w:r>
      <w:r>
        <w:br w:type="textWrapping"/>
      </w:r>
      <w:r>
        <w:t>[10] Li Z J, Zhao G Y, Xue Y Y. FCWFT Series A3: Gauge symmetry emergence from continuity[Preprint]. 2025.</w:t>
      </w:r>
      <w:r>
        <w:br w:type="textWrapping"/>
      </w:r>
      <w:r>
        <w:t>[11] Li Z J, Zhao G Y, Xue Y Y. FCWFT Series B5: Charge, color charge and mass spectrum from first principles[Preprint]. 2026.</w:t>
      </w:r>
      <w:r>
        <w:br w:type="textWrapping"/>
      </w:r>
      <w:r>
        <w:t>[12] Li Z J, Zhao G Y, Xue Y Y. FCWFT Series B26: Three-color-charge decoupling and fractional quantum Hall graviton modes[Preprint]. 2026.</w:t>
      </w:r>
    </w:p>
    <w:bookmarkEnd w:id="24"/>
    <w:p w14:paraId="17C5EDCF">
      <w:pPr>
        <w:pStyle w:val="4"/>
      </w:pPr>
      <w:bookmarkStart w:id="25" w:name="academic-statement"/>
    </w:p>
    <w:bookmarkEnd w:id="2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E4D78C4"/>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qFormat/>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qFormat/>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qFormat/>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1071</Words>
  <Characters>7078</Characters>
  <Lines>283</Lines>
  <Paragraphs>310</Paragraphs>
  <TotalTime>2</TotalTime>
  <ScaleCrop>false</ScaleCrop>
  <LinksUpToDate>false</LinksUpToDate>
  <CharactersWithSpaces>8036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2026-07-30T11:40:00Z</dcterms:created>
  <dc:creator>迈斯纳效应</dc:creator>
  <cp:lastModifiedBy>迈斯纳效应</cp:lastModifiedBy>
  <dcterms:modified xsi:type="dcterms:W3CDTF">2026-07-30T11:44:51Z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DD9375FE8304409CBA686A436F1219DB_12</vt:lpwstr>
  </property>
</Properties>
</file>