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E93E28">
      <w:pPr>
        <w:pStyle w:val="3"/>
        <w:rPr>
          <w:b/>
          <w:bCs/>
        </w:rPr>
      </w:pPr>
      <w:bookmarkStart w:id="6" w:name="_GoBack"/>
      <w:r>
        <w:rPr>
          <w:rFonts w:hint="eastAsia"/>
          <w:b/>
          <w:bCs/>
        </w:rPr>
        <w:t>基于ABC场组合理论的质子对撞反质子生成机制</w:t>
      </w:r>
    </w:p>
    <w:bookmarkEnd w:id="6"/>
    <w:p w14:paraId="58F4B111">
      <w:pPr>
        <w:pStyle w:val="3"/>
        <w:rPr>
          <w:rFonts w:hint="eastAsia"/>
        </w:rPr>
      </w:pPr>
      <w:r>
        <w:rPr>
          <w:rFonts w:hint="eastAsia"/>
          <w:b/>
          <w:bCs/>
        </w:rPr>
        <w:t>作者：</w:t>
      </w:r>
      <w:r>
        <w:t xml:space="preserve"> </w:t>
      </w:r>
      <w:r>
        <w:rPr>
          <w:rFonts w:hint="eastAsia"/>
        </w:rPr>
        <w:t>李志军¹，赵光耀²</w:t>
      </w:r>
    </w:p>
    <w:p w14:paraId="2FC9E722">
      <w:pPr>
        <w:pStyle w:val="3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单位：山西省农业厅（牧校），重庆大学</w:t>
      </w:r>
    </w:p>
    <w:p w14:paraId="1B64E4E8">
      <w:pPr>
        <w:pStyle w:val="6"/>
      </w:pPr>
      <w:bookmarkStart w:id="0" w:name="引言真空作为场组合模空间"/>
      <w:r>
        <w:t xml:space="preserve">1. </w:t>
      </w:r>
      <w:r>
        <w:rPr>
          <w:rFonts w:hint="eastAsia"/>
        </w:rPr>
        <w:t>引言：真空作为场组合模空间</w:t>
      </w:r>
    </w:p>
    <w:p w14:paraId="6AF05866">
      <w:pPr>
        <w:pStyle w:val="4"/>
      </w:pPr>
      <w:r>
        <w:rPr>
          <w:rFonts w:hint="eastAsia"/>
        </w:rPr>
        <w:t>根据ABC理论，真空并非“虚无”，而是由电磁场</w:t>
      </w:r>
      <w:r>
        <w:rPr>
          <w:rFonts w:hint="eastAsia"/>
          <w:lang w:val="en-US" w:eastAsia="zh-CN"/>
        </w:rPr>
        <w:t>涡旋场</w:t>
      </w:r>
      <w:r>
        <w:rPr>
          <w:rFonts w:hint="eastAsia"/>
        </w:rPr>
        <w:t>(A)、色荷场</w:t>
      </w:r>
      <w:r>
        <w:rPr>
          <w:rFonts w:hint="eastAsia"/>
          <w:lang w:val="en-US" w:eastAsia="zh-CN"/>
        </w:rPr>
        <w:t>涡旋场</w:t>
      </w:r>
      <w:r>
        <w:rPr>
          <w:rFonts w:hint="eastAsia"/>
        </w:rPr>
        <w:t>(B)、希格斯场</w:t>
      </w:r>
      <w:r>
        <w:rPr>
          <w:rFonts w:hint="eastAsia"/>
          <w:lang w:val="en-US" w:eastAsia="zh-CN"/>
        </w:rPr>
        <w:t>涡旋场</w:t>
      </w:r>
      <w:r>
        <w:rPr>
          <w:rFonts w:hint="eastAsia"/>
        </w:rPr>
        <w:t>(C)的所有可能组合态构成的26维背景海</w:t>
      </w:r>
      <w:r>
        <w:t xml:space="preserve"> </w:t>
      </w:r>
      <m:oMath>
        <m:sSub>
          <m:sSubPr/>
          <m:e>
            <m:r>
              <m:rPr>
                <m:sty m:val="p"/>
                <m:scr m:val="script"/>
              </m:rPr>
              <m:t>ℋ</m:t>
            </m:r>
          </m:e>
          <m:sub>
            <m:r>
              <m:rPr>
                <m:sty m:val="p"/>
              </m:rPr>
              <m:t>total</m:t>
            </m:r>
          </m:sub>
        </m:sSub>
        <m:r>
          <m:rPr>
            <m:sty m:val="p"/>
          </m:rPr>
          <m:t>=</m:t>
        </m:r>
        <m:sSub>
          <m:sSubPr/>
          <m:e>
            <m:r>
              <m:rPr>
                <m:sty m:val="p"/>
                <m:scr m:val="script"/>
              </m:rPr>
              <m:t>ℋ</m:t>
            </m:r>
          </m:e>
          <m:sub>
            <m:r>
              <m:rPr/>
              <m:t>A</m:t>
            </m:r>
          </m:sub>
        </m:sSub>
        <m:r>
          <m:rPr>
            <m:sty m:val="p"/>
          </m:rPr>
          <m:t>⊗</m:t>
        </m:r>
        <m:sSub>
          <m:sSubPr/>
          <m:e>
            <m:r>
              <m:rPr>
                <m:sty m:val="p"/>
                <m:scr m:val="script"/>
              </m:rPr>
              <m:t>ℋ</m:t>
            </m:r>
          </m:e>
          <m:sub>
            <m:r>
              <m:rPr/>
              <m:t>B</m:t>
            </m:r>
          </m:sub>
        </m:sSub>
        <m:r>
          <m:rPr>
            <m:sty m:val="p"/>
          </m:rPr>
          <m:t>⊗</m:t>
        </m:r>
        <m:sSub>
          <m:sSubPr/>
          <m:e>
            <m:r>
              <m:rPr>
                <m:sty m:val="p"/>
                <m:scr m:val="script"/>
              </m:rPr>
              <m:t>ℋ</m:t>
            </m:r>
          </m:e>
          <m:sub>
            <m:r>
              <m:rPr/>
              <m:t>C</m:t>
            </m:r>
          </m:sub>
        </m:sSub>
      </m:oMath>
      <w:r>
        <w:rPr>
          <w:rFonts w:hint="eastAsia"/>
        </w:rPr>
        <w:t>，其稳定态由平坦联络的模空间</w:t>
      </w:r>
      <w:r>
        <w:t xml:space="preserve"> </w:t>
      </w:r>
      <m:oMath>
        <m:sSub>
          <m:sSubPr/>
          <m:e>
            <m:r>
              <m:rPr>
                <m:sty m:val="p"/>
                <m:scr m:val="script"/>
              </m:rPr>
              <m:t>ℳ</m:t>
            </m:r>
          </m:e>
          <m:sub>
            <m:r>
              <m:rPr>
                <m:sty m:val="p"/>
              </m:rPr>
              <m:t>flat</m:t>
            </m:r>
          </m:sub>
        </m:sSub>
      </m:oMath>
      <w:r>
        <w:t xml:space="preserve"> </w:t>
      </w:r>
      <w:r>
        <w:rPr>
          <w:rFonts w:hint="eastAsia"/>
        </w:rPr>
        <w:t>描述。粒子（如质子p）是特定的稳定场组合激发态，而反质子（</w:t>
      </w:r>
      <m:oMath>
        <m:acc>
          <m:accPr>
            <m:chr m:val="‾"/>
          </m:accPr>
          <m:e>
            <m:r>
              <m:rPr/>
              <m:t>p</m:t>
            </m:r>
          </m:e>
        </m:acc>
      </m:oMath>
      <w:r>
        <w:rPr>
          <w:rFonts w:hint="eastAsia"/>
        </w:rPr>
        <w:t>）是其对应的手性共轭态（B场手性反转）。</w:t>
      </w:r>
    </w:p>
    <w:bookmarkEnd w:id="0"/>
    <w:p w14:paraId="15A85D7E">
      <w:pPr>
        <w:pStyle w:val="6"/>
      </w:pPr>
      <w:bookmarkStart w:id="1" w:name="对撞过程的场论描述激发模空间"/>
      <w:r>
        <w:t xml:space="preserve">2. </w:t>
      </w:r>
      <w:r>
        <w:rPr>
          <w:rFonts w:hint="eastAsia"/>
        </w:rPr>
        <w:t>对撞过程的场论描述：激发模空间</w:t>
      </w:r>
    </w:p>
    <w:p w14:paraId="52B1DD63">
      <w:pPr>
        <w:pStyle w:val="4"/>
      </w:pPr>
      <w:r>
        <w:rPr>
          <w:rFonts w:hint="eastAsia"/>
        </w:rPr>
        <w:t>质子对撞</w:t>
      </w:r>
      <w:r>
        <w:t xml:space="preserve"> </w:t>
      </w:r>
      <m:oMath>
        <m:r>
          <m:rPr>
            <m:sty m:val="p"/>
          </m:rPr>
          <m:t>p+p→p+p+</m:t>
        </m:r>
        <m:acc>
          <m:accPr>
            <m:chr m:val="‾"/>
          </m:accPr>
          <m:e>
            <m:r>
              <m:rPr>
                <m:sty m:val="p"/>
              </m:rPr>
              <m:t>p</m:t>
            </m:r>
          </m:e>
        </m:acc>
        <m:r>
          <m:rPr>
            <m:sty m:val="p"/>
          </m:rPr>
          <m:t>+p</m:t>
        </m:r>
      </m:oMath>
      <w:r>
        <w:t xml:space="preserve"> </w:t>
      </w:r>
      <w:r>
        <w:rPr>
          <w:rFonts w:hint="eastAsia"/>
        </w:rPr>
        <w:t>的本质，是两个质子（作为稳定的场激发包）以极高能量（</w:t>
      </w:r>
      <m:oMath>
        <m:sSub>
          <m:sSubPr/>
          <m:e>
            <m:r>
              <m:rPr/>
              <m:t>E</m:t>
            </m:r>
          </m:e>
          <m:sub>
            <m:r>
              <m:rPr>
                <m:sty m:val="p"/>
              </m:rPr>
              <m:t>cm</m:t>
            </m:r>
          </m:sub>
        </m:sSub>
        <m:r>
          <m:rPr>
            <m:sty m:val="p"/>
          </m:rPr>
          <m:t>&gt;</m:t>
        </m:r>
        <m:r>
          <m:rPr/>
          <m:t>6.8</m:t>
        </m:r>
        <m:r>
          <m:rPr>
            <m:sty m:val="p"/>
          </m:rPr>
          <m:t>GeV</m:t>
        </m:r>
      </m:oMath>
      <w:r>
        <w:rPr>
          <w:rFonts w:hint="eastAsia"/>
        </w:rPr>
        <w:t>）剧烈扰动真空的模空间</w:t>
      </w:r>
      <w:r>
        <w:t xml:space="preserve"> </w:t>
      </w:r>
      <m:oMath>
        <m:sSub>
          <m:sSubPr/>
          <m:e>
            <m:r>
              <m:rPr>
                <m:sty m:val="p"/>
                <m:scr m:val="script"/>
              </m:rPr>
              <m:t>ℳ</m:t>
            </m:r>
          </m:e>
          <m:sub>
            <m:r>
              <m:rPr>
                <m:sty m:val="p"/>
              </m:rPr>
              <m:t>flat</m:t>
            </m:r>
          </m:sub>
        </m:sSub>
      </m:oMath>
      <w:r>
        <w:t>。</w:t>
      </w:r>
    </w:p>
    <w:p w14:paraId="6E3F951E">
      <w:pPr>
        <w:pStyle w:val="3"/>
      </w:pPr>
      <w:r>
        <w:rPr>
          <w:rFonts w:hint="eastAsia"/>
        </w:rPr>
        <w:t>此扰动驱动联络</w:t>
      </w:r>
      <w:r>
        <w:t xml:space="preserve"> </w:t>
      </w:r>
      <m:oMath>
        <m:r>
          <m:rPr>
            <m:sty m:val="p"/>
            <m:scr m:val="script"/>
          </m:rPr>
          <m:t>A</m:t>
        </m:r>
      </m:oMath>
      <w:r>
        <w:t xml:space="preserve"> </w:t>
      </w:r>
      <w:r>
        <w:rPr>
          <w:rFonts w:hint="eastAsia"/>
        </w:rPr>
        <w:t>偏离平坦条件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  <m:scr m:val="script"/>
          </m:rPr>
          <m:t>ℱ</m:t>
        </m:r>
        <m:r>
          <m:rPr>
            <m:sty m:val="p"/>
          </m:rPr>
          <m:t>=</m:t>
        </m:r>
        <m:r>
          <m:rPr/>
          <m:t>d</m:t>
        </m:r>
        <m:r>
          <m:rPr>
            <m:sty m:val="p"/>
            <m:scr m:val="script"/>
          </m:rPr>
          <m:t>A</m:t>
        </m:r>
        <m:r>
          <m:rPr>
            <m:sty m:val="p"/>
          </m:rPr>
          <m:t>+</m:t>
        </m:r>
        <m:r>
          <m:rPr>
            <m:sty m:val="p"/>
            <m:scr m:val="script"/>
          </m:rPr>
          <m:t>A</m:t>
        </m:r>
        <m:r>
          <m:rPr>
            <m:sty m:val="p"/>
          </m:rPr>
          <m:t>∧</m:t>
        </m:r>
        <m:r>
          <m:rPr>
            <m:sty m:val="p"/>
            <m:scr m:val="script"/>
          </m:rPr>
          <m:t>A</m:t>
        </m:r>
        <m:r>
          <m:rPr>
            <m:sty m:val="p"/>
          </m:rPr>
          <m:t>=</m:t>
        </m:r>
        <m:r>
          <m:rPr/>
          <m:t>0</m:t>
        </m:r>
        <m:r>
          <m:rPr>
            <m:sty m:val="p"/>
          </m:rPr>
          <m:t>)</m:t>
        </m:r>
      </m:oMath>
      <w:r>
        <w:rPr>
          <w:rFonts w:hint="eastAsia"/>
        </w:rPr>
        <w:t>，从而激发真空的亚稳态。这些亚稳态对应于论文中定义的、未能形成稳定粒子的场组合态。在足够的能量注入下，这些亚稳态可以通过拓扑跃迁，重组为新的稳定态。</w:t>
      </w:r>
    </w:p>
    <w:bookmarkEnd w:id="1"/>
    <w:p w14:paraId="35D91A66">
      <w:pPr>
        <w:pStyle w:val="6"/>
      </w:pPr>
      <w:bookmarkStart w:id="2" w:name="反质子与介子的协同产生场组合的拓扑跃迁"/>
      <w:r>
        <w:t xml:space="preserve">3. </w:t>
      </w:r>
      <w:r>
        <w:rPr>
          <w:rFonts w:hint="eastAsia"/>
        </w:rPr>
        <w:t>反质子与介子的协同产生：场组合的拓扑跃迁</w:t>
      </w:r>
    </w:p>
    <w:p w14:paraId="5CAE63A6">
      <w:pPr>
        <w:pStyle w:val="4"/>
      </w:pPr>
      <w:r>
        <w:rPr>
          <w:rFonts w:hint="eastAsia"/>
        </w:rPr>
        <w:t>反质子</w:t>
      </w:r>
      <w:r>
        <w:t xml:space="preserve"> </w:t>
      </w:r>
      <m:oMath>
        <m:acc>
          <m:accPr>
            <m:chr m:val="‾"/>
          </m:accPr>
          <m:e>
            <m:r>
              <m:rPr/>
              <m:t>p</m:t>
            </m:r>
          </m:e>
        </m:acc>
      </m:oMath>
      <w:r>
        <w:t xml:space="preserve"> </w:t>
      </w:r>
      <w:r>
        <w:rPr>
          <w:rFonts w:hint="eastAsia"/>
        </w:rPr>
        <w:t>的生成，是真空模空间中的一个拓扑非平凡的跃迁事件。该事件由</w:t>
      </w:r>
      <w:r>
        <w:t xml:space="preserve"> </w:t>
      </w:r>
      <w:r>
        <w:rPr>
          <w:rFonts w:hint="eastAsia"/>
        </w:rPr>
        <w:t>Chern-Simons作用量</w:t>
      </w:r>
      <w:r>
        <w:t xml:space="preserve"> </w:t>
      </w:r>
      <m:oMath>
        <m:sSub>
          <m:sSubPr/>
          <m:e>
            <m:r>
              <m:rPr/>
              <m:t>S</m:t>
            </m:r>
          </m:e>
          <m:sub>
            <m:r>
              <m:rPr/>
              <m:t>CS</m:t>
            </m:r>
          </m:sub>
        </m:sSub>
        <m:r>
          <m:rPr>
            <m:sty m:val="p"/>
          </m:rPr>
          <m:t>=</m:t>
        </m:r>
        <m:f>
          <m:fPr/>
          <m:num>
            <m:r>
              <m:rPr/>
              <m:t>k</m:t>
            </m:r>
          </m:num>
          <m:den>
            <m:r>
              <m:rPr/>
              <m:t>4π</m:t>
            </m:r>
          </m:den>
        </m:f>
        <m:nary>
          <m:naryPr>
            <m:limLoc m:val="subSup"/>
            <m:supHide m:val="1"/>
          </m:naryPr>
          <m:sub>
            <m:r>
              <m:rPr/>
              <m:t>M</m:t>
            </m:r>
          </m:sub>
          <m:sup>
            <m:r>
              <m:rPr/>
              <m:t>​</m:t>
            </m:r>
          </m:sup>
          <m:e>
            <m:r>
              <m:rPr>
                <m:sty m:val="p"/>
              </m:rPr>
              <m:t>Tr</m:t>
            </m:r>
          </m:e>
        </m:nary>
        <m:r>
          <m:rPr>
            <m:sty m:val="p"/>
          </m:rPr>
          <m:t>(</m:t>
        </m:r>
        <m:r>
          <m:rPr>
            <m:sty m:val="p"/>
            <m:scr m:val="script"/>
          </m:rPr>
          <m:t>A</m:t>
        </m:r>
        <m:r>
          <m:rPr>
            <m:sty m:val="p"/>
          </m:rPr>
          <m:t>∧</m:t>
        </m:r>
        <m:r>
          <m:rPr/>
          <m:t>d</m:t>
        </m:r>
        <m:r>
          <m:rPr>
            <m:sty m:val="p"/>
            <m:scr m:val="script"/>
          </m:rPr>
          <m:t>A</m:t>
        </m:r>
        <m:r>
          <m:rPr>
            <m:sty m:val="p"/>
          </m:rPr>
          <m:t>+</m:t>
        </m:r>
        <m:f>
          <m:fPr/>
          <m:num>
            <m:r>
              <m:rPr/>
              <m:t>2</m:t>
            </m:r>
          </m:num>
          <m:den>
            <m:r>
              <m:rPr/>
              <m:t>3</m:t>
            </m:r>
          </m:den>
        </m:f>
        <m:r>
          <m:rPr>
            <m:sty m:val="p"/>
            <m:scr m:val="script"/>
          </m:rPr>
          <m:t>A</m:t>
        </m:r>
        <m:r>
          <m:rPr>
            <m:sty m:val="p"/>
          </m:rPr>
          <m:t>∧</m:t>
        </m:r>
        <m:r>
          <m:rPr>
            <m:sty m:val="p"/>
            <m:scr m:val="script"/>
          </m:rPr>
          <m:t>A</m:t>
        </m:r>
        <m:r>
          <m:rPr>
            <m:sty m:val="p"/>
          </m:rPr>
          <m:t>∧</m:t>
        </m:r>
        <m:r>
          <m:rPr>
            <m:sty m:val="p"/>
            <m:scr m:val="script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>所描述。</w:t>
      </w:r>
    </w:p>
    <w:p w14:paraId="6900BCA9">
      <w:pPr>
        <w:numPr>
          <w:ilvl w:val="0"/>
          <w:numId w:val="1"/>
        </w:numPr>
      </w:pPr>
      <w:r>
        <w:rPr>
          <w:rFonts w:hint="eastAsia"/>
          <w:b/>
          <w:bCs/>
        </w:rPr>
        <w:t>反质子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rPr/>
              <m:t>p</m:t>
            </m:r>
          </m:e>
        </m:acc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>的涌现：</w:t>
      </w:r>
      <w:r>
        <w:t xml:space="preserve"> </w:t>
      </w:r>
      <w:r>
        <w:rPr>
          <w:rFonts w:hint="eastAsia"/>
        </w:rPr>
        <w:t>反质子态</w:t>
      </w:r>
      <w:r>
        <w:t xml:space="preserve"> </w:t>
      </w:r>
      <m:oMath>
        <m:r>
          <m:rPr>
            <m:sty m:val="p"/>
          </m:rPr>
          <m:t>|</m:t>
        </m:r>
        <m:acc>
          <m:accPr>
            <m:chr m:val="‾"/>
          </m:accPr>
          <m:e>
            <m:r>
              <m:rPr/>
              <m:t>p</m:t>
            </m:r>
          </m:e>
        </m:acc>
        <m:r>
          <m:rPr>
            <m:sty m:val="p"/>
          </m:rPr>
          <m:t>⟩</m:t>
        </m:r>
      </m:oMath>
      <w:r>
        <w:t xml:space="preserve"> </w:t>
      </w:r>
      <w:r>
        <w:rPr>
          <w:rFonts w:hint="eastAsia"/>
        </w:rPr>
        <w:t>是质子态</w:t>
      </w:r>
      <w:r>
        <w:t xml:space="preserve"> </w:t>
      </w:r>
      <m:oMath>
        <m:r>
          <m:rPr>
            <m:sty m:val="p"/>
          </m:rPr>
          <m:t>|</m:t>
        </m:r>
        <m:r>
          <m:rPr/>
          <m:t>p</m:t>
        </m:r>
        <m:r>
          <m:rPr>
            <m:sty m:val="p"/>
          </m:rPr>
          <m:t>⟩</m:t>
        </m:r>
      </m:oMath>
      <w:r>
        <w:t xml:space="preserve"> </w:t>
      </w:r>
      <w:r>
        <w:rPr>
          <w:rFonts w:hint="eastAsia"/>
        </w:rPr>
        <w:t>的手性共轭态。其产生对应于一个非平凡的Wilson</w:t>
      </w:r>
      <w:r>
        <w:t xml:space="preserve"> </w:t>
      </w:r>
      <w:r>
        <w:rPr>
          <w:rFonts w:hint="eastAsia"/>
        </w:rPr>
        <w:t>Loop：</w:t>
      </w:r>
    </w:p>
    <w:p w14:paraId="1F8AD0D4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⟨</m:t>
          </m:r>
          <m:sSub>
            <m:sSubPr/>
            <m:e>
              <m:r>
                <m:rPr/>
                <m:t>W</m:t>
              </m:r>
            </m:e>
            <m:sub>
              <m:r>
                <m:rPr/>
                <m:t>γ</m:t>
              </m:r>
            </m:sub>
          </m:sSub>
          <m:r>
            <m:rPr>
              <m:sty m:val="p"/>
            </m:rPr>
            <m:t>⟩=</m:t>
          </m:r>
          <m:d>
            <m:dPr>
              <m:begChr m:val="⟨"/>
              <m:sepChr m:val=""/>
              <m:endChr m:val="⟩"/>
            </m:dPr>
            <m:e>
              <m:r>
                <m:rPr>
                  <m:sty m:val="p"/>
                </m:rPr>
                <m:t>Tr</m:t>
              </m:r>
              <m:d>
                <m:dPr>
                  <m:begChr m:val="["/>
                  <m:sepChr m:val=""/>
                  <m:endChr m:val="]"/>
                </m:dPr>
                <m:e>
                  <m:r>
                    <m:rPr>
                      <m:sty m:val="p"/>
                      <m:scr m:val="script"/>
                    </m:rPr>
                    <m:t>P</m:t>
                  </m:r>
                  <m:r>
                    <m:rPr>
                      <m:sty m:val="p"/>
                    </m:rPr>
                    <m:t>exp</m:t>
                  </m:r>
                  <m:d>
                    <m:dPr>
                      <m:sepChr m:val=""/>
                    </m:dPr>
                    <m:e>
                      <m:r>
                        <m:rPr/>
                        <m:t>i</m:t>
                      </m:r>
                      <m:nary>
                        <m:naryPr>
                          <m:chr m:val="∮"/>
                          <m:limLoc m:val="subSup"/>
                          <m:supHide m:val="1"/>
                        </m:naryPr>
                        <m:sub>
                          <m:r>
                            <m:rPr/>
                            <m:t>γ</m:t>
                          </m:r>
                        </m:sub>
                        <m:sup>
                          <m:r>
                            <m:rPr/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  <m:scr m:val="script"/>
                            </m:rPr>
                            <m:t>A</m:t>
                          </m:r>
                        </m:e>
                      </m:nary>
                    </m:e>
                  </m:d>
                </m:e>
              </m:d>
            </m:e>
          </m:d>
        </m:oMath>
      </m:oMathPara>
    </w:p>
    <w:p w14:paraId="1CAC70CF">
      <w:pPr>
        <w:numPr>
          <w:numId w:val="0"/>
        </w:numPr>
      </w:pPr>
      <w:r>
        <w:rPr>
          <w:rFonts w:hint="eastAsia"/>
        </w:rPr>
        <w:t>其中环路</w:t>
      </w:r>
      <w:r>
        <w:t xml:space="preserve"> </w:t>
      </w:r>
      <m:oMath>
        <m:r>
          <m:rPr/>
          <m:t>γ</m:t>
        </m:r>
      </m:oMath>
      <w:r>
        <w:t xml:space="preserve"> </w:t>
      </w:r>
      <w:r>
        <w:rPr>
          <w:rFonts w:hint="eastAsia"/>
        </w:rPr>
        <w:t>的拓扑非平凡性，标志着场组合从</w:t>
      </w:r>
      <w:r>
        <w:t xml:space="preserve"> </w:t>
      </w:r>
      <m:oMath>
        <m:r>
          <m:rPr>
            <m:sty m:val="p"/>
          </m:rPr>
          <m:t>|</m:t>
        </m:r>
        <m:r>
          <m:rPr/>
          <m:t>p</m:t>
        </m:r>
        <m:r>
          <m:rPr>
            <m:sty m:val="p"/>
          </m:rPr>
          <m:t>⟩</m:t>
        </m:r>
      </m:oMath>
      <w:r>
        <w:t xml:space="preserve"> </w:t>
      </w:r>
      <w:r>
        <w:rPr>
          <w:rFonts w:hint="eastAsia"/>
        </w:rPr>
        <w:t>到</w:t>
      </w:r>
      <w:r>
        <w:t xml:space="preserve"> </w:t>
      </w:r>
      <m:oMath>
        <m:r>
          <m:rPr>
            <m:sty m:val="p"/>
          </m:rPr>
          <m:t>|</m:t>
        </m:r>
        <m:acc>
          <m:accPr>
            <m:chr m:val="‾"/>
          </m:accPr>
          <m:e>
            <m:r>
              <m:rPr/>
              <m:t>p</m:t>
            </m:r>
          </m:e>
        </m:acc>
        <m:r>
          <m:rPr>
            <m:sty m:val="p"/>
          </m:rPr>
          <m:t>⟩</m:t>
        </m:r>
      </m:oMath>
      <w:r>
        <w:t xml:space="preserve"> </w:t>
      </w:r>
      <w:r>
        <w:rPr>
          <w:rFonts w:hint="eastAsia"/>
        </w:rPr>
        <w:t>的跃迁。该过程需要能量超过阈值以克服B场手性翻转的势垒。</w:t>
      </w:r>
    </w:p>
    <w:p w14:paraId="6378E35F">
      <w:pPr>
        <w:numPr>
          <w:ilvl w:val="0"/>
          <w:numId w:val="1"/>
        </w:numPr>
      </w:pPr>
      <w:r>
        <w:rPr>
          <w:rFonts w:hint="eastAsia"/>
          <w:b/>
          <w:bCs/>
        </w:rPr>
        <w:t>介子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rPr/>
          <m:t>η</m:t>
        </m:r>
        <m:r>
          <m:rPr>
            <m:sty m:val="p"/>
          </m:rPr>
          <m:t>,</m:t>
        </m:r>
        <m:sSup>
          <m:sSupPr/>
          <m:e>
            <m:r>
              <m:rPr/>
              <m:t>η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>的伴随产生：</w:t>
      </w:r>
      <w:r>
        <w:t xml:space="preserve"> </w:t>
      </w:r>
      <w:r>
        <w:rPr>
          <w:rFonts w:hint="eastAsia"/>
        </w:rPr>
        <w:t>根据ABC理论，</w:t>
      </w:r>
      <m:oMath>
        <m:r>
          <m:rPr/>
          <m:t>η</m:t>
        </m:r>
      </m:oMath>
      <w:r>
        <w:t xml:space="preserve"> </w:t>
      </w:r>
      <w:r>
        <w:rPr>
          <w:rFonts w:hint="eastAsia"/>
        </w:rPr>
        <w:t>和</w:t>
      </w:r>
      <w:r>
        <w:t xml:space="preserve"> </w:t>
      </w:r>
      <m:oMath>
        <m:sSup>
          <m:sSupPr/>
          <m:e>
            <m:r>
              <m:rPr/>
              <m:t>η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rPr>
          <w:rFonts w:hint="eastAsia"/>
        </w:rPr>
        <w:t>介子是特定的场组合亚稳态。它们的产生是拓扑跃迁的必然伴随现象，用于平衡整个系统的量子数，并满足闭时路径积分</w:t>
      </w:r>
      <w:r>
        <w:t xml:space="preserve"> </w:t>
      </w:r>
      <m:oMath>
        <m:r>
          <m:rPr/>
          <m:t>Z</m:t>
        </m:r>
        <m:r>
          <m:rPr>
            <m:sty m:val="p"/>
          </m:rPr>
          <m:t>=∫</m:t>
        </m:r>
        <m:r>
          <m:rPr>
            <m:sty m:val="p"/>
            <m:scr m:val="script"/>
          </m:rPr>
          <m:t>D</m:t>
        </m:r>
        <m:r>
          <m:rPr>
            <m:sty m:val="p"/>
          </m:rPr>
          <m:t>[</m:t>
        </m:r>
        <m:r>
          <m:rPr>
            <m:sty m:val="p"/>
            <m:scr m:val="script"/>
          </m:rPr>
          <m:t>A</m:t>
        </m:r>
        <m:r>
          <m:rPr>
            <m:sty m:val="p"/>
          </m:rPr>
          <m:t>]exp(</m:t>
        </m:r>
        <m:r>
          <m:rPr/>
          <m:t>i</m:t>
        </m:r>
        <m:sSub>
          <m:sSubPr/>
          <m:e>
            <m:r>
              <m:rPr/>
              <m:t>S</m:t>
            </m:r>
          </m:e>
          <m:sub>
            <m:r>
              <m:rPr/>
              <m:t>CS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>的规范不变性要求。</w:t>
      </w:r>
    </w:p>
    <w:p w14:paraId="6969CC80">
      <w:pPr>
        <w:pStyle w:val="26"/>
        <w:numPr>
          <w:ilvl w:val="1"/>
          <w:numId w:val="1"/>
        </w:numPr>
      </w:pPr>
      <w:r>
        <w:rPr>
          <w:rFonts w:hint="eastAsia"/>
        </w:rPr>
        <w:t>两对正反上夸克场组合</w:t>
      </w:r>
      <w:r>
        <w:t xml:space="preserve"> </w:t>
      </w:r>
      <m:oMath>
        <m:r>
          <m:rPr>
            <m:sty m:val="p"/>
          </m:rPr>
          <m:t>(|</m:t>
        </m:r>
        <m:sSubSup>
          <m:sSubSupPr/>
          <m:e>
            <m:r>
              <m:rPr/>
              <m:t>B</m:t>
            </m:r>
          </m:e>
          <m:sub>
            <m:r>
              <m:rPr>
                <m:sty m:val="p"/>
              </m:rPr>
              <m:t>+</m:t>
            </m:r>
            <m:r>
              <m:rPr/>
              <m:t>2</m:t>
            </m:r>
            <m:r>
              <m:rPr>
                <m:sty m:val="p"/>
              </m:rPr>
              <m:t>/</m:t>
            </m:r>
            <m:r>
              <m:rPr/>
              <m:t>3</m:t>
            </m:r>
          </m:sub>
          <m:sup>
            <m:r>
              <m:rPr/>
              <m:t>c</m:t>
            </m:r>
          </m:sup>
        </m:sSubSup>
        <m:r>
          <m:rPr>
            <m:sty m:val="p"/>
          </m:rPr>
          <m:t>⊗</m:t>
        </m:r>
        <m:sSubSup>
          <m:sSubSupPr/>
          <m:e>
            <m:r>
              <m:rPr/>
              <m:t>B</m:t>
            </m:r>
          </m:e>
          <m:sub>
            <m:r>
              <m:rPr>
                <m:sty m:val="p"/>
              </m:rPr>
              <m:t>−</m:t>
            </m:r>
            <m:r>
              <m:rPr/>
              <m:t>2</m:t>
            </m:r>
            <m:r>
              <m:rPr>
                <m:sty m:val="p"/>
              </m:rPr>
              <m:t>/</m:t>
            </m:r>
            <m:r>
              <m:rPr/>
              <m:t>3</m:t>
            </m:r>
          </m:sub>
          <m:sup>
            <m:acc>
              <m:accPr>
                <m:chr m:val="‾"/>
              </m:accPr>
              <m:e>
                <m:r>
                  <m:rPr/>
                  <m:t>c</m:t>
                </m:r>
              </m:e>
            </m:acc>
          </m:sup>
        </m:sSubSup>
        <m:r>
          <m:rPr>
            <m:sty m:val="p"/>
          </m:rPr>
          <m:t>⟩)</m:t>
        </m:r>
      </m:oMath>
      <w:r>
        <w:t xml:space="preserve"> </w:t>
      </w:r>
      <w:r>
        <w:rPr>
          <w:rFonts w:hint="eastAsia"/>
        </w:rPr>
        <w:t>强子化为两个</w:t>
      </w:r>
      <w:r>
        <w:t xml:space="preserve"> </w:t>
      </w:r>
      <m:oMath>
        <m:r>
          <m:rPr/>
          <m:t>η</m:t>
        </m:r>
      </m:oMath>
      <w:r>
        <w:t xml:space="preserve"> </w:t>
      </w:r>
      <w:r>
        <w:rPr>
          <w:rFonts w:hint="eastAsia"/>
        </w:rPr>
        <w:t>介子。</w:t>
      </w:r>
    </w:p>
    <w:p w14:paraId="6BFE8304">
      <w:pPr>
        <w:pStyle w:val="26"/>
        <w:numPr>
          <w:ilvl w:val="1"/>
          <w:numId w:val="1"/>
        </w:numPr>
      </w:pPr>
      <w:r>
        <w:rPr>
          <w:rFonts w:hint="eastAsia"/>
        </w:rPr>
        <w:t>一对正反下夸克场组合</w:t>
      </w:r>
      <w:r>
        <w:t xml:space="preserve"> </w:t>
      </w:r>
      <m:oMath>
        <m:r>
          <m:rPr>
            <m:sty m:val="p"/>
          </m:rPr>
          <m:t>(|</m:t>
        </m:r>
        <m:sSubSup>
          <m:sSubSupPr/>
          <m:e>
            <m:r>
              <m:rPr/>
              <m:t>B</m:t>
            </m:r>
          </m:e>
          <m:sub>
            <m:r>
              <m:rPr>
                <m:sty m:val="p"/>
              </m:rPr>
              <m:t>−</m:t>
            </m:r>
            <m:r>
              <m:rPr/>
              <m:t>1</m:t>
            </m:r>
            <m:r>
              <m:rPr>
                <m:sty m:val="p"/>
              </m:rPr>
              <m:t>/</m:t>
            </m:r>
            <m:r>
              <m:rPr/>
              <m:t>3</m:t>
            </m:r>
          </m:sub>
          <m:sup>
            <m:r>
              <m:rPr/>
              <m:t>c</m:t>
            </m:r>
          </m:sup>
        </m:sSubSup>
        <m:r>
          <m:rPr>
            <m:sty m:val="p"/>
          </m:rPr>
          <m:t>⊗</m:t>
        </m:r>
        <m:sSubSup>
          <m:sSubSupPr/>
          <m:e>
            <m:r>
              <m:rPr/>
              <m:t>B</m:t>
            </m:r>
          </m:e>
          <m:sub>
            <m:r>
              <m:rPr>
                <m:sty m:val="p"/>
              </m:rPr>
              <m:t>+</m:t>
            </m:r>
            <m:r>
              <m:rPr/>
              <m:t>1</m:t>
            </m:r>
            <m:r>
              <m:rPr>
                <m:sty m:val="p"/>
              </m:rPr>
              <m:t>/</m:t>
            </m:r>
            <m:r>
              <m:rPr/>
              <m:t>3</m:t>
            </m:r>
          </m:sub>
          <m:sup>
            <m:acc>
              <m:accPr>
                <m:chr m:val="‾"/>
              </m:accPr>
              <m:e>
                <m:r>
                  <m:rPr/>
                  <m:t>c</m:t>
                </m:r>
              </m:e>
            </m:acc>
          </m:sup>
        </m:sSubSup>
        <m:r>
          <m:rPr>
            <m:sty m:val="p"/>
          </m:rPr>
          <m:t>⟩)</m:t>
        </m:r>
      </m:oMath>
      <w:r>
        <w:t xml:space="preserve"> </w:t>
      </w:r>
      <w:r>
        <w:rPr>
          <w:rFonts w:hint="eastAsia"/>
        </w:rPr>
        <w:t>强子化为一个</w:t>
      </w:r>
      <w:r>
        <w:t xml:space="preserve"> </w:t>
      </w:r>
      <m:oMath>
        <m:sSup>
          <m:sSupPr/>
          <m:e>
            <m:r>
              <m:rPr/>
              <m:t>η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rPr>
          <w:rFonts w:hint="eastAsia"/>
        </w:rPr>
        <w:t>介子。</w:t>
      </w:r>
    </w:p>
    <w:p w14:paraId="3308481E">
      <w:pPr>
        <w:numPr>
          <w:ilvl w:val="0"/>
          <w:numId w:val="2"/>
        </w:numPr>
      </w:pPr>
      <w:r>
        <w:rPr>
          <w:rFonts w:hint="eastAsia"/>
        </w:rPr>
        <w:t>它们的产生是真空为响应扰动、恢复平衡而进行的场模式重组。</w:t>
      </w:r>
    </w:p>
    <w:bookmarkEnd w:id="2"/>
    <w:p w14:paraId="72FEA0AA">
      <w:pPr>
        <w:pStyle w:val="6"/>
      </w:pPr>
      <w:bookmarkStart w:id="3" w:name="能量阈值6.8-text-gev-的起源"/>
      <w:r>
        <w:t xml:space="preserve">4. </w:t>
      </w:r>
      <w:r>
        <w:rPr>
          <w:rFonts w:hint="eastAsia"/>
        </w:rPr>
        <w:t>能量阈值：6.8</w:t>
      </w:r>
      <w:r>
        <w:t xml:space="preserve"> </w:t>
      </w:r>
      <m:oMath>
        <m:r>
          <m:rPr>
            <m:sty m:val="p"/>
          </m:rPr>
          <m:t>GeV</m:t>
        </m:r>
      </m:oMath>
      <w:r>
        <w:t xml:space="preserve"> </w:t>
      </w:r>
      <w:r>
        <w:rPr>
          <w:rFonts w:hint="eastAsia"/>
        </w:rPr>
        <w:t>的起源</w:t>
      </w:r>
    </w:p>
    <w:p w14:paraId="3B171C43">
      <w:pPr>
        <w:pStyle w:val="4"/>
      </w:pPr>
      <m:oMath>
        <m:r>
          <m:rPr/>
          <m:t>6.8</m:t>
        </m:r>
        <m:r>
          <m:rPr>
            <m:sty m:val="p"/>
          </m:rPr>
          <m:t>GeV</m:t>
        </m:r>
      </m:oMath>
      <w:r>
        <w:t xml:space="preserve"> </w:t>
      </w:r>
      <w:r>
        <w:rPr>
          <w:rFonts w:hint="eastAsia"/>
        </w:rPr>
        <w:t>的阈值能量</w:t>
      </w:r>
      <w:r>
        <w:t xml:space="preserve"> </w:t>
      </w:r>
      <m:oMath>
        <m:sSub>
          <m:sSubPr/>
          <m:e>
            <m:r>
              <m:rPr/>
              <m:t>E</m:t>
            </m:r>
          </m:e>
          <m:sub>
            <m:r>
              <m:rPr>
                <m:sty m:val="p"/>
              </m:rPr>
              <m:t>th</m:t>
            </m:r>
          </m:sub>
        </m:sSub>
      </m:oMath>
      <w:r>
        <w:t xml:space="preserve"> </w:t>
      </w:r>
      <w:r>
        <w:rPr>
          <w:rFonts w:hint="eastAsia"/>
        </w:rPr>
        <w:t>并非仅用于产生反质子的静质量</w:t>
      </w:r>
      <w:r>
        <w:t xml:space="preserve"> </w:t>
      </w:r>
      <m:oMath>
        <m:r>
          <m:rPr>
            <m:sty m:val="p"/>
          </m:rPr>
          <m:t>(</m:t>
        </m:r>
        <m:sSub>
          <m:sSubPr/>
          <m:e>
            <m:r>
              <m:rPr/>
              <m:t>m</m:t>
            </m:r>
          </m:e>
          <m:sub>
            <m:acc>
              <m:accPr>
                <m:chr m:val="‾"/>
              </m:accPr>
              <m:e>
                <m:r>
                  <m:rPr/>
                  <m:t>p</m:t>
                </m:r>
              </m:e>
            </m:acc>
          </m:sub>
        </m:sSub>
        <m:sSup>
          <m:sSupPr/>
          <m:e>
            <m:r>
              <m:rPr/>
              <m:t>c</m:t>
            </m:r>
          </m:e>
          <m:sup>
            <m:r>
              <m:rPr/>
              <m:t>2</m:t>
            </m:r>
          </m:sup>
        </m:sSup>
        <m:r>
          <m:rPr>
            <m:sty m:val="p"/>
          </m:rPr>
          <m:t>≈</m:t>
        </m:r>
        <m:r>
          <m:rPr/>
          <m:t>0.938</m:t>
        </m:r>
        <m:r>
          <m:rPr>
            <m:sty m:val="p"/>
          </m:rPr>
          <m:t>GeV)</m:t>
        </m:r>
      </m:oMath>
      <w:r>
        <w:rPr>
          <w:rFonts w:hint="eastAsia"/>
        </w:rPr>
        <w:t>。其更深刻的物理意义在于：</w:t>
      </w:r>
    </w:p>
    <w:p w14:paraId="6A41D571">
      <w:pPr>
        <w:pStyle w:val="26"/>
        <w:numPr>
          <w:ilvl w:val="0"/>
          <w:numId w:val="3"/>
        </w:numPr>
      </w:pPr>
      <w:r>
        <w:rPr>
          <w:rFonts w:hint="eastAsia"/>
          <w:b/>
          <w:bCs/>
        </w:rPr>
        <w:t>激发C场：</w:t>
      </w:r>
      <w:r>
        <w:t xml:space="preserve"> </w:t>
      </w:r>
      <w:r>
        <w:rPr>
          <w:rFonts w:hint="eastAsia"/>
        </w:rPr>
        <w:t>需要能量激发希格斯场C，使其从真空基态</w:t>
      </w:r>
      <w:r>
        <w:t xml:space="preserve"> </w:t>
      </w:r>
      <m:oMath>
        <m:r>
          <m:rPr>
            <m:sty m:val="p"/>
          </m:rPr>
          <m:t>|</m:t>
        </m:r>
        <m:sSup>
          <m:sSupPr/>
          <m:e>
            <m:r>
              <m:rPr/>
              <m:t>C</m:t>
            </m:r>
          </m:e>
          <m:sup>
            <m:r>
              <m:rPr/>
              <m:t>0</m:t>
            </m:r>
          </m:sup>
        </m:sSup>
        <m:r>
          <m:rPr>
            <m:sty m:val="p"/>
          </m:rPr>
          <m:t>⟩</m:t>
        </m:r>
      </m:oMath>
      <w:r>
        <w:t xml:space="preserve"> </w:t>
      </w:r>
      <w:r>
        <w:rPr>
          <w:rFonts w:hint="eastAsia"/>
        </w:rPr>
        <w:t>跃迁到反质子对应的质量能级</w:t>
      </w:r>
      <w:r>
        <w:t xml:space="preserve"> </w:t>
      </w:r>
      <m:oMath>
        <m:r>
          <m:rPr>
            <m:sty m:val="p"/>
          </m:rPr>
          <m:t>|</m:t>
        </m:r>
        <m:sSub>
          <m:sSubPr/>
          <m:e>
            <m:r>
              <m:rPr/>
              <m:t>C</m:t>
            </m:r>
          </m:e>
          <m:sub>
            <m:acc>
              <m:accPr>
                <m:chr m:val="‾"/>
              </m:accPr>
              <m:e>
                <m:r>
                  <m:rPr/>
                  <m:t>p</m:t>
                </m:r>
              </m:e>
            </m:acc>
          </m:sub>
        </m:sSub>
        <m:r>
          <m:rPr>
            <m:sty m:val="p"/>
          </m:rPr>
          <m:t>⟩</m:t>
        </m:r>
      </m:oMath>
      <w:r>
        <w:t>。</w:t>
      </w:r>
    </w:p>
    <w:p w14:paraId="348E4E5E">
      <w:pPr>
        <w:pStyle w:val="26"/>
        <w:numPr>
          <w:ilvl w:val="0"/>
          <w:numId w:val="3"/>
        </w:numPr>
      </w:pPr>
      <w:r>
        <w:rPr>
          <w:rFonts w:hint="eastAsia"/>
          <w:b/>
          <w:bCs/>
        </w:rPr>
        <w:t>翻转B场：</w:t>
      </w:r>
      <w:r>
        <w:t xml:space="preserve"> </w:t>
      </w:r>
      <w:r>
        <w:rPr>
          <w:rFonts w:hint="eastAsia"/>
        </w:rPr>
        <w:t>需要能量克服B场从</w:t>
      </w:r>
      <w:r>
        <w:t xml:space="preserve"> </w:t>
      </w:r>
      <m:oMath>
        <m:sSubSup>
          <m:sSubSupPr/>
          <m:e>
            <m:r>
              <m:rPr/>
              <m:t>B</m:t>
            </m:r>
          </m:e>
          <m:sub>
            <m:r>
              <m:rPr>
                <m:sty m:val="p"/>
              </m:rPr>
              <m:t>+</m:t>
            </m:r>
          </m:sub>
          <m:sup>
            <m:r>
              <m:rPr/>
              <m:t>c</m:t>
            </m:r>
          </m:sup>
        </m:sSubSup>
      </m:oMath>
      <w:r>
        <w:t xml:space="preserve"> </w:t>
      </w:r>
      <w:r>
        <w:rPr>
          <w:rFonts w:hint="eastAsia"/>
        </w:rPr>
        <w:t>翻转到</w:t>
      </w:r>
      <w:r>
        <w:t xml:space="preserve"> </w:t>
      </w:r>
      <m:oMath>
        <m:sSubSup>
          <m:sSubSupPr/>
          <m:e>
            <m:r>
              <m:rPr/>
              <m:t>B</m:t>
            </m:r>
          </m:e>
          <m:sub>
            <m:r>
              <m:rPr>
                <m:sty m:val="p"/>
              </m:rPr>
              <m:t>−</m:t>
            </m:r>
          </m:sub>
          <m:sup>
            <m:acc>
              <m:accPr>
                <m:chr m:val="‾"/>
              </m:accPr>
              <m:e>
                <m:r>
                  <m:rPr/>
                  <m:t>c</m:t>
                </m:r>
              </m:e>
            </m:acc>
          </m:sup>
        </m:sSubSup>
      </m:oMath>
      <w:r>
        <w:t xml:space="preserve"> </w:t>
      </w:r>
      <w:r>
        <w:rPr>
          <w:rFonts w:hint="eastAsia"/>
        </w:rPr>
        <w:t>的手性势垒</w:t>
      </w:r>
      <w:r>
        <w:t xml:space="preserve"> </w:t>
      </w:r>
      <m:oMath>
        <m:sSub>
          <m:sSubPr/>
          <m:e>
            <m:r>
              <m:rPr/>
              <m:t>V</m:t>
            </m:r>
          </m:e>
          <m:sub>
            <m:sSup>
              <m:sSupPr/>
              <m:e>
                <m:r>
                  <m:rPr/>
                  <m:t>B</m:t>
                </m:r>
              </m:e>
              <m:sup>
                <m:r>
                  <m:rPr/>
                  <m:t>0</m:t>
                </m:r>
              </m:sup>
            </m:sSup>
          </m:sub>
        </m:sSub>
      </m:oMath>
      <w:r>
        <w:t>。</w:t>
      </w:r>
    </w:p>
    <w:p w14:paraId="33685B90">
      <w:pPr>
        <w:pStyle w:val="26"/>
        <w:numPr>
          <w:ilvl w:val="0"/>
          <w:numId w:val="3"/>
        </w:numPr>
      </w:pPr>
      <w:r>
        <w:rPr>
          <w:rFonts w:hint="eastAsia"/>
          <w:b/>
          <w:bCs/>
        </w:rPr>
        <w:t>拓扑激发能：</w:t>
      </w:r>
      <w:r>
        <w:t xml:space="preserve"> </w:t>
      </w:r>
      <w:r>
        <w:rPr>
          <w:rFonts w:hint="eastAsia"/>
        </w:rPr>
        <w:t>需要能量在模空间</w:t>
      </w:r>
      <w:r>
        <w:t xml:space="preserve"> </w:t>
      </w:r>
      <m:oMath>
        <m:sSub>
          <m:sSubPr/>
          <m:e>
            <m:r>
              <m:rPr>
                <m:sty m:val="p"/>
                <m:scr m:val="script"/>
              </m:rPr>
              <m:t>ℳ</m:t>
            </m:r>
          </m:e>
          <m:sub>
            <m:r>
              <m:rPr>
                <m:sty m:val="p"/>
              </m:rPr>
              <m:t>flat</m:t>
            </m:r>
          </m:sub>
        </m:sSub>
      </m:oMath>
      <w:r>
        <w:t xml:space="preserve"> </w:t>
      </w:r>
      <w:r>
        <w:rPr>
          <w:rFonts w:hint="eastAsia"/>
        </w:rPr>
        <w:t>中激发一个非平凡的拓扑缺陷（由Wilson</w:t>
      </w:r>
      <w:r>
        <w:t xml:space="preserve"> </w:t>
      </w:r>
      <w:r>
        <w:rPr>
          <w:rFonts w:hint="eastAsia"/>
        </w:rPr>
        <w:t>Loop表征），从而允许反质子态的出现。</w:t>
      </w:r>
    </w:p>
    <w:p w14:paraId="785C2F1E">
      <w:pPr>
        <w:pStyle w:val="4"/>
      </w:pPr>
      <w:r>
        <w:rPr>
          <w:rFonts w:hint="eastAsia"/>
        </w:rPr>
        <w:t>因此，</w:t>
      </w:r>
      <m:oMath>
        <m:sSub>
          <m:sSubPr/>
          <m:e>
            <m:r>
              <m:rPr/>
              <m:t>E</m:t>
            </m:r>
          </m:e>
          <m:sub>
            <m:r>
              <m:rPr>
                <m:sty m:val="p"/>
              </m:rPr>
              <m:t>th</m:t>
            </m:r>
          </m:sub>
        </m:sSub>
        <m:r>
          <m:rPr>
            <m:sty m:val="p"/>
          </m:rPr>
          <m:t>≈</m:t>
        </m:r>
        <m:r>
          <m:rPr/>
          <m:t>2</m:t>
        </m:r>
        <m:sSub>
          <m:sSubPr/>
          <m:e>
            <m:r>
              <m:rPr/>
              <m:t>m</m:t>
            </m:r>
          </m:e>
          <m:sub>
            <m:r>
              <m:rPr/>
              <m:t>p</m:t>
            </m:r>
          </m:sub>
        </m:sSub>
        <m:sSup>
          <m:sSupPr/>
          <m:e>
            <m:r>
              <m:rPr/>
              <m:t>c</m:t>
            </m:r>
          </m:e>
          <m:sup>
            <m:r>
              <m:rPr/>
              <m:t>2</m:t>
            </m:r>
          </m:sup>
        </m:sSup>
        <m:r>
          <m:rPr>
            <m:sty m:val="p"/>
          </m:rPr>
          <m:t>+</m:t>
        </m:r>
        <m:sSub>
          <m:sSubPr/>
          <m:e>
            <m:r>
              <m:rPr/>
              <m:t>V</m:t>
            </m:r>
          </m:e>
          <m:sub>
            <m:sSup>
              <m:sSupPr/>
              <m:e>
                <m:r>
                  <m:rPr/>
                  <m:t>B</m:t>
                </m:r>
              </m:e>
              <m:sup>
                <m:r>
                  <m:rPr/>
                  <m:t>0</m:t>
                </m:r>
              </m:sup>
            </m:sSup>
          </m:sub>
        </m:sSub>
        <m:r>
          <m:rPr>
            <m:sty m:val="p"/>
          </m:rPr>
          <m:t>+</m:t>
        </m:r>
        <m:sSub>
          <m:sSubPr/>
          <m:e>
            <m:r>
              <m:rPr/>
              <m:t>E</m:t>
            </m:r>
          </m:e>
          <m:sub>
            <m:r>
              <m:rPr>
                <m:sty m:val="p"/>
              </m:rPr>
              <m:t>topological</m:t>
            </m:r>
          </m:sub>
        </m:sSub>
        <m:r>
          <m:rPr>
            <m:sty m:val="p"/>
          </m:rPr>
          <m:t>≈</m:t>
        </m:r>
        <m:r>
          <m:rPr/>
          <m:t>6.8</m:t>
        </m:r>
        <m:r>
          <m:rPr>
            <m:sty m:val="p"/>
          </m:rPr>
          <m:t>GeV</m:t>
        </m:r>
      </m:oMath>
      <w:r>
        <w:t>。</w:t>
      </w:r>
    </w:p>
    <w:bookmarkEnd w:id="3"/>
    <w:p w14:paraId="66EB4A1D">
      <w:pPr>
        <w:pStyle w:val="6"/>
      </w:pPr>
      <w:bookmarkStart w:id="4" w:name="结论统一的场组合图像"/>
      <w:r>
        <w:t xml:space="preserve">5. </w:t>
      </w:r>
      <w:r>
        <w:rPr>
          <w:rFonts w:hint="eastAsia"/>
        </w:rPr>
        <w:t>结论：统一的场组合图像</w:t>
      </w:r>
    </w:p>
    <w:p w14:paraId="54C63C5A">
      <w:pPr>
        <w:pStyle w:val="4"/>
      </w:pPr>
      <w:r>
        <w:rPr>
          <w:rFonts w:hint="eastAsia"/>
        </w:rPr>
        <w:t>在ABC理论的框架下，</w:t>
      </w:r>
      <m:oMath>
        <m:r>
          <m:rPr>
            <m:sty m:val="p"/>
          </m:rPr>
          <m:t>p+p→p+p+</m:t>
        </m:r>
        <m:acc>
          <m:accPr>
            <m:chr m:val="‾"/>
          </m:accPr>
          <m:e>
            <m:r>
              <m:rPr>
                <m:sty m:val="p"/>
              </m:rPr>
              <m:t>p</m:t>
            </m:r>
          </m:e>
        </m:acc>
        <m:r>
          <m:rPr>
            <m:sty m:val="p"/>
          </m:rPr>
          <m:t>+p</m:t>
        </m:r>
      </m:oMath>
      <w:r>
        <w:t xml:space="preserve"> </w:t>
      </w:r>
      <w:r>
        <w:rPr>
          <w:rFonts w:hint="eastAsia"/>
        </w:rPr>
        <w:t>过程获得了一个全新、统一且数学严谨的解释：</w:t>
      </w:r>
    </w:p>
    <w:p w14:paraId="1CB9F6D3">
      <w:pPr>
        <w:pStyle w:val="3"/>
      </w:pPr>
      <w:r>
        <w:rPr>
          <w:rFonts w:hint="eastAsia"/>
        </w:rPr>
        <w:t>它是高能扰动下，真空模空间</w:t>
      </w:r>
      <w:r>
        <w:t xml:space="preserve"> </w:t>
      </w:r>
      <m:oMath>
        <m:sSub>
          <m:sSubPr/>
          <m:e>
            <m:r>
              <m:rPr>
                <m:sty m:val="p"/>
                <m:scr m:val="script"/>
              </m:rPr>
              <m:t>ℳ</m:t>
            </m:r>
          </m:e>
          <m:sub>
            <m:r>
              <m:rPr>
                <m:sty m:val="p"/>
              </m:rPr>
              <m:t>flat</m:t>
            </m:r>
          </m:sub>
        </m:sSub>
      </m:oMath>
      <w:r>
        <w:t xml:space="preserve"> </w:t>
      </w:r>
      <w:r>
        <w:rPr>
          <w:rFonts w:hint="eastAsia"/>
        </w:rPr>
        <w:t>从一个稳定场组合构型（包含两个质子）到另一个稳定构型（包含两个质子、一个反质子、一个质子以及伴随的介子）的拓扑跃迁。</w:t>
      </w:r>
      <w:r>
        <w:t xml:space="preserve"> </w:t>
      </w:r>
      <w:r>
        <w:rPr>
          <w:rFonts w:hint="eastAsia"/>
        </w:rPr>
        <w:t>反质子和介子都不是被“创造”出来的，而是真空本身所蕴含的无数场组合可能性，在满足能量、拓扑和守恒律约束下的必然涌现。</w:t>
      </w:r>
    </w:p>
    <w:p w14:paraId="7F2C9F80">
      <w:pPr>
        <w:pStyle w:val="3"/>
      </w:pPr>
      <w:r>
        <w:rPr>
          <w:rFonts w:hint="eastAsia"/>
        </w:rPr>
        <w:t>该图像完美体现了论文的核心思想：真空是场组合的背景海，粒子是其上的激发浪花。</w:t>
      </w:r>
    </w:p>
    <w:bookmarkEnd w:id="4"/>
    <w:p w14:paraId="2D74C171">
      <w:pPr>
        <w:pStyle w:val="6"/>
      </w:pPr>
      <w:bookmarkStart w:id="5" w:name="参考文献"/>
      <w:r>
        <w:rPr>
          <w:rFonts w:hint="eastAsia"/>
        </w:rPr>
        <w:t>参考文献</w:t>
      </w:r>
    </w:p>
    <w:p w14:paraId="14A0692D">
      <w:pPr>
        <w:pStyle w:val="4"/>
        <w:ind w:left="0" w:leftChars="0" w:firstLine="0" w:firstLineChars="0"/>
      </w:pPr>
      <w:r>
        <w:t>[1] Li, Z. J., Zhao, G. Y. Field Combination Theory: A Complete Framework. Preprint (2023).</w:t>
      </w:r>
      <w:r>
        <w:br w:type="textWrapping"/>
      </w:r>
      <w:r>
        <w:t>[2] Weinberg, S. The Quantum Theory of Fields, Vol. 2. Cambridge University Press (1996).</w:t>
      </w:r>
      <w:r>
        <w:br w:type="textWrapping"/>
      </w:r>
      <w:r>
        <w:t>[3] ’t Hooft, G. Naturalness, chiral symmetry, and spontaneous chiral symmetry breaking. NATO Sci. Ser. B (1980).</w:t>
      </w:r>
      <w:r>
        <w:br w:type="textWrapping"/>
      </w:r>
      <w:r>
        <w:t>[4] Particle Data Group. Review of Particle Physics. Prog. Theor. Exp. Phys. (2022).</w:t>
      </w:r>
    </w:p>
    <w:bookmarkEnd w:id="5"/>
    <w:sectPr>
      <w:footerReference r:id="rId5" w:type="default"/>
      <w:pgSz w:w="11906" w:h="16838"/>
      <w:pgMar w:top="1440" w:right="1800" w:bottom="1440" w:left="1800" w:header="720" w:footer="720" w:gutter="0"/>
      <w:cols w:space="720" w:num="1"/>
      <w:docGrid w:linePitch="326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imes New Roman (正文 CS 字体)">
    <w:altName w:val="宋体"/>
    <w:panose1 w:val="00000000000000000000"/>
    <w:charset w:val="86"/>
    <w:family w:val="roman"/>
    <w:pitch w:val="default"/>
    <w:sig w:usb0="00000000" w:usb1="00000000" w:usb2="00000000" w:usb3="00000000" w:csb0="00000000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363818139"/>
      <w:docPartObj>
        <w:docPartGallery w:val="autotext"/>
      </w:docPartObj>
    </w:sdtPr>
    <w:sdtContent>
      <w:p w14:paraId="542A371B">
        <w:pPr>
          <w:pStyle w:val="16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7290EB49">
    <w:pPr>
      <w:pStyle w:val="1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0"/>
    <w:multiLevelType w:val="multilevel"/>
    <w:tmpl w:val="0000A990"/>
    <w:lvl w:ilvl="0" w:tentative="0">
      <w:start w:val="0"/>
      <w:numFmt w:val="bullet"/>
      <w:lvlText w:val=" "/>
      <w:lvlJc w:val="left"/>
      <w:pPr>
        <w:ind w:left="720" w:hanging="360"/>
      </w:pPr>
    </w:lvl>
    <w:lvl w:ilvl="1" w:tentative="0">
      <w:start w:val="0"/>
      <w:numFmt w:val="bullet"/>
      <w:lvlText w:val=" "/>
      <w:lvlJc w:val="left"/>
      <w:pPr>
        <w:ind w:left="1440" w:hanging="360"/>
      </w:pPr>
    </w:lvl>
    <w:lvl w:ilvl="2" w:tentative="0">
      <w:start w:val="0"/>
      <w:numFmt w:val="bullet"/>
      <w:lvlText w:val=" "/>
      <w:lvlJc w:val="left"/>
      <w:pPr>
        <w:ind w:left="2160" w:hanging="360"/>
      </w:pPr>
    </w:lvl>
    <w:lvl w:ilvl="3" w:tentative="0">
      <w:start w:val="0"/>
      <w:numFmt w:val="bullet"/>
      <w:lvlText w:val=" "/>
      <w:lvlJc w:val="left"/>
      <w:pPr>
        <w:ind w:left="2880" w:hanging="360"/>
      </w:pPr>
    </w:lvl>
    <w:lvl w:ilvl="4" w:tentative="0">
      <w:start w:val="0"/>
      <w:numFmt w:val="bullet"/>
      <w:lvlText w:val=" "/>
      <w:lvlJc w:val="left"/>
      <w:pPr>
        <w:ind w:left="3600" w:hanging="360"/>
      </w:pPr>
    </w:lvl>
    <w:lvl w:ilvl="5" w:tentative="0">
      <w:start w:val="0"/>
      <w:numFmt w:val="bullet"/>
      <w:lvlText w:val=" "/>
      <w:lvlJc w:val="left"/>
      <w:pPr>
        <w:ind w:left="4320" w:hanging="360"/>
      </w:pPr>
    </w:lvl>
    <w:lvl w:ilvl="6" w:tentative="0">
      <w:start w:val="0"/>
      <w:numFmt w:val="bullet"/>
      <w:lvlText w:val=" "/>
      <w:lvlJc w:val="left"/>
      <w:pPr>
        <w:ind w:left="5040" w:hanging="360"/>
      </w:pPr>
    </w:lvl>
    <w:lvl w:ilvl="7" w:tentative="0">
      <w:start w:val="0"/>
      <w:numFmt w:val="bullet"/>
      <w:lvlText w:val=" "/>
      <w:lvlJc w:val="left"/>
      <w:pPr>
        <w:ind w:left="5760" w:hanging="360"/>
      </w:pPr>
    </w:lvl>
    <w:lvl w:ilvl="8" w:tentative="0">
      <w:start w:val="0"/>
      <w:numFmt w:val="bullet"/>
      <w:lvlText w:val=" "/>
      <w:lvlJc w:val="left"/>
      <w:pPr>
        <w:ind w:left="6480" w:hanging="360"/>
      </w:pPr>
    </w:lvl>
  </w:abstractNum>
  <w:abstractNum w:abstractNumId="1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2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"/>
  </w:num>
  <w:num w:numId="2">
    <w:abstractNumId w:val="0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645B"/>
    <w:rsid w:val="00025AF3"/>
    <w:rsid w:val="00047E47"/>
    <w:rsid w:val="00087D78"/>
    <w:rsid w:val="00091BE4"/>
    <w:rsid w:val="00113CC5"/>
    <w:rsid w:val="0017089F"/>
    <w:rsid w:val="001B6BBA"/>
    <w:rsid w:val="001D786D"/>
    <w:rsid w:val="00221DDC"/>
    <w:rsid w:val="002C5429"/>
    <w:rsid w:val="002F133B"/>
    <w:rsid w:val="0033595C"/>
    <w:rsid w:val="00382843"/>
    <w:rsid w:val="00482A2A"/>
    <w:rsid w:val="006747B6"/>
    <w:rsid w:val="00683C59"/>
    <w:rsid w:val="006B564A"/>
    <w:rsid w:val="007B7F35"/>
    <w:rsid w:val="007F1979"/>
    <w:rsid w:val="007F29BC"/>
    <w:rsid w:val="008F4924"/>
    <w:rsid w:val="009013F6"/>
    <w:rsid w:val="009149B5"/>
    <w:rsid w:val="00970C9D"/>
    <w:rsid w:val="00977B74"/>
    <w:rsid w:val="00A14FF3"/>
    <w:rsid w:val="00AA1B8B"/>
    <w:rsid w:val="00AF14BC"/>
    <w:rsid w:val="00B25A83"/>
    <w:rsid w:val="00BB0144"/>
    <w:rsid w:val="00BD4F7D"/>
    <w:rsid w:val="00BF6B73"/>
    <w:rsid w:val="00C00C92"/>
    <w:rsid w:val="00C06AC9"/>
    <w:rsid w:val="00C214C8"/>
    <w:rsid w:val="00C47116"/>
    <w:rsid w:val="00C63491"/>
    <w:rsid w:val="00D14922"/>
    <w:rsid w:val="00D83FFB"/>
    <w:rsid w:val="00DC0840"/>
    <w:rsid w:val="00E1645B"/>
    <w:rsid w:val="00E44B39"/>
    <w:rsid w:val="00E56281"/>
    <w:rsid w:val="00FC335F"/>
    <w:rsid w:val="00FE1EFD"/>
    <w:rsid w:val="05B15034"/>
    <w:rsid w:val="51BB0241"/>
    <w:rsid w:val="60C9079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99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360" w:lineRule="auto"/>
    </w:pPr>
    <w:rPr>
      <w:rFonts w:ascii="Times New Roman" w:hAnsi="Times New Roman" w:eastAsia="宋体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autoRedefine/>
    <w:qFormat/>
    <w:uiPriority w:val="9"/>
    <w:pPr>
      <w:keepNext/>
      <w:keepLines/>
      <w:pageBreakBefore/>
      <w:spacing w:before="480"/>
      <w:jc w:val="center"/>
      <w:outlineLvl w:val="0"/>
    </w:pPr>
    <w:rPr>
      <w:rFonts w:eastAsia="黑体" w:cstheme="majorBidi"/>
      <w:b/>
      <w:bCs/>
      <w:sz w:val="36"/>
      <w:szCs w:val="32"/>
    </w:rPr>
  </w:style>
  <w:style w:type="paragraph" w:styleId="5">
    <w:name w:val="heading 2"/>
    <w:basedOn w:val="1"/>
    <w:next w:val="3"/>
    <w:unhideWhenUsed/>
    <w:qFormat/>
    <w:uiPriority w:val="9"/>
    <w:pPr>
      <w:keepNext/>
      <w:keepLines/>
      <w:spacing w:before="300"/>
      <w:outlineLvl w:val="1"/>
    </w:pPr>
    <w:rPr>
      <w:rFonts w:eastAsia="黑体" w:cstheme="majorBidi"/>
      <w:b/>
      <w:bCs/>
      <w:sz w:val="32"/>
      <w:szCs w:val="32"/>
    </w:rPr>
  </w:style>
  <w:style w:type="paragraph" w:styleId="6">
    <w:name w:val="heading 3"/>
    <w:basedOn w:val="1"/>
    <w:next w:val="3"/>
    <w:unhideWhenUsed/>
    <w:qFormat/>
    <w:uiPriority w:val="9"/>
    <w:pPr>
      <w:keepNext/>
      <w:keepLines/>
      <w:spacing w:before="200"/>
      <w:outlineLvl w:val="2"/>
    </w:pPr>
    <w:rPr>
      <w:rFonts w:eastAsia="黑体" w:asciiTheme="majorHAnsi" w:hAnsiTheme="majorHAnsi" w:cstheme="majorBidi"/>
      <w:b/>
      <w:bCs/>
      <w:sz w:val="26"/>
      <w:szCs w:val="28"/>
    </w:rPr>
  </w:style>
  <w:style w:type="paragraph" w:styleId="7">
    <w:name w:val="heading 4"/>
    <w:basedOn w:val="1"/>
    <w:next w:val="3"/>
    <w:unhideWhenUsed/>
    <w:qFormat/>
    <w:uiPriority w:val="9"/>
    <w:pPr>
      <w:keepNext/>
      <w:keepLines/>
      <w:spacing w:before="200"/>
      <w:outlineLvl w:val="3"/>
    </w:pPr>
    <w:rPr>
      <w:rFonts w:eastAsia="黑体" w:asciiTheme="majorHAnsi" w:hAnsiTheme="majorHAnsi" w:cstheme="majorBidi"/>
      <w:bCs/>
    </w:rPr>
  </w:style>
  <w:style w:type="paragraph" w:styleId="8">
    <w:name w:val="heading 5"/>
    <w:basedOn w:val="1"/>
    <w:next w:val="3"/>
    <w:unhideWhenUsed/>
    <w:qFormat/>
    <w:uiPriority w:val="9"/>
    <w:pPr>
      <w:keepNext/>
      <w:keepLines/>
      <w:spacing w:before="200"/>
      <w:outlineLvl w:val="4"/>
    </w:pPr>
    <w:rPr>
      <w:rFonts w:eastAsia="黑体" w:asciiTheme="majorHAnsi" w:hAnsiTheme="majorHAnsi" w:cstheme="majorBidi"/>
      <w:iCs/>
    </w:rPr>
  </w:style>
  <w:style w:type="paragraph" w:styleId="9">
    <w:name w:val="heading 6"/>
    <w:basedOn w:val="1"/>
    <w:next w:val="3"/>
    <w:unhideWhenUsed/>
    <w:qFormat/>
    <w:uiPriority w:val="9"/>
    <w:pPr>
      <w:keepNext/>
      <w:keepLines/>
      <w:spacing w:before="200"/>
      <w:outlineLvl w:val="5"/>
    </w:pPr>
    <w:rPr>
      <w:rFonts w:eastAsia="黑体" w:asciiTheme="majorHAnsi" w:hAnsiTheme="majorHAnsi" w:cstheme="majorBidi"/>
    </w:rPr>
  </w:style>
  <w:style w:type="paragraph" w:styleId="10">
    <w:name w:val="heading 7"/>
    <w:basedOn w:val="1"/>
    <w:next w:val="3"/>
    <w:unhideWhenUsed/>
    <w:qFormat/>
    <w:uiPriority w:val="9"/>
    <w:pPr>
      <w:keepNext/>
      <w:keepLines/>
      <w:spacing w:before="200"/>
      <w:outlineLvl w:val="6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paragraph" w:styleId="11">
    <w:name w:val="heading 8"/>
    <w:basedOn w:val="1"/>
    <w:next w:val="3"/>
    <w:unhideWhenUsed/>
    <w:qFormat/>
    <w:uiPriority w:val="9"/>
    <w:pPr>
      <w:keepNext/>
      <w:keepLines/>
      <w:spacing w:before="200"/>
      <w:outlineLvl w:val="7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paragraph" w:styleId="12">
    <w:name w:val="heading 9"/>
    <w:basedOn w:val="1"/>
    <w:next w:val="3"/>
    <w:unhideWhenUsed/>
    <w:qFormat/>
    <w:uiPriority w:val="9"/>
    <w:pPr>
      <w:keepNext/>
      <w:keepLines/>
      <w:spacing w:before="200"/>
      <w:outlineLvl w:val="8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character" w:default="1" w:styleId="22">
    <w:name w:val="Default Paragraph Font"/>
    <w:semiHidden/>
    <w:unhideWhenUsed/>
    <w:uiPriority w:val="1"/>
  </w:style>
  <w:style w:type="table" w:default="1" w:styleId="21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4"/>
    <w:link w:val="40"/>
    <w:qFormat/>
    <w:uiPriority w:val="0"/>
  </w:style>
  <w:style w:type="paragraph" w:customStyle="1" w:styleId="4">
    <w:name w:val="First Paragraph"/>
    <w:basedOn w:val="1"/>
    <w:next w:val="3"/>
    <w:qFormat/>
    <w:uiPriority w:val="0"/>
    <w:pPr>
      <w:spacing w:before="180"/>
      <w:ind w:firstLine="480" w:firstLineChars="200"/>
    </w:pPr>
    <w:rPr>
      <w:lang w:eastAsia="zh-CN"/>
    </w:rPr>
  </w:style>
  <w:style w:type="paragraph" w:styleId="13">
    <w:name w:val="caption"/>
    <w:basedOn w:val="1"/>
    <w:link w:val="24"/>
    <w:uiPriority w:val="0"/>
    <w:pPr>
      <w:spacing w:after="120"/>
      <w:jc w:val="center"/>
    </w:pPr>
  </w:style>
  <w:style w:type="paragraph" w:styleId="14">
    <w:name w:val="Block Text"/>
    <w:basedOn w:val="1"/>
    <w:unhideWhenUsed/>
    <w:qFormat/>
    <w:uiPriority w:val="9"/>
    <w:pPr>
      <w:pBdr>
        <w:left w:val="single" w:color="BEBEBE" w:themeColor="background1" w:themeShade="BF" w:sz="48" w:space="4"/>
      </w:pBdr>
      <w:spacing w:before="100"/>
      <w:ind w:left="200" w:leftChars="200" w:right="100" w:rightChars="100"/>
    </w:pPr>
    <w:rPr>
      <w:rFonts w:eastAsiaTheme="minorEastAsia"/>
      <w:lang w:eastAsia="zh-CN"/>
    </w:rPr>
  </w:style>
  <w:style w:type="paragraph" w:styleId="15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styleId="16">
    <w:name w:val="footer"/>
    <w:basedOn w:val="1"/>
    <w:link w:val="42"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7">
    <w:name w:val="header"/>
    <w:basedOn w:val="1"/>
    <w:link w:val="41"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8">
    <w:name w:val="Subtitle"/>
    <w:basedOn w:val="19"/>
    <w:next w:val="3"/>
    <w:qFormat/>
    <w:uiPriority w:val="0"/>
    <w:pPr>
      <w:spacing w:before="240"/>
    </w:pPr>
    <w:rPr>
      <w:sz w:val="30"/>
      <w:szCs w:val="30"/>
    </w:rPr>
  </w:style>
  <w:style w:type="paragraph" w:styleId="19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45B8A" w:themeColor="accent1" w:themeShade="B5"/>
      <w:sz w:val="36"/>
      <w:szCs w:val="36"/>
    </w:rPr>
  </w:style>
  <w:style w:type="paragraph" w:styleId="20">
    <w:name w:val="footnote text"/>
    <w:basedOn w:val="1"/>
    <w:unhideWhenUsed/>
    <w:qFormat/>
    <w:uiPriority w:val="9"/>
  </w:style>
  <w:style w:type="character" w:styleId="23">
    <w:name w:val="Hyperlink"/>
    <w:basedOn w:val="24"/>
    <w:uiPriority w:val="0"/>
    <w:rPr>
      <w:rFonts w:ascii="Times New Roman" w:hAnsi="Times New Roman" w:eastAsia="宋体"/>
      <w:color w:val="0070C0"/>
    </w:rPr>
  </w:style>
  <w:style w:type="character" w:customStyle="1" w:styleId="24">
    <w:name w:val="题注 字符"/>
    <w:basedOn w:val="22"/>
    <w:link w:val="13"/>
    <w:uiPriority w:val="0"/>
    <w:rPr>
      <w:rFonts w:ascii="Times New Roman" w:hAnsi="Times New Roman" w:eastAsia="宋体"/>
    </w:rPr>
  </w:style>
  <w:style w:type="character" w:styleId="25">
    <w:name w:val="footnote reference"/>
    <w:basedOn w:val="24"/>
    <w:uiPriority w:val="0"/>
    <w:rPr>
      <w:rFonts w:ascii="Times New Roman" w:hAnsi="Times New Roman" w:eastAsia="宋体"/>
      <w:vertAlign w:val="superscript"/>
    </w:rPr>
  </w:style>
  <w:style w:type="paragraph" w:customStyle="1" w:styleId="26">
    <w:name w:val="Compact"/>
    <w:basedOn w:val="3"/>
    <w:qFormat/>
    <w:uiPriority w:val="0"/>
    <w:pPr>
      <w:spacing w:before="60" w:after="60"/>
      <w:ind w:firstLine="0" w:firstLineChars="0"/>
    </w:p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customStyle="1" w:styleId="28">
    <w:name w:val="Abstract"/>
    <w:basedOn w:val="1"/>
    <w:next w:val="3"/>
    <w:qFormat/>
    <w:uiPriority w:val="0"/>
    <w:pPr>
      <w:keepNext/>
      <w:keepLines/>
      <w:spacing w:before="300" w:after="300"/>
    </w:pPr>
    <w:rPr>
      <w:sz w:val="20"/>
      <w:szCs w:val="20"/>
    </w:rPr>
  </w:style>
  <w:style w:type="paragraph" w:customStyle="1" w:styleId="29">
    <w:name w:val="Bibliography"/>
    <w:basedOn w:val="1"/>
    <w:qFormat/>
    <w:uiPriority w:val="0"/>
    <w:pPr>
      <w:tabs>
        <w:tab w:val="left" w:pos="384"/>
      </w:tabs>
      <w:spacing w:line="240" w:lineRule="auto"/>
      <w:ind w:left="200" w:hanging="200" w:hangingChars="200"/>
    </w:pPr>
  </w:style>
  <w:style w:type="table" w:customStyle="1" w:styleId="30">
    <w:name w:val="Table"/>
    <w:semiHidden/>
    <w:unhideWhenUsed/>
    <w:qFormat/>
    <w:uiPriority w:val="0"/>
    <w:pPr>
      <w:jc w:val="center"/>
    </w:pPr>
    <w:rPr>
      <w:rFonts w:ascii="Times New Roman" w:hAnsi="Times New Roman" w:eastAsia="宋体"/>
      <w:sz w:val="20"/>
      <w:szCs w:val="20"/>
      <w:lang w:eastAsia="zh-CN"/>
    </w:rPr>
    <w:tblPr>
      <w:jc w:val="center"/>
      <w:tblBorders>
        <w:top w:val="single" w:color="auto" w:sz="12" w:space="0"/>
        <w:bottom w:val="single" w:color="auto" w:sz="12" w:space="0"/>
      </w:tblBorders>
      <w:tblCellMar>
        <w:top w:w="0" w:type="dxa"/>
        <w:left w:w="108" w:type="dxa"/>
        <w:bottom w:w="0" w:type="dxa"/>
        <w:right w:w="108" w:type="dxa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cPr>
        <w:tcBorders>
          <w:bottom w:val="single" w:color="auto" w:sz="4" w:space="0"/>
        </w:tcBorders>
      </w:tcPr>
    </w:tblStylePr>
  </w:style>
  <w:style w:type="paragraph" w:customStyle="1" w:styleId="31">
    <w:name w:val="Definition Term"/>
    <w:basedOn w:val="1"/>
    <w:next w:val="32"/>
    <w:qFormat/>
    <w:uiPriority w:val="0"/>
    <w:pPr>
      <w:keepNext/>
      <w:keepLines/>
    </w:pPr>
    <w:rPr>
      <w:b/>
    </w:rPr>
  </w:style>
  <w:style w:type="paragraph" w:customStyle="1" w:styleId="32">
    <w:name w:val="Definition"/>
    <w:basedOn w:val="1"/>
    <w:uiPriority w:val="0"/>
  </w:style>
  <w:style w:type="paragraph" w:customStyle="1" w:styleId="33">
    <w:name w:val="Table Caption"/>
    <w:basedOn w:val="13"/>
    <w:uiPriority w:val="0"/>
    <w:pPr>
      <w:keepNext/>
    </w:pPr>
  </w:style>
  <w:style w:type="paragraph" w:customStyle="1" w:styleId="34">
    <w:name w:val="Image Caption"/>
    <w:basedOn w:val="13"/>
    <w:uiPriority w:val="0"/>
  </w:style>
  <w:style w:type="paragraph" w:customStyle="1" w:styleId="35">
    <w:name w:val="Figure"/>
    <w:basedOn w:val="1"/>
    <w:qFormat/>
    <w:uiPriority w:val="0"/>
  </w:style>
  <w:style w:type="paragraph" w:customStyle="1" w:styleId="36">
    <w:name w:val="Captioned Figure"/>
    <w:basedOn w:val="35"/>
    <w:uiPriority w:val="0"/>
    <w:pPr>
      <w:keepNext/>
    </w:pPr>
  </w:style>
  <w:style w:type="character" w:customStyle="1" w:styleId="37">
    <w:name w:val="Verbatim Char"/>
    <w:basedOn w:val="24"/>
    <w:link w:val="38"/>
    <w:uiPriority w:val="0"/>
    <w:rPr>
      <w:rFonts w:ascii="宋体" w:hAnsi="宋体" w:eastAsia="宋体" w:cs="Times New Roman (正文 CS 字体)"/>
      <w:color w:val="404040" w:themeColor="text1" w:themeTint="BF"/>
      <w:sz w:val="21"/>
      <w:shd w:val="solid" w:color="F3F4F4" w:fill="F1F1F1" w:themeFill="background1" w:themeFillShade="F2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38">
    <w:name w:val="Source Code"/>
    <w:basedOn w:val="1"/>
    <w:link w:val="37"/>
    <w:qFormat/>
    <w:uiPriority w:val="0"/>
    <w:pPr>
      <w:pBdr>
        <w:top w:val="single" w:color="BEBEBE" w:themeColor="background1" w:themeShade="BF" w:sz="8" w:space="10"/>
        <w:left w:val="single" w:color="BEBEBE" w:themeColor="background1" w:themeShade="BF" w:sz="8" w:space="10"/>
        <w:bottom w:val="single" w:color="BEBEBE" w:themeColor="background1" w:themeShade="BF" w:sz="8" w:space="10"/>
        <w:right w:val="single" w:color="BEBEBE" w:themeColor="background1" w:themeShade="BF" w:sz="8" w:space="10"/>
      </w:pBdr>
      <w:shd w:val="solid" w:color="F3F4F4" w:fill="F1F1F1" w:themeFill="background1" w:themeFillShade="F2"/>
      <w:wordWrap w:val="0"/>
      <w:ind w:left="300" w:leftChars="300"/>
    </w:pPr>
    <w:rPr>
      <w:rFonts w:ascii="宋体" w:hAnsi="宋体" w:cs="Times New Roman (正文 CS 字体)"/>
      <w:color w:val="404040" w:themeColor="text1" w:themeTint="BF"/>
      <w:sz w:val="21"/>
      <w:shd w:val="pct5" w:color="auto" w:fill="auto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39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b w:val="0"/>
      <w:bCs w:val="0"/>
      <w:color w:val="376092" w:themeColor="accent1" w:themeShade="BF"/>
    </w:rPr>
  </w:style>
  <w:style w:type="character" w:customStyle="1" w:styleId="40">
    <w:name w:val="正文文本 字符"/>
    <w:basedOn w:val="22"/>
    <w:link w:val="3"/>
    <w:uiPriority w:val="0"/>
    <w:rPr>
      <w:rFonts w:ascii="Times New Roman" w:hAnsi="Times New Roman" w:eastAsia="宋体"/>
      <w:lang w:eastAsia="zh-CN"/>
    </w:rPr>
  </w:style>
  <w:style w:type="character" w:customStyle="1" w:styleId="41">
    <w:name w:val="页眉 字符"/>
    <w:basedOn w:val="22"/>
    <w:link w:val="17"/>
    <w:uiPriority w:val="0"/>
    <w:rPr>
      <w:sz w:val="18"/>
      <w:szCs w:val="18"/>
    </w:rPr>
  </w:style>
  <w:style w:type="character" w:customStyle="1" w:styleId="42">
    <w:name w:val="页脚 字符"/>
    <w:basedOn w:val="22"/>
    <w:link w:val="16"/>
    <w:uiPriority w:val="99"/>
    <w:rPr>
      <w:sz w:val="18"/>
      <w:szCs w:val="18"/>
    </w:rPr>
  </w:style>
  <w:style w:type="paragraph" w:customStyle="1" w:styleId="43">
    <w:name w:val="图片"/>
    <w:basedOn w:val="4"/>
    <w:qFormat/>
    <w:uiPriority w:val="0"/>
    <w:pPr>
      <w:keepNext/>
      <w:jc w:val="center"/>
    </w:pPr>
  </w:style>
  <w:style w:type="paragraph" w:customStyle="1" w:styleId="44">
    <w:name w:val="样式 Compact + 10 磅 首行缩进:  0.71 厘米"/>
    <w:basedOn w:val="26"/>
    <w:uiPriority w:val="0"/>
    <w:rPr>
      <w:rFonts w:cs="宋体"/>
      <w:sz w:val="20"/>
      <w:szCs w:val="20"/>
    </w:rPr>
  </w:style>
  <w:style w:type="paragraph" w:customStyle="1" w:styleId="45">
    <w:name w:val="样式 Compact + 10 磅 加粗 首行缩进:  0.71 厘米"/>
    <w:basedOn w:val="26"/>
    <w:uiPriority w:val="0"/>
    <w:rPr>
      <w:rFonts w:cs="宋体"/>
      <w:bCs/>
      <w:sz w:val="20"/>
      <w:szCs w:val="20"/>
    </w:rPr>
  </w:style>
  <w:style w:type="paragraph" w:customStyle="1" w:styleId="46">
    <w:name w:val="img"/>
    <w:basedOn w:val="1"/>
    <w:qFormat/>
    <w:uiPriority w:val="0"/>
    <w:pPr>
      <w:jc w:val="center"/>
    </w:pPr>
    <w:rPr>
      <w:lang w:eastAsia="zh-CN"/>
    </w:rPr>
  </w:style>
  <w:style w:type="character" w:customStyle="1" w:styleId="47">
    <w:name w:val="KeywordTok"/>
    <w:uiPriority w:val="0"/>
    <w:rPr>
      <w:b/>
      <w:color w:val="007020"/>
    </w:rPr>
  </w:style>
  <w:style w:type="character" w:customStyle="1" w:styleId="48">
    <w:name w:val="DataTypeTok"/>
    <w:uiPriority w:val="0"/>
    <w:rPr>
      <w:color w:val="902000"/>
    </w:rPr>
  </w:style>
  <w:style w:type="character" w:customStyle="1" w:styleId="49">
    <w:name w:val="DecValTok"/>
    <w:uiPriority w:val="0"/>
    <w:rPr>
      <w:color w:val="40A070"/>
    </w:rPr>
  </w:style>
  <w:style w:type="character" w:customStyle="1" w:styleId="50">
    <w:name w:val="BaseNTok"/>
    <w:uiPriority w:val="0"/>
    <w:rPr>
      <w:color w:val="40A070"/>
    </w:rPr>
  </w:style>
  <w:style w:type="character" w:customStyle="1" w:styleId="51">
    <w:name w:val="FloatTok"/>
    <w:uiPriority w:val="0"/>
    <w:rPr>
      <w:color w:val="40A070"/>
    </w:rPr>
  </w:style>
  <w:style w:type="character" w:customStyle="1" w:styleId="52">
    <w:name w:val="ConstantTok"/>
    <w:uiPriority w:val="0"/>
    <w:rPr>
      <w:color w:val="880000"/>
    </w:rPr>
  </w:style>
  <w:style w:type="character" w:customStyle="1" w:styleId="53">
    <w:name w:val="CharTok"/>
    <w:uiPriority w:val="0"/>
    <w:rPr>
      <w:color w:val="4070A0"/>
    </w:rPr>
  </w:style>
  <w:style w:type="character" w:customStyle="1" w:styleId="54">
    <w:name w:val="SpecialCharTok"/>
    <w:uiPriority w:val="0"/>
    <w:rPr>
      <w:color w:val="4070A0"/>
    </w:rPr>
  </w:style>
  <w:style w:type="character" w:customStyle="1" w:styleId="55">
    <w:name w:val="StringTok"/>
    <w:uiPriority w:val="0"/>
    <w:rPr>
      <w:color w:val="4070A0"/>
    </w:rPr>
  </w:style>
  <w:style w:type="character" w:customStyle="1" w:styleId="56">
    <w:name w:val="VerbatimStringTok"/>
    <w:uiPriority w:val="0"/>
    <w:rPr>
      <w:color w:val="4070A0"/>
    </w:rPr>
  </w:style>
  <w:style w:type="character" w:customStyle="1" w:styleId="57">
    <w:name w:val="SpecialStringTok"/>
    <w:uiPriority w:val="0"/>
    <w:rPr>
      <w:color w:val="BB6688"/>
    </w:rPr>
  </w:style>
  <w:style w:type="character" w:customStyle="1" w:styleId="58">
    <w:name w:val="ImportTok"/>
    <w:uiPriority w:val="0"/>
    <w:rPr>
      <w:b/>
      <w:color w:val="008000"/>
    </w:rPr>
  </w:style>
  <w:style w:type="character" w:customStyle="1" w:styleId="59">
    <w:name w:val="CommentTok"/>
    <w:uiPriority w:val="0"/>
    <w:rPr>
      <w:i/>
      <w:color w:val="60A0B0"/>
    </w:rPr>
  </w:style>
  <w:style w:type="character" w:customStyle="1" w:styleId="60">
    <w:name w:val="DocumentationTok"/>
    <w:uiPriority w:val="0"/>
    <w:rPr>
      <w:i/>
      <w:color w:val="BA2121"/>
    </w:rPr>
  </w:style>
  <w:style w:type="character" w:customStyle="1" w:styleId="61">
    <w:name w:val="AnnotationTok"/>
    <w:uiPriority w:val="0"/>
    <w:rPr>
      <w:b/>
      <w:i/>
      <w:color w:val="60A0B0"/>
    </w:rPr>
  </w:style>
  <w:style w:type="character" w:customStyle="1" w:styleId="62">
    <w:name w:val="CommentVarTok"/>
    <w:uiPriority w:val="0"/>
    <w:rPr>
      <w:b/>
      <w:i/>
      <w:color w:val="60A0B0"/>
    </w:rPr>
  </w:style>
  <w:style w:type="character" w:customStyle="1" w:styleId="63">
    <w:name w:val="OtherTok"/>
    <w:uiPriority w:val="0"/>
    <w:rPr>
      <w:color w:val="007020"/>
    </w:rPr>
  </w:style>
  <w:style w:type="character" w:customStyle="1" w:styleId="64">
    <w:name w:val="FunctionTok"/>
    <w:uiPriority w:val="0"/>
    <w:rPr>
      <w:color w:val="06287E"/>
    </w:rPr>
  </w:style>
  <w:style w:type="character" w:customStyle="1" w:styleId="65">
    <w:name w:val="VariableTok"/>
    <w:uiPriority w:val="0"/>
    <w:rPr>
      <w:color w:val="19177C"/>
    </w:rPr>
  </w:style>
  <w:style w:type="character" w:customStyle="1" w:styleId="66">
    <w:name w:val="ControlFlowTok"/>
    <w:uiPriority w:val="0"/>
    <w:rPr>
      <w:b/>
      <w:color w:val="007020"/>
    </w:rPr>
  </w:style>
  <w:style w:type="character" w:customStyle="1" w:styleId="67">
    <w:name w:val="OperatorTok"/>
    <w:uiPriority w:val="0"/>
    <w:rPr>
      <w:color w:val="666666"/>
    </w:rPr>
  </w:style>
  <w:style w:type="character" w:customStyle="1" w:styleId="68">
    <w:name w:val="BuiltInTok"/>
    <w:uiPriority w:val="0"/>
    <w:rPr>
      <w:color w:val="008000"/>
    </w:rPr>
  </w:style>
  <w:style w:type="character" w:customStyle="1" w:styleId="69">
    <w:name w:val="ExtensionTok"/>
    <w:uiPriority w:val="0"/>
  </w:style>
  <w:style w:type="character" w:customStyle="1" w:styleId="70">
    <w:name w:val="PreprocessorTok"/>
    <w:uiPriority w:val="0"/>
    <w:rPr>
      <w:color w:val="BC7A00"/>
    </w:rPr>
  </w:style>
  <w:style w:type="character" w:customStyle="1" w:styleId="71">
    <w:name w:val="AttributeTok"/>
    <w:uiPriority w:val="0"/>
    <w:rPr>
      <w:color w:val="7D9029"/>
    </w:rPr>
  </w:style>
  <w:style w:type="character" w:customStyle="1" w:styleId="72">
    <w:name w:val="RegionMarkerTok"/>
    <w:uiPriority w:val="0"/>
  </w:style>
  <w:style w:type="character" w:customStyle="1" w:styleId="73">
    <w:name w:val="InformationTok"/>
    <w:uiPriority w:val="0"/>
    <w:rPr>
      <w:b/>
      <w:i/>
      <w:color w:val="60A0B0"/>
    </w:rPr>
  </w:style>
  <w:style w:type="character" w:customStyle="1" w:styleId="74">
    <w:name w:val="WarningTok"/>
    <w:uiPriority w:val="0"/>
    <w:rPr>
      <w:b/>
      <w:i/>
      <w:color w:val="60A0B0"/>
    </w:rPr>
  </w:style>
  <w:style w:type="character" w:customStyle="1" w:styleId="75">
    <w:name w:val="AlertTok"/>
    <w:uiPriority w:val="0"/>
    <w:rPr>
      <w:b/>
      <w:color w:val="FF0000"/>
    </w:rPr>
  </w:style>
  <w:style w:type="character" w:customStyle="1" w:styleId="76">
    <w:name w:val="ErrorTok"/>
    <w:uiPriority w:val="0"/>
    <w:rPr>
      <w:b/>
      <w:color w:val="FF0000"/>
    </w:rPr>
  </w:style>
  <w:style w:type="character" w:customStyle="1" w:styleId="77">
    <w:name w:val="NormalTok"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800</Words>
  <Characters>913</Characters>
  <Lines>30</Lines>
  <Paragraphs>8</Paragraphs>
  <TotalTime>4</TotalTime>
  <ScaleCrop>false</ScaleCrop>
  <LinksUpToDate>false</LinksUpToDate>
  <CharactersWithSpaces>964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2025-11-08T09:23:00Z</dcterms:created>
  <dc:creator>迈斯纳效应</dc:creator>
  <cp:lastModifiedBy>迈斯纳效应</cp:lastModifiedBy>
  <dcterms:modified xsi:type="dcterms:W3CDTF">2025-11-08T09:28:52Z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eyJoZGlkIjoiOWE5MTdlOWY2MzQ5ZGJmN2ExZjEzOTY4ZDgxOTkzYjAiLCJ1c2VySWQiOiI0MzU1MzU1MTQifQ==</vt:lpwstr>
  </property>
  <property fmtid="{D5CDD505-2E9C-101B-9397-08002B2CF9AE}" pid="3" name="KSOProductBuildVer">
    <vt:lpwstr>2052-12.1.0.23542</vt:lpwstr>
  </property>
  <property fmtid="{D5CDD505-2E9C-101B-9397-08002B2CF9AE}" pid="4" name="ICV">
    <vt:lpwstr>A2A7F392C2F047CBAD8D62118C6F983E_12</vt:lpwstr>
  </property>
</Properties>
</file>