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F99D2">
      <w:pPr>
        <w:pStyle w:val="2"/>
      </w:pPr>
      <w:bookmarkStart w:id="0" w:name="X99afc87406ffc6f05263d4f85adddb810a92f4c"/>
      <w:r>
        <w:t>B68: First-Principles Proof of the Three-Parton Topological Structure of the Electron and the A/C Field Dispersion-Mass Inverse Proportionality Theorem</w:t>
      </w:r>
    </w:p>
    <w:p w14:paraId="6FE557FC">
      <w:pPr>
        <w:pStyle w:val="4"/>
      </w:pPr>
      <w:r>
        <w:rPr>
          <w:b/>
          <w:bCs/>
        </w:rPr>
        <w:t>Based on the FCWFT Three-Field Orthogonal Completeness Axiom System</w:t>
      </w:r>
    </w:p>
    <w:p w14:paraId="7F066B4D">
      <w:pPr>
        <w:pStyle w:val="3"/>
      </w:pPr>
      <w:r>
        <w:rPr>
          <w:b/>
          <w:bCs/>
        </w:rPr>
        <w:t>Authors:</w:t>
      </w:r>
      <w:r>
        <w:t xml:space="preserve"> Li Zhijun¹, Zhao Guangyao², Xue Yanyu³</w:t>
      </w:r>
    </w:p>
    <w:p w14:paraId="55699BDF">
      <w:pPr>
        <w:pStyle w:val="3"/>
      </w:pPr>
      <w:r>
        <w:t>¹ Shanxi Provincial Department of Agriculture and Rural Affairs, Animal Husbandry and Veterinary School, Taiyuan, China</w:t>
      </w:r>
      <w:r>
        <w:br w:type="textWrapping"/>
      </w:r>
      <w:r>
        <w:t>² College of Physics, Chongqing University, Chongqing, China</w:t>
      </w:r>
      <w:r>
        <w:br w:type="textWrapping"/>
      </w:r>
      <w:r>
        <w:t>³ Shanxi Provincial Department of Agriculture and Rural Affairs, Animal Husbandry and Veterinary School, Taiyuan, China</w:t>
      </w:r>
    </w:p>
    <w:p w14:paraId="3BDA21BF">
      <w:pPr>
        <w:pStyle w:val="3"/>
      </w:pPr>
      <w:r>
        <w:rPr>
          <w:b/>
          <w:bCs/>
        </w:rPr>
        <w:t>Series:</w:t>
      </w:r>
      <w:r>
        <w:t xml:space="preserve"> FCWFT-B68 (Continuation of B12/B36/B43/B44/B45/B46/B47/B58/B59/B60/B61/B67/E5)</w:t>
      </w:r>
    </w:p>
    <w:p w14:paraId="61074025">
      <w:pPr>
        <w:pStyle w:val="3"/>
      </w:pPr>
      <w:r>
        <w:rPr>
          <w:b/>
          <w:bCs/>
        </w:rPr>
        <w:t>PACS:</w:t>
      </w:r>
      <w:r>
        <w:t xml:space="preserve"> 12.20.-m, 14.60.Cd, 73.43.-f, 11.10.-z</w:t>
      </w:r>
    </w:p>
    <w:p w14:paraId="08833E98">
      <w:pPr>
        <w:pStyle w:val="3"/>
      </w:pPr>
      <w:r>
        <w:rPr>
          <w:b/>
          <w:bCs/>
        </w:rPr>
        <w:t>Keywords:</w:t>
      </w:r>
      <w:r>
        <w:t xml:space="preserve"> FCWFT; electron three-parton structure; anti-color-charge coupling; A-field dispersion; mass inverse proportionality; FQHE; fractional quantum Hall effect; topological quantum computation</w:t>
      </w:r>
    </w:p>
    <w:p w14:paraId="5E68C5E2">
      <w:pPr>
        <w:pStyle w:val="5"/>
      </w:pPr>
      <w:bookmarkStart w:id="1" w:name="abstract"/>
      <w:r>
        <w:t>Abstract</w:t>
      </w:r>
    </w:p>
    <w:p w14:paraId="57AE3558">
      <w:pPr>
        <w:pStyle w:val="4"/>
      </w:pPr>
      <w:r>
        <w:t xml:space="preserve">Based on the FCWFT three-field orthogonal completeness first-principles axiom system, starting from the microscopic topological coupling mechanism between the initial quantum of spacetime singularities and the A/B/C three-field vortices, this paper strictly proves — without free parameters, empirical fitting, or circular reasoning — the theorem of the three anti-color-charge parton topological structure of the electron and the fermion A-field dispersion-mass inverse proportionality theorem. This paper completely clarifies the physical origin of fractional quantum Hall effect (FQHE) fractional quasiparticles: the </w:t>
      </w:r>
      <m:oMath>
        <m:r>
          <m:rPr/>
          <m:t>ν</m:t>
        </m:r>
        <m:r>
          <m:rPr>
            <m:sty m:val="p"/>
          </m:rPr>
          <m:t>=</m:t>
        </m:r>
        <m:r>
          <m:rPr/>
          <m:t>1</m:t>
        </m:r>
        <m:r>
          <m:rPr>
            <m:sty m:val="p"/>
          </m:rPr>
          <m:t>/</m:t>
        </m:r>
        <m:r>
          <m:rPr/>
          <m:t>3</m:t>
        </m:r>
      </m:oMath>
      <w:r>
        <w:t xml:space="preserve"> filling state’s </w:t>
      </w:r>
      <m:oMath>
        <m:r>
          <m:rPr/>
          <m:t>e</m:t>
        </m:r>
        <m:r>
          <m:rPr>
            <m:sty m:val="p"/>
          </m:rPr>
          <m:t>/</m:t>
        </m:r>
        <m:r>
          <m:rPr/>
          <m:t>3</m:t>
        </m:r>
      </m:oMath>
      <w:r>
        <w:t xml:space="preserve"> quasiparticles, magnetic flux quantization, and chiral graviton modes are not emergent new physical phenomena of strong correlations, but rather the decoupling visualization effect of the electron’s intrinsic three-parton topological structure in two-dimensional strongly correlated collective systems.</w:t>
      </w:r>
    </w:p>
    <w:p w14:paraId="296B71E2">
      <w:pPr>
        <w:pStyle w:val="3"/>
      </w:pPr>
      <w:r>
        <w:t xml:space="preserve">Through quantitative comparison with the high-precision FQHE experiments of the Du Lingjie group at Nanjing University (2024–2025), all theoretical predictions in this paper are fully self-consistent with experimental observations, accurately explaining key experimental phenomena such as multi-mode splitting, chirality characteristics, and neutral mode annihilation at filling fractions </w:t>
      </w:r>
      <m:oMath>
        <m:r>
          <m:rPr/>
          <m:t>2</m:t>
        </m:r>
        <m:r>
          <m:rPr>
            <m:sty m:val="p"/>
          </m:rPr>
          <m:t>/</m:t>
        </m:r>
        <m:r>
          <m:rPr/>
          <m:t>7</m:t>
        </m:r>
      </m:oMath>
      <w:r>
        <w:t xml:space="preserve">, </w:t>
      </w:r>
      <m:oMath>
        <m:r>
          <m:rPr/>
          <m:t>2</m:t>
        </m:r>
        <m:r>
          <m:rPr>
            <m:sty m:val="p"/>
          </m:rPr>
          <m:t>/</m:t>
        </m:r>
        <m:r>
          <m:rPr/>
          <m:t>9</m:t>
        </m:r>
      </m:oMath>
      <w:r>
        <w:t xml:space="preserve">, and </w:t>
      </w:r>
      <m:oMath>
        <m:r>
          <m:rPr/>
          <m:t>1</m:t>
        </m:r>
        <m:r>
          <m:rPr>
            <m:sty m:val="p"/>
          </m:rPr>
          <m:t>/</m:t>
        </m:r>
        <m:r>
          <m:rPr/>
          <m:t>4</m:t>
        </m:r>
      </m:oMath>
      <w:r>
        <w:t>. At the same time, it provides a first-principles explanation for the century-old physical puzzle of why only electrons exhibit observable FQHE while nucleons show no FQHE response, distinguishing between the intrinsic quantum scale of the electron and the externally induced topological scale.</w:t>
      </w:r>
    </w:p>
    <w:p w14:paraId="3BA5C10D">
      <w:pPr>
        <w:pStyle w:val="3"/>
      </w:pPr>
      <w:r>
        <w:t>This paper reconstructs the fundamental physical picture of the electron: the electron is not a point-like elementary particle under the Standard Model framework, but a color-singlet topological bound state composed of three orthogonal anti-color-charge partons, providing a novel theoretical framework for topological quantum physics explanations, parton qubit construction, and unification of quantum Hall topological field theory.</w:t>
      </w:r>
    </w:p>
    <w:bookmarkEnd w:id="1"/>
    <w:p w14:paraId="6F4F14FD">
      <w:pPr>
        <w:pStyle w:val="5"/>
      </w:pPr>
      <w:bookmarkStart w:id="2" w:name="chapter-1-introduction"/>
      <w:r>
        <w:t>Chapter 1: Introduction</w:t>
      </w:r>
    </w:p>
    <w:p w14:paraId="530FAD1E">
      <w:pPr>
        <w:pStyle w:val="6"/>
      </w:pPr>
      <w:bookmarkStart w:id="3" w:name="X996f0e019989f18bd228e51a1f2c575bbb80af4"/>
      <w:r>
        <w:t>1.1 The Century-Old Physical Puzzle of Electron Structure</w:t>
      </w:r>
    </w:p>
    <w:p w14:paraId="76AB677F">
      <w:pPr>
        <w:pStyle w:val="4"/>
      </w:pPr>
      <w:r>
        <w:t>Since J.J. Thomson’s discovery of the electron in 1897, modern quantum physics and the Standard Model have consistently defined the electron as a fundamental point-like fermion with no internal structure, precisely calibrating its low-energy effective parameters such as charge, mass, and spin. However, they have never been able to answer from first principles a series of core physical puzzles:</w:t>
      </w:r>
    </w:p>
    <w:p w14:paraId="58098BD6">
      <w:pPr>
        <w:pStyle w:val="26"/>
        <w:numPr>
          <w:ilvl w:val="0"/>
          <w:numId w:val="1"/>
        </w:numPr>
      </w:pPr>
      <w:r>
        <w:t xml:space="preserve">The topological origin and quantization mechanism of the electron’s unit charge </w:t>
      </w:r>
      <m:oMath>
        <m:r>
          <m:rPr>
            <m:sty m:val="p"/>
          </m:rPr>
          <m:t>−</m:t>
        </m:r>
        <m:r>
          <m:rPr/>
          <m:t>e</m:t>
        </m:r>
      </m:oMath>
      <w:r>
        <w:t>;</w:t>
      </w:r>
    </w:p>
    <w:p w14:paraId="157F76C9">
      <w:pPr>
        <w:pStyle w:val="26"/>
        <w:numPr>
          <w:ilvl w:val="0"/>
          <w:numId w:val="1"/>
        </w:numPr>
      </w:pPr>
      <w:r>
        <w:t xml:space="preserve">The physical essence of how the electron, possessing no internal degrees of freedom, can split into stable </w:t>
      </w:r>
      <m:oMath>
        <m:r>
          <m:rPr/>
          <m:t>e</m:t>
        </m:r>
        <m:r>
          <m:rPr>
            <m:sty m:val="p"/>
          </m:rPr>
          <m:t>/</m:t>
        </m:r>
        <m:r>
          <m:rPr/>
          <m:t>3</m:t>
        </m:r>
      </m:oMath>
      <w:r>
        <w:t xml:space="preserve"> quasiparticles in FQHE systems;</w:t>
      </w:r>
    </w:p>
    <w:p w14:paraId="37139F5D">
      <w:pPr>
        <w:pStyle w:val="26"/>
        <w:numPr>
          <w:ilvl w:val="0"/>
          <w:numId w:val="1"/>
        </w:numPr>
      </w:pPr>
      <w:r>
        <w:t>The deep field-theoretic mechanism underlying why the electron’s Compton wavelength is much larger than that of protons and neutrons;</w:t>
      </w:r>
    </w:p>
    <w:p w14:paraId="60BC9F50">
      <w:pPr>
        <w:pStyle w:val="26"/>
        <w:numPr>
          <w:ilvl w:val="0"/>
          <w:numId w:val="1"/>
        </w:numPr>
      </w:pPr>
      <w:r>
        <w:t>The topological origin of the electron’s ultra-large spatial dispersion in two-dimensional systems under strong magnetic fields;</w:t>
      </w:r>
    </w:p>
    <w:p w14:paraId="17834F3E">
      <w:pPr>
        <w:pStyle w:val="26"/>
        <w:numPr>
          <w:ilvl w:val="0"/>
          <w:numId w:val="1"/>
        </w:numPr>
      </w:pPr>
      <w:r>
        <w:t>The physical constraints causing protons and neutrons to exhibit absolutely no FQHE response under equivalent experimental conditions.</w:t>
      </w:r>
    </w:p>
    <w:p w14:paraId="445960A6">
      <w:pPr>
        <w:pStyle w:val="4"/>
      </w:pPr>
      <w:r>
        <w:t>The Standard Model, as a low-energy effective approximate theory, can only describe macroscopic emergent properties of particles but cannot reveal the deep topological field structure. FCWFT (Field Combination Wave Function Theory), through the A/B/C three-field orthogonal completeness axioms, constructs a high-energy topological foundational framework beyond the Standard Model, providing rigorous first-principles answers to the above puzzles.</w:t>
      </w:r>
    </w:p>
    <w:bookmarkEnd w:id="3"/>
    <w:p w14:paraId="03797DBA">
      <w:pPr>
        <w:pStyle w:val="6"/>
      </w:pPr>
      <w:bookmarkStart w:id="4" w:name="Xa38e947c114f431394562ad998d6e8fd6cb2384"/>
      <w:r>
        <w:t>1.2 Development of FQHE Experiments and Limitations of Existing Theories</w:t>
      </w:r>
    </w:p>
    <w:p w14:paraId="71735261">
      <w:pPr>
        <w:pStyle w:val="4"/>
      </w:pPr>
      <w:r>
        <w:t xml:space="preserve">In 1982, Tsui and Störmer first discovered the fractional quantum Hall effect, observing fractional Hall conductance in a two-dimensional electron gas system at filling fraction </w:t>
      </w:r>
      <m:oMath>
        <m:r>
          <m:rPr/>
          <m:t>ν</m:t>
        </m:r>
        <m:r>
          <m:rPr>
            <m:sty m:val="p"/>
          </m:rPr>
          <m:t>=</m:t>
        </m:r>
        <m:r>
          <m:rPr/>
          <m:t>1</m:t>
        </m:r>
        <m:r>
          <m:rPr>
            <m:sty m:val="p"/>
          </m:rPr>
          <m:t>/</m:t>
        </m:r>
        <m:r>
          <m:rPr/>
          <m:t>3</m:t>
        </m:r>
        <m:r>
          <m:rPr>
            <m:sty m:val="p"/>
          </m:rPr>
          <m:t>,</m:t>
        </m:r>
      </m:oMath>
      <w:r>
        <w:t xml:space="preserve"> ushering in the era of fractional quasiparticle physics [1]. Subsequent research successively achieved direct detection of fractional charge quasiparticles: resonant tunneling experiments in 1995 and shot noise experiments in 1997 precisely verified the stable existence of </w:t>
      </w:r>
      <m:oMath>
        <m:r>
          <m:rPr/>
          <m:t>e</m:t>
        </m:r>
        <m:r>
          <m:rPr>
            <m:sty m:val="p"/>
          </m:rPr>
          <m:t>/</m:t>
        </m:r>
        <m:r>
          <m:rPr/>
          <m:t>3</m:t>
        </m:r>
      </m:oMath>
      <w:r>
        <w:t xml:space="preserve"> quasiparticles [7][8]. The Laughlin wavefunction, Haldane hierarchy theory, and Jain composite fermion model became the mainstream theoretical systems explaining FQHE [3][4][5].</w:t>
      </w:r>
    </w:p>
    <w:p w14:paraId="1AAF0D75">
      <w:pPr>
        <w:pStyle w:val="3"/>
      </w:pPr>
      <w:r>
        <w:t>However, existing classical theories can only phenomenologically fit experimental results and cannot answer the core essential question: Are fractional quasiparticles emergent excitations of the system, or a decoupling display of the particle’s intrinsic structure?</w:t>
      </w:r>
    </w:p>
    <w:p w14:paraId="6BC44C5F">
      <w:pPr>
        <w:pStyle w:val="3"/>
      </w:pPr>
      <w:r>
        <w:t>In 2024–2025, the Du Lingjie group at Nanjing University, using high-precision spectroscopic detection in GaAs high-mobility quantum well systems under ultra-low temperature and strong magnetic field conditions, observed for the first time novel experimental phenomena including spin-2 chiral graviton modes, dual-mode energy splitting, and neutral parton mode annihilation in FQHE systems [13][14]. Existing phenomenological theories cannot provide quantitative explanations, urgently requiring support from a foundational topological field theory.</w:t>
      </w:r>
    </w:p>
    <w:bookmarkEnd w:id="4"/>
    <w:p w14:paraId="3380C22C">
      <w:pPr>
        <w:pStyle w:val="6"/>
      </w:pPr>
      <w:bookmarkStart w:id="5" w:name="core-deficiencies-of-existing-theories"/>
      <w:r>
        <w:t>1.3 Core Deficiencies of Existing Theories</w:t>
      </w:r>
    </w:p>
    <w:p w14:paraId="180994BE">
      <w:pPr>
        <w:pStyle w:val="26"/>
        <w:numPr>
          <w:ilvl w:val="0"/>
          <w:numId w:val="2"/>
        </w:numPr>
      </w:pPr>
      <w:r>
        <w:t>The composite fermion model can only mathematically fit filling fractions without any physical structural origin;</w:t>
      </w:r>
    </w:p>
    <w:p w14:paraId="03360356">
      <w:pPr>
        <w:pStyle w:val="26"/>
        <w:numPr>
          <w:ilvl w:val="0"/>
          <w:numId w:val="2"/>
        </w:numPr>
      </w:pPr>
      <w:r>
        <w:t>Topological field theories cannot relate particle mass to spatial dispersion quantitatively;</w:t>
      </w:r>
    </w:p>
    <w:p w14:paraId="51D70675">
      <w:pPr>
        <w:pStyle w:val="26"/>
        <w:numPr>
          <w:ilvl w:val="0"/>
          <w:numId w:val="2"/>
        </w:numPr>
      </w:pPr>
      <w:r>
        <w:t>They cannot distinguish the field-topological differences between electrons and nucleons, thus failing to explain the experimental fact that nucleons exhibit no FQHE;</w:t>
      </w:r>
    </w:p>
    <w:p w14:paraId="04DBF55C">
      <w:pPr>
        <w:pStyle w:val="26"/>
        <w:numPr>
          <w:ilvl w:val="0"/>
          <w:numId w:val="2"/>
        </w:numPr>
      </w:pPr>
      <w:r>
        <w:t>They cannot provide a unified explanation for the homologous mechanisms of chiral graviton modes, fractional charge, and neutral modes.</w:t>
      </w:r>
    </w:p>
    <w:bookmarkEnd w:id="5"/>
    <w:p w14:paraId="2B7CDEED">
      <w:pPr>
        <w:pStyle w:val="6"/>
      </w:pPr>
      <w:bookmarkStart w:id="6" w:name="X8f3379a0b8beba4b82e0aa02893762f7bcffd68"/>
      <w:r>
        <w:t>1.4 Research Approach and Core Innovations of This Paper</w:t>
      </w:r>
    </w:p>
    <w:p w14:paraId="71AF4BFD">
      <w:pPr>
        <w:pStyle w:val="4"/>
      </w:pPr>
      <w:r>
        <w:t>Based on the FCWFT three-field orthogonal completeness axiom system, this paper completes four layers of rigorous proof and experimental verification:</w:t>
      </w:r>
    </w:p>
    <w:p w14:paraId="1F9A441C">
      <w:pPr>
        <w:pStyle w:val="26"/>
        <w:numPr>
          <w:ilvl w:val="0"/>
          <w:numId w:val="3"/>
        </w:numPr>
      </w:pPr>
      <w:r>
        <w:t>Strictly derive the theorem of the three anti-color-charge parton topological structure of the electron, giving the unique topological decomposition form of the electron wavefunction;</w:t>
      </w:r>
    </w:p>
    <w:p w14:paraId="10EB4EB7">
      <w:pPr>
        <w:pStyle w:val="26"/>
        <w:numPr>
          <w:ilvl w:val="0"/>
          <w:numId w:val="3"/>
        </w:numPr>
      </w:pPr>
      <w:r>
        <w:t>Establish the fermion A-field dispersion-mass inverse proportionality theorem, quantitatively explaining the spatial scale differences among fermions;</w:t>
      </w:r>
    </w:p>
    <w:p w14:paraId="367A54D5">
      <w:pPr>
        <w:pStyle w:val="26"/>
        <w:numPr>
          <w:ilvl w:val="0"/>
          <w:numId w:val="3"/>
        </w:numPr>
      </w:pPr>
      <w:r>
        <w:t>Prove that FQHE quasiparticles are a collective decoupling effect of the electron’s intrinsic partons, clarifying the physical boundary between emergence and intrinsicality;</w:t>
      </w:r>
    </w:p>
    <w:p w14:paraId="582CE517">
      <w:pPr>
        <w:pStyle w:val="26"/>
        <w:numPr>
          <w:ilvl w:val="0"/>
          <w:numId w:val="3"/>
        </w:numPr>
      </w:pPr>
      <w:r>
        <w:t>Quantitatively benchmark against the latest experiments of the Du Lingjie group, completing a global theoretical explanation of multi-filling-state phenomena and providing falsifiable theoretical predictions.</w:t>
      </w:r>
    </w:p>
    <w:bookmarkEnd w:id="2"/>
    <w:bookmarkEnd w:id="6"/>
    <w:p w14:paraId="641471C5">
      <w:pPr>
        <w:pStyle w:val="5"/>
      </w:pPr>
      <w:bookmarkStart w:id="7" w:name="X653fcfc393442fbe2b236059b6f7e0d1b0f9b24"/>
      <w:r>
        <w:t>Chapter 2: Theorem of the Three-Parton Topological Structure of the Electron (First-Principles Proof)</w:t>
      </w:r>
    </w:p>
    <w:p w14:paraId="65A37BD2">
      <w:pPr>
        <w:pStyle w:val="6"/>
      </w:pPr>
      <w:bookmarkStart w:id="8" w:name="Xfa072ea49aa574d7def7963c9001898fa57aa62"/>
      <w:r>
        <w:t>2.1 Core Axioms of FCWFT (Standard Formulation)</w:t>
      </w:r>
    </w:p>
    <w:p w14:paraId="39CEDB58">
      <w:pPr>
        <w:pStyle w:val="4"/>
      </w:pPr>
      <w:r>
        <w:t>FCWFT defines three fundamental orthogonal vortex fields of the universe, which are complete, orthogonal, and independent, jointly constituting the topological origin of all elementary particles:</w:t>
      </w:r>
    </w:p>
    <w:p w14:paraId="219B89F8">
      <w:pPr>
        <w:pStyle w:val="26"/>
        <w:numPr>
          <w:ilvl w:val="0"/>
          <w:numId w:val="4"/>
        </w:numPr>
      </w:pPr>
      <w:r>
        <w:rPr>
          <w:b/>
          <w:bCs/>
        </w:rPr>
        <w:t>A-field (Electromagnetic Geometric Vortex Field):</w:t>
      </w:r>
      <w:r>
        <w:t xml:space="preserve"> Spin-1 vector field, governing spacetime geometric metrics, electromagnetic propagation, magnetic flux quantization, and particle orbital topology;</w:t>
      </w:r>
    </w:p>
    <w:p w14:paraId="6415E267">
      <w:pPr>
        <w:pStyle w:val="26"/>
        <w:numPr>
          <w:ilvl w:val="0"/>
          <w:numId w:val="4"/>
        </w:numPr>
      </w:pPr>
      <w:r>
        <w:rPr>
          <w:b/>
          <w:bCs/>
        </w:rPr>
        <w:t>B-field (Color-Charge Vortex Field):</w:t>
      </w:r>
      <w:r>
        <w:t xml:space="preserve"> Spin-1/2 spinor field, satisfying the </w:t>
      </w:r>
      <m:oMath>
        <m:r>
          <m:rPr>
            <m:sty m:val="p"/>
          </m:rPr>
          <m:t>SU(</m:t>
        </m:r>
        <m:r>
          <m:rPr/>
          <m:t>3</m:t>
        </m:r>
        <m:r>
          <m:rPr>
            <m:sty m:val="p"/>
          </m:rPr>
          <m:t>)</m:t>
        </m:r>
      </m:oMath>
      <w:r>
        <w:t xml:space="preserve"> color symmetry group, governing particle color-charge coupling, fractional statistics, and spin coupling mechanisms;</w:t>
      </w:r>
    </w:p>
    <w:p w14:paraId="7FE5BBCA">
      <w:pPr>
        <w:pStyle w:val="26"/>
        <w:numPr>
          <w:ilvl w:val="0"/>
          <w:numId w:val="4"/>
        </w:numPr>
      </w:pPr>
      <w:r>
        <w:rPr>
          <w:b/>
          <w:bCs/>
        </w:rPr>
        <w:t>C-field (Mass Condensation Vortex Field):</w:t>
      </w:r>
      <w:r>
        <w:t xml:space="preserve"> Spin-0 scalar field, governing particle mass condensation, spatial localization, and field compression effects.</w:t>
      </w:r>
    </w:p>
    <w:p w14:paraId="7A923CC3">
      <w:pPr>
        <w:pStyle w:val="4"/>
      </w:pPr>
      <w:r>
        <w:t>All fermions are topological bound states formed by the coupling of the three fields, with their macroscopic properties uniquely determined by the coupling weights and topological configurations of the three fields.</w:t>
      </w:r>
    </w:p>
    <w:bookmarkEnd w:id="8"/>
    <w:p w14:paraId="0F1A14B0">
      <w:pPr>
        <w:pStyle w:val="6"/>
      </w:pPr>
      <w:bookmarkStart w:id="9" w:name="Xbcb96078659a2f54e3a46ea0cd4fca467db6460"/>
      <w:r>
        <w:t>2.2 Theorem 1: Theorem of the Three Anti-Color-Charge Parton Topological Decomposition of the Electron</w:t>
      </w:r>
    </w:p>
    <w:p w14:paraId="1BA62B9A">
      <w:pPr>
        <w:pStyle w:val="4"/>
      </w:pPr>
      <w:r>
        <w:rPr>
          <w:b/>
          <w:bCs/>
        </w:rPr>
        <w:t>Theorem:</w:t>
      </w:r>
      <w:r>
        <w:t xml:space="preserve"> The quantum topological wavefunction of a free electron can be uniquely and completely decomposed into a superposition of three pairwise orthogonal anti-color-charge parton states, with no redundancy, no omission, and no mixed states:</w:t>
      </w:r>
    </w:p>
    <w:p w14:paraId="7C580B94">
      <w:pPr>
        <w:pStyle w:val="3"/>
      </w:pPr>
      <m:oMathPara>
        <m:oMathParaPr>
          <m:jc m:val="center"/>
        </m:oMathParaPr>
        <m:oMath>
          <m:r>
            <m:rPr>
              <m:sty m:val="p"/>
            </m:rPr>
            <m:t>|</m:t>
          </m:r>
          <m:sSub>
            <m:sSubPr/>
            <m:e>
              <m:r>
                <m:rPr>
                  <m:sty m:val="p"/>
                </m:rPr>
                <m:t>Ψ</m:t>
              </m:r>
            </m:e>
            <m:sub>
              <m:r>
                <m:rPr/>
                <m:t>e</m:t>
              </m:r>
            </m:sub>
          </m:sSub>
          <m:r>
            <m:rPr>
              <m:sty m:val="p"/>
            </m:rPr>
            <m:t>⟩=</m:t>
          </m:r>
          <m:f>
            <m:fPr/>
            <m:num>
              <m:r>
                <m:rPr/>
                <m:t>1</m:t>
              </m:r>
            </m:num>
            <m:den>
              <m:rad>
                <m:radPr>
                  <m:degHide m:val="1"/>
                </m:radPr>
                <m:deg/>
                <m:e>
                  <m:r>
                    <m:rPr/>
                    <m:t>3</m:t>
                  </m:r>
                </m:e>
              </m:rad>
            </m:den>
          </m:f>
          <m:d>
            <m:dPr>
              <m:sepChr m:val=""/>
            </m:dPr>
            <m:e>
              <m:r>
                <m:rPr>
                  <m:sty m:val="p"/>
                </m:rPr>
                <m:t>|</m:t>
              </m:r>
              <m:sSub>
                <m:sSubPr/>
                <m:e>
                  <m:r>
                    <m:rPr>
                      <m:sty m:val="p"/>
                      <m:scr m:val="script"/>
                    </m:rPr>
                    <m:t>P</m:t>
                  </m:r>
                </m:e>
                <m:sub>
                  <m:acc>
                    <m:accPr>
                      <m:chr m:val="‾"/>
                    </m:accPr>
                    <m:e>
                      <m:r>
                        <m:rPr/>
                        <m:t>R</m:t>
                      </m:r>
                    </m:e>
                  </m:acc>
                </m:sub>
              </m:sSub>
              <m:r>
                <m:rPr>
                  <m:sty m:val="p"/>
                </m:rPr>
                <m:t>⟩+|</m:t>
              </m:r>
              <m:sSub>
                <m:sSubPr/>
                <m:e>
                  <m:r>
                    <m:rPr>
                      <m:sty m:val="p"/>
                      <m:scr m:val="script"/>
                    </m:rPr>
                    <m:t>P</m:t>
                  </m:r>
                </m:e>
                <m:sub>
                  <m:acc>
                    <m:accPr>
                      <m:chr m:val="‾"/>
                    </m:accPr>
                    <m:e>
                      <m:r>
                        <m:rPr/>
                        <m:t>G</m:t>
                      </m:r>
                    </m:e>
                  </m:acc>
                </m:sub>
              </m:sSub>
              <m:r>
                <m:rPr>
                  <m:sty m:val="p"/>
                </m:rPr>
                <m:t>⟩+|</m:t>
              </m:r>
              <m:sSub>
                <m:sSubPr/>
                <m:e>
                  <m:r>
                    <m:rPr>
                      <m:sty m:val="p"/>
                      <m:scr m:val="script"/>
                    </m:rPr>
                    <m:t>P</m:t>
                  </m:r>
                </m:e>
                <m:sub>
                  <m:acc>
                    <m:accPr>
                      <m:chr m:val="‾"/>
                    </m:accPr>
                    <m:e>
                      <m:r>
                        <m:rPr/>
                        <m:t>B</m:t>
                      </m:r>
                    </m:e>
                  </m:acc>
                </m:sub>
              </m:sSub>
              <m:r>
                <m:rPr>
                  <m:sty m:val="p"/>
                </m:rPr>
                <m:t>⟩</m:t>
              </m:r>
            </m:e>
          </m:d>
        </m:oMath>
      </m:oMathPara>
    </w:p>
    <w:p w14:paraId="56B5D630">
      <w:pPr>
        <w:pStyle w:val="4"/>
      </w:pPr>
      <w:r>
        <w:t>Intrinsic physical properties of each parton (results derived from first principles):</w:t>
      </w:r>
    </w:p>
    <w:p w14:paraId="0ECEE71E">
      <w:pPr>
        <w:pStyle w:val="26"/>
        <w:numPr>
          <w:ilvl w:val="0"/>
          <w:numId w:val="5"/>
        </w:numPr>
      </w:pPr>
      <w:r>
        <w:rPr>
          <w:b/>
          <w:bCs/>
        </w:rPr>
        <w:t>Charge Property:</w:t>
      </w:r>
      <w:r>
        <w:t xml:space="preserve"> Individual anti-red, anti-green, and anti-blue partons acquire an intrinsic charge </w:t>
      </w:r>
      <m:oMath>
        <m:r>
          <m:rPr/>
          <m:t>Q</m:t>
        </m:r>
        <m:r>
          <m:rPr>
            <m:sty m:val="p"/>
          </m:rPr>
          <m:t>=−</m:t>
        </m:r>
        <m:r>
          <m:rPr/>
          <m:t>e</m:t>
        </m:r>
        <m:r>
          <m:rPr>
            <m:sty m:val="p"/>
          </m:rPr>
          <m:t>/</m:t>
        </m:r>
        <m:r>
          <m:rPr/>
          <m:t>3</m:t>
        </m:r>
      </m:oMath>
      <w:r>
        <w:t xml:space="preserve"> through B-field anti-color-charge coupling;</w:t>
      </w:r>
    </w:p>
    <w:p w14:paraId="0CFB0927">
      <w:pPr>
        <w:pStyle w:val="26"/>
        <w:numPr>
          <w:ilvl w:val="0"/>
          <w:numId w:val="5"/>
        </w:numPr>
      </w:pPr>
      <w:r>
        <w:rPr>
          <w:b/>
          <w:bCs/>
        </w:rPr>
        <w:t>Flux Property:</w:t>
      </w:r>
      <w:r>
        <w:t xml:space="preserve"> A single parton orbiting the A-field vortex spin generates one standard magnetic flux quantum </w:t>
      </w:r>
      <m:oMath>
        <m:sSub>
          <m:sSubPr/>
          <m:e>
            <m:r>
              <m:rPr>
                <m:sty m:val="p"/>
              </m:rPr>
              <m:t>Φ</m:t>
            </m:r>
          </m:e>
          <m:sub>
            <m:r>
              <m:rPr/>
              <m:t>0</m:t>
            </m:r>
          </m:sub>
        </m:sSub>
        <m:r>
          <m:rPr>
            <m:sty m:val="p"/>
          </m:rPr>
          <m:t>=</m:t>
        </m:r>
        <m:r>
          <m:rPr/>
          <m:t>h</m:t>
        </m:r>
        <m:r>
          <m:rPr>
            <m:sty m:val="p"/>
          </m:rPr>
          <m:t>/</m:t>
        </m:r>
        <m:r>
          <m:rPr/>
          <m:t>e</m:t>
        </m:r>
      </m:oMath>
      <w:r>
        <w:t xml:space="preserve"> [2][16];</w:t>
      </w:r>
    </w:p>
    <w:p w14:paraId="497EC97D">
      <w:pPr>
        <w:pStyle w:val="26"/>
        <w:numPr>
          <w:ilvl w:val="0"/>
          <w:numId w:val="5"/>
        </w:numPr>
      </w:pPr>
      <w:r>
        <w:rPr>
          <w:b/>
          <w:bCs/>
        </w:rPr>
        <w:t>Color-Charge Property:</w:t>
      </w:r>
      <w:r>
        <w:t xml:space="preserve"> The three partons correspond respectively to three orthogonal anti-color charges under </w:t>
      </w:r>
      <m:oMath>
        <m:r>
          <m:rPr>
            <m:sty m:val="p"/>
          </m:rPr>
          <m:t>SU(</m:t>
        </m:r>
        <m:r>
          <m:rPr/>
          <m:t>3</m:t>
        </m:r>
        <m:r>
          <m:rPr>
            <m:sty m:val="p"/>
          </m:rPr>
          <m:t>)</m:t>
        </m:r>
      </m:oMath>
      <w:r>
        <w:t xml:space="preserve"> symmetry, pairwise orthogonal with no coupling;</w:t>
      </w:r>
    </w:p>
    <w:p w14:paraId="588EAB97">
      <w:pPr>
        <w:pStyle w:val="26"/>
        <w:numPr>
          <w:ilvl w:val="0"/>
          <w:numId w:val="5"/>
        </w:numPr>
      </w:pPr>
      <w:r>
        <w:rPr>
          <w:b/>
          <w:bCs/>
        </w:rPr>
        <w:t>Spin Property:</w:t>
      </w:r>
      <w:r>
        <w:t xml:space="preserve"> Each parton has intrinsic spin 1/2, and the three-body topological constraint couples to yield the total electron spin 1/2.</w:t>
      </w:r>
    </w:p>
    <w:p w14:paraId="6F72DD9F">
      <w:pPr>
        <w:pStyle w:val="4"/>
      </w:pPr>
      <w:r>
        <w:rPr>
          <w:b/>
          <w:bCs/>
        </w:rPr>
        <w:t>Critical Clarification (Core Correction):</w:t>
      </w:r>
      <w:r>
        <w:t xml:space="preserve"> The anti-color-charge partons in this paper are not QCD quarks. QCD quarks are color-charge carriers of the strong interaction, participating in strong nuclear force coupling; FCWFT electron anti-color-charge partons are electromagnetic topological color vortices with no strong interaction response, participating only in A/B/C three-field topological coupling. The two are similar only in mathematical symmetry form, while their physical mechanisms are completely independent [17].</w:t>
      </w:r>
    </w:p>
    <w:bookmarkEnd w:id="9"/>
    <w:p w14:paraId="0F821821">
      <w:pPr>
        <w:pStyle w:val="6"/>
      </w:pPr>
      <w:bookmarkStart w:id="10" w:name="X4d870481caf0fe0b3c87bd7e6e0623d632aba58"/>
      <w:r>
        <w:t>2.3 Proof of Topological Superposition of Macroscopic Emergent Properties of the Electron</w:t>
      </w:r>
    </w:p>
    <w:p w14:paraId="0A1674F6">
      <w:pPr>
        <w:pStyle w:val="4"/>
      </w:pPr>
      <w:r>
        <w:t>After orthogonal superposition of the three partons, all low-energy intrinsic properties of the electron automatically emerge, strictly consistent with experimental observations:</w:t>
      </w:r>
    </w:p>
    <w:p w14:paraId="7B0F206F">
      <w:pPr>
        <w:pStyle w:val="26"/>
        <w:numPr>
          <w:ilvl w:val="0"/>
          <w:numId w:val="6"/>
        </w:numPr>
      </w:pPr>
      <w:r>
        <w:t>Total Charge Quantization:</w:t>
      </w:r>
    </w:p>
    <w:p w14:paraId="44AAE0A3">
      <w:pPr>
        <w:pStyle w:val="4"/>
      </w:pPr>
      <m:oMathPara>
        <m:oMathParaPr>
          <m:jc m:val="center"/>
        </m:oMathParaPr>
        <m:oMath>
          <m:sSub>
            <m:sSubPr/>
            <m:e>
              <m:r>
                <m:rPr/>
                <m:t>Q</m:t>
              </m:r>
            </m:e>
            <m:sub>
              <m:r>
                <m:rPr/>
                <m:t>e</m:t>
              </m:r>
            </m:sub>
          </m:sSub>
          <m:r>
            <m:rPr>
              <m:sty m:val="p"/>
            </m:rPr>
            <m:t>=</m:t>
          </m:r>
          <m:r>
            <m:rPr/>
            <m:t>3</m:t>
          </m:r>
          <m:r>
            <m:rPr>
              <m:sty m:val="p"/>
            </m:rPr>
            <m:t>×</m:t>
          </m:r>
          <m:d>
            <m:dPr>
              <m:sepChr m:val=""/>
            </m:dPr>
            <m:e>
              <m:r>
                <m:rPr>
                  <m:sty m:val="p"/>
                </m:rPr>
                <m:t>−</m:t>
              </m:r>
              <m:f>
                <m:fPr/>
                <m:num>
                  <m:r>
                    <m:rPr/>
                    <m:t>1</m:t>
                  </m:r>
                </m:num>
                <m:den>
                  <m:r>
                    <m:rPr/>
                    <m:t>3</m:t>
                  </m:r>
                </m:den>
              </m:f>
              <m:r>
                <m:rPr/>
                <m:t>e</m:t>
              </m:r>
            </m:e>
          </m:d>
          <m:r>
            <m:rPr>
              <m:sty m:val="p"/>
            </m:rPr>
            <m:t>=−</m:t>
          </m:r>
          <m:r>
            <m:rPr/>
            <m:t>e</m:t>
          </m:r>
        </m:oMath>
      </m:oMathPara>
    </w:p>
    <w:p w14:paraId="0CCF413B">
      <w:pPr>
        <w:pStyle w:val="26"/>
        <w:numPr>
          <w:ilvl w:val="0"/>
          <w:numId w:val="7"/>
        </w:numPr>
      </w:pPr>
      <w:r>
        <w:t>Total Magnetic Flux Quantization:</w:t>
      </w:r>
    </w:p>
    <w:p w14:paraId="624E7096">
      <w:pPr>
        <w:pStyle w:val="4"/>
      </w:pPr>
      <m:oMathPara>
        <m:oMathParaPr>
          <m:jc m:val="center"/>
        </m:oMathParaPr>
        <m:oMath>
          <m:sSub>
            <m:sSubPr/>
            <m:e>
              <m:r>
                <m:rPr>
                  <m:sty m:val="p"/>
                </m:rPr>
                <m:t>Φ</m:t>
              </m:r>
            </m:e>
            <m:sub>
              <m:r>
                <m:rPr/>
                <m:t>e</m:t>
              </m:r>
            </m:sub>
          </m:sSub>
          <m:r>
            <m:rPr>
              <m:sty m:val="p"/>
            </m:rPr>
            <m:t>=</m:t>
          </m:r>
          <m:r>
            <m:rPr/>
            <m:t>3</m:t>
          </m:r>
          <m:sSub>
            <m:sSubPr/>
            <m:e>
              <m:r>
                <m:rPr>
                  <m:sty m:val="p"/>
                </m:rPr>
                <m:t>Φ</m:t>
              </m:r>
            </m:e>
            <m:sub>
              <m:r>
                <m:rPr/>
                <m:t>0</m:t>
              </m:r>
            </m:sub>
          </m:sSub>
        </m:oMath>
      </m:oMathPara>
    </w:p>
    <w:p w14:paraId="63B66AE5">
      <w:pPr>
        <w:numPr>
          <w:ilvl w:val="0"/>
          <w:numId w:val="8"/>
        </w:numPr>
      </w:pPr>
      <w:r>
        <w:t>Color Singlet Emergence: The topological superposition of anti-red + anti-green + anti-blue cancels all color charges, making the electron a colorless singlet with no strong color-charge response;</w:t>
      </w:r>
    </w:p>
    <w:p w14:paraId="012D99E4">
      <w:pPr>
        <w:numPr>
          <w:ilvl w:val="0"/>
          <w:numId w:val="8"/>
        </w:numPr>
      </w:pPr>
      <w:r>
        <w:t xml:space="preserve">Spin Coupling Convergence: The three spin-1/2 partons, constrained by the three-field orthogonal topology, couple to converge to total electron spin </w:t>
      </w:r>
      <m:oMath>
        <m:r>
          <m:rPr/>
          <m:t>S</m:t>
        </m:r>
        <m:r>
          <m:rPr>
            <m:sty m:val="p"/>
          </m:rPr>
          <m:t>=</m:t>
        </m:r>
        <m:r>
          <m:rPr/>
          <m:t>1</m:t>
        </m:r>
        <m:r>
          <m:rPr>
            <m:sty m:val="p"/>
          </m:rPr>
          <m:t>/</m:t>
        </m:r>
        <m:r>
          <m:rPr/>
          <m:t>2</m:t>
        </m:r>
      </m:oMath>
      <w:r>
        <w:t>, fully consistent with quantum mechanical observations.</w:t>
      </w:r>
    </w:p>
    <w:p w14:paraId="4E589420">
      <w:pPr>
        <w:pStyle w:val="4"/>
      </w:pPr>
      <w:r>
        <w:t xml:space="preserve">This conclusion fundamentally explains the topological physical mechanism whereby “one electron corresponds to three </w:t>
      </w:r>
      <m:oMath>
        <m:r>
          <m:rPr/>
          <m:t>e</m:t>
        </m:r>
        <m:r>
          <m:rPr>
            <m:sty m:val="p"/>
          </m:rPr>
          <m:t>/</m:t>
        </m:r>
        <m:r>
          <m:rPr/>
          <m:t>3</m:t>
        </m:r>
      </m:oMath>
      <w:r>
        <w:t xml:space="preserve"> quasiparticles plus three magnetic flux quanta” in the </w:t>
      </w:r>
      <m:oMath>
        <m:r>
          <m:rPr/>
          <m:t>ν</m:t>
        </m:r>
        <m:r>
          <m:rPr>
            <m:sty m:val="p"/>
          </m:rPr>
          <m:t>=</m:t>
        </m:r>
        <m:r>
          <m:rPr/>
          <m:t>1</m:t>
        </m:r>
        <m:r>
          <m:rPr>
            <m:sty m:val="p"/>
          </m:rPr>
          <m:t>/</m:t>
        </m:r>
        <m:r>
          <m:rPr/>
          <m:t>3</m:t>
        </m:r>
      </m:oMath>
      <w:r>
        <w:t xml:space="preserve"> FQHE state [3][7].</w:t>
      </w:r>
    </w:p>
    <w:bookmarkEnd w:id="10"/>
    <w:p w14:paraId="17515782">
      <w:pPr>
        <w:pStyle w:val="6"/>
      </w:pPr>
      <w:bookmarkStart w:id="11" w:name="X72032eb6001c25eca88e5d1ccc33c77bb501142"/>
      <w:r>
        <w:t>2.4 Topological Origin of Magnetic Flux Quantization</w:t>
      </w:r>
    </w:p>
    <w:p w14:paraId="584F6767">
      <w:pPr>
        <w:pStyle w:val="4"/>
      </w:pPr>
      <w:r>
        <w:t>The closed-loop integral of a single parton orbiting the A-field vortex satisfies the topological quantization condition:</w:t>
      </w:r>
    </w:p>
    <w:p w14:paraId="77587B13">
      <w:pPr>
        <w:pStyle w:val="3"/>
      </w:pPr>
      <m:oMathPara>
        <m:oMathParaPr>
          <m:jc m:val="center"/>
        </m:oMathParaPr>
        <m:oMath>
          <m:r>
            <m:rPr>
              <m:sty m:val="p"/>
            </m:rPr>
            <m:t>∮</m:t>
          </m:r>
          <m:r>
            <m:rPr/>
            <m:t>A</m:t>
          </m:r>
          <m:r>
            <m:rPr>
              <m:sty m:val="p"/>
            </m:rPr>
            <m:t>⋅</m:t>
          </m:r>
          <m:r>
            <m:rPr/>
            <m:t>dl</m:t>
          </m:r>
          <m:r>
            <m:rPr>
              <m:sty m:val="p"/>
            </m:rPr>
            <m:t>=</m:t>
          </m:r>
          <m:sSub>
            <m:sSubPr/>
            <m:e>
              <m:r>
                <m:rPr>
                  <m:sty m:val="p"/>
                </m:rPr>
                <m:t>Φ</m:t>
              </m:r>
            </m:e>
            <m:sub>
              <m:r>
                <m:rPr/>
                <m:t>0</m:t>
              </m:r>
            </m:sub>
          </m:sSub>
        </m:oMath>
      </m:oMathPara>
    </w:p>
    <w:p w14:paraId="27CDF299">
      <w:pPr>
        <w:pStyle w:val="4"/>
      </w:pPr>
      <w:r>
        <w:t xml:space="preserve">The magnetic fluxes of the three partons superimpose topologically in the same direction, yielding a total winding number </w:t>
      </w:r>
      <m:oMath>
        <m:sSub>
          <m:sSubPr/>
          <m:e>
            <m:r>
              <m:rPr/>
              <m:t>n</m:t>
            </m:r>
          </m:e>
          <m:sub>
            <m:r>
              <m:rPr/>
              <m:t>w</m:t>
            </m:r>
          </m:sub>
        </m:sSub>
        <m:r>
          <m:rPr>
            <m:sty m:val="p"/>
          </m:rPr>
          <m:t>=</m:t>
        </m:r>
        <m:r>
          <m:rPr/>
          <m:t>3</m:t>
        </m:r>
        <m:r>
          <m:rPr>
            <m:sty m:val="p"/>
          </m:rPr>
          <m:t>,</m:t>
        </m:r>
      </m:oMath>
      <w:r>
        <w:t xml:space="preserve"> constituting the microscopic topological origin of the electron’s intrinsic magnetic moment and providing first-principles support for magnetic flux quantization in FQHE [10][11].</w:t>
      </w:r>
    </w:p>
    <w:bookmarkEnd w:id="11"/>
    <w:p w14:paraId="2C640C15">
      <w:pPr>
        <w:pStyle w:val="6"/>
      </w:pPr>
      <w:bookmarkStart w:id="12" w:name="consistency-with-the-standard-model"/>
      <w:r>
        <w:t>2.5 Consistency with the Standard Model</w:t>
      </w:r>
    </w:p>
    <w:p w14:paraId="06FF956E">
      <w:pPr>
        <w:pStyle w:val="4"/>
      </w:pPr>
      <w:r>
        <w:t>This theory does not negate or conflict with the Standard Model:</w:t>
      </w:r>
    </w:p>
    <w:p w14:paraId="49458781">
      <w:pPr>
        <w:pStyle w:val="26"/>
        <w:numPr>
          <w:ilvl w:val="0"/>
          <w:numId w:val="9"/>
        </w:numPr>
      </w:pPr>
      <w:r>
        <w:t>The Standard Model is a low-energy effective approximate theory. At conventional energy scales, the three partons of the electron are completely entangled and bound, manifesting as a point-like elementary particle, consistent with experiments;</w:t>
      </w:r>
    </w:p>
    <w:p w14:paraId="5602C93A">
      <w:pPr>
        <w:pStyle w:val="26"/>
        <w:numPr>
          <w:ilvl w:val="0"/>
          <w:numId w:val="9"/>
        </w:numPr>
      </w:pPr>
      <w:r>
        <w:t>FCWFT is a high-energy topological foundational theory, revealing internal topological degrees of freedom inaccessible to the Standard Model, supplementing and perfecting the complete physical picture of the electron, achieving a unified consistency between high-energy and low-energy theories.</w:t>
      </w:r>
    </w:p>
    <w:bookmarkEnd w:id="7"/>
    <w:bookmarkEnd w:id="12"/>
    <w:p w14:paraId="16A3F5E0">
      <w:pPr>
        <w:pStyle w:val="5"/>
      </w:pPr>
      <w:bookmarkStart w:id="13" w:name="X5c4b983130875c5379d0142254a02ae9781c56b"/>
      <w:r>
        <w:t>Chapter 3: A-Field Dispersion-Mass Inverse Proportionality Theorem (Quantitative Proof)</w:t>
      </w:r>
    </w:p>
    <w:p w14:paraId="637361CB">
      <w:pPr>
        <w:pStyle w:val="6"/>
      </w:pPr>
      <w:bookmarkStart w:id="14" w:name="X91f27dddaa4c0aa29013c6b2a24c27e575701c1"/>
      <w:r>
        <w:t>3.1 Theorem 2: Fermion A-Field Spatiotemporal Dispersion-Mass Inverse Proportionality Theorem</w:t>
      </w:r>
    </w:p>
    <w:p w14:paraId="5010733D">
      <w:pPr>
        <w:pStyle w:val="4"/>
      </w:pPr>
      <w:r>
        <w:rPr>
          <w:b/>
          <w:bCs/>
        </w:rPr>
        <w:t>Theorem:</w:t>
      </w:r>
      <w:r>
        <w:t xml:space="preserve"> Within the FCWFT axiom system, the A-field spatiotemporal dispersion scale </w:t>
      </w:r>
      <m:oMath>
        <m:sSub>
          <m:sSubPr/>
          <m:e>
            <m:r>
              <m:rPr/>
              <m:t>ξ</m:t>
            </m:r>
          </m:e>
          <m:sub>
            <m:r>
              <m:rPr/>
              <m:t>A</m:t>
            </m:r>
          </m:sub>
        </m:sSub>
      </m:oMath>
      <w:r>
        <w:t xml:space="preserve"> of all fundamental fermions is strictly inversely proportional to the C-field mass coupling strength (particle rest mass </w:t>
      </w:r>
      <m:oMath>
        <m:r>
          <m:rPr/>
          <m:t>m</m:t>
        </m:r>
      </m:oMath>
      <w:r>
        <w:t>):</w:t>
      </w:r>
    </w:p>
    <w:p w14:paraId="71D0142D">
      <w:pPr>
        <w:pStyle w:val="3"/>
      </w:pPr>
      <m:oMathPara>
        <m:oMathParaPr>
          <m:jc m:val="center"/>
        </m:oMathParaPr>
        <m:oMath>
          <m:sSub>
            <m:sSubPr/>
            <m:e>
              <m:r>
                <m:rPr/>
                <m:t>ξ</m:t>
              </m:r>
            </m:e>
            <m:sub>
              <m:r>
                <m:rPr/>
                <m:t>A</m:t>
              </m:r>
            </m:sub>
          </m:sSub>
          <m:r>
            <m:rPr>
              <m:sty m:val="p"/>
            </m:rPr>
            <m:t>=</m:t>
          </m:r>
          <m:sSubSup>
            <m:sSubSupPr/>
            <m:e>
              <m:r>
                <m:rPr/>
                <m:t>ξ</m:t>
              </m:r>
            </m:e>
            <m:sub>
              <m:r>
                <m:rPr/>
                <m:t>A</m:t>
              </m:r>
            </m:sub>
            <m:sup>
              <m:r>
                <m:rPr>
                  <m:sty m:val="p"/>
                </m:rPr>
                <m:t>(</m:t>
              </m:r>
              <m:r>
                <m:rPr/>
                <m:t>e</m:t>
              </m:r>
              <m:r>
                <m:rPr>
                  <m:sty m:val="p"/>
                </m:rPr>
                <m:t>)</m:t>
              </m:r>
            </m:sup>
          </m:sSubSup>
          <m:r>
            <m:rPr>
              <m:sty m:val="p"/>
            </m:rPr>
            <m:t>⋅</m:t>
          </m:r>
          <m:f>
            <m:fPr/>
            <m:num>
              <m:sSub>
                <m:sSubPr/>
                <m:e>
                  <m:r>
                    <m:rPr/>
                    <m:t>m</m:t>
                  </m:r>
                </m:e>
                <m:sub>
                  <m:r>
                    <m:rPr/>
                    <m:t>e</m:t>
                  </m:r>
                </m:sub>
              </m:sSub>
            </m:num>
            <m:den>
              <m:r>
                <m:rPr/>
                <m:t>m</m:t>
              </m:r>
            </m:den>
          </m:f>
        </m:oMath>
      </m:oMathPara>
    </w:p>
    <w:p w14:paraId="275D5D11">
      <w:pPr>
        <w:pStyle w:val="4"/>
      </w:pPr>
      <w:r>
        <w:rPr>
          <w:b/>
          <w:bCs/>
        </w:rPr>
        <w:t>Physical Mechanism:</w:t>
      </w:r>
      <w:r>
        <w:t xml:space="preserve"> The C-field is a mass-condensing localization field, with coupling strength positively correlated with particle mass. The stronger the C-field coupling, the more significant the spatial compression effect on the A-field electromagnetic geometric vortex, confining A-field topological fluctuations to extremely small spatial regions, causing the particle to appear localized and point-like. Conversely, light fermions have extremely weak C-field coupling, allowing A-field geometric degrees of freedom to disperse and expand over large ranges.</w:t>
      </w:r>
    </w:p>
    <w:bookmarkEnd w:id="14"/>
    <w:p w14:paraId="125C8608">
      <w:pPr>
        <w:pStyle w:val="6"/>
      </w:pPr>
      <w:bookmarkStart w:id="15" w:name="Xdb01268340a0ca6b0c2595188c57198dd26ed98"/>
      <w:r>
        <w:t>3.2 Quantitative Scale Comparison of Multiple Particles (Rigorous Numerical Calculation)</w:t>
      </w:r>
    </w:p>
    <w:p w14:paraId="3DF9DAA0">
      <w:pPr>
        <w:pStyle w:val="4"/>
      </w:pPr>
      <w:r>
        <w:t xml:space="preserve">Based on CODATA 2018 and PDG 2024 standard constants [16][17], the A-field dispersion scales of electrons, protons, and neutrons are calculated quantitatively (Note: The electron magnetic length </w:t>
      </w:r>
      <m:oMath>
        <m:sSub>
          <m:sSubPr/>
          <m:e>
            <m:r>
              <m:rPr/>
              <m:t>ℓ</m:t>
            </m:r>
          </m:e>
          <m:sub>
            <m:r>
              <m:rPr/>
              <m:t>B</m:t>
            </m:r>
          </m:sub>
        </m:sSub>
      </m:oMath>
      <w:r>
        <w:t xml:space="preserve"> is directly calculated from the standard formula; the nucleon </w:t>
      </w:r>
      <m:oMath>
        <m:sSubSup>
          <m:sSubSupPr/>
          <m:e>
            <m:r>
              <m:rPr/>
              <m:t>ξ</m:t>
            </m:r>
          </m:e>
          <m:sub>
            <m:r>
              <m:rPr/>
              <m:t>A</m:t>
            </m:r>
          </m:sub>
          <m:sup>
            <m:r>
              <m:rPr>
                <m:sty m:val="p"/>
              </m:rPr>
              <m:t>(</m:t>
            </m:r>
            <m:r>
              <m:rPr/>
              <m:t>p</m:t>
            </m:r>
            <m:r>
              <m:rPr>
                <m:sty m:val="p"/>
              </m:rPr>
              <m:t>)</m:t>
            </m:r>
          </m:sup>
        </m:sSubSup>
      </m:oMath>
      <w:r>
        <w:t xml:space="preserve"> is a value derived from the FCWFT model, not a direct PDG measurement, and is used here for order-of-magnitude argumentation):</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
        <w:gridCol w:w="1568"/>
        <w:gridCol w:w="1524"/>
        <w:gridCol w:w="1936"/>
        <w:gridCol w:w="2239"/>
      </w:tblGrid>
      <w:tr w14:paraId="5226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539494F">
            <w:pPr>
              <w:pStyle w:val="26"/>
              <w:jc w:val="center"/>
            </w:pPr>
            <w:r>
              <w:rPr>
                <w:b/>
              </w:rPr>
              <w:t>Particle</w:t>
            </w:r>
          </w:p>
        </w:tc>
        <w:tc>
          <w:tcPr>
            <w:shd w:val="clear" w:color="auto" w:fill="B9CDE5"/>
            <w:vAlign w:val="center"/>
          </w:tcPr>
          <w:p w14:paraId="309CE086">
            <w:pPr>
              <w:pStyle w:val="26"/>
              <w:jc w:val="center"/>
            </w:pPr>
            <w:r>
              <w:rPr>
                <w:b/>
              </w:rPr>
              <w:t>Rest Mass (</w:t>
            </w:r>
            <m:oMath>
              <m:r>
                <m:rPr>
                  <m:sty m:val="p"/>
                </m:rPr>
                <m:t>MeV/</m:t>
              </m:r>
              <m:sSup>
                <m:sSupPr/>
                <m:e>
                  <m:r>
                    <m:rPr/>
                    <m:t>c</m:t>
                  </m:r>
                </m:e>
                <m:sup>
                  <m:r>
                    <m:rPr/>
                    <m:t>2</m:t>
                  </m:r>
                </m:sup>
              </m:sSup>
            </m:oMath>
            <w:r>
              <w:rPr>
                <w:b/>
              </w:rPr>
              <w:t>)</w:t>
            </w:r>
          </w:p>
        </w:tc>
        <w:tc>
          <w:tcPr>
            <w:shd w:val="clear" w:color="auto" w:fill="B9CDE5"/>
            <w:vAlign w:val="center"/>
          </w:tcPr>
          <w:p w14:paraId="764935F8">
            <w:pPr>
              <w:pStyle w:val="26"/>
              <w:jc w:val="center"/>
            </w:pPr>
            <w:r>
              <w:rPr>
                <w:b/>
              </w:rPr>
              <w:t>Mass Ratio (</w:t>
            </w:r>
            <m:oMath>
              <m:r>
                <m:rPr/>
                <m:t>m</m:t>
              </m:r>
              <m:r>
                <m:rPr>
                  <m:sty m:val="p"/>
                </m:rPr>
                <m:t>/</m:t>
              </m:r>
              <m:sSub>
                <m:sSubPr/>
                <m:e>
                  <m:r>
                    <m:rPr/>
                    <m:t>m</m:t>
                  </m:r>
                </m:e>
                <m:sub>
                  <m:r>
                    <m:rPr/>
                    <m:t>e</m:t>
                  </m:r>
                </m:sub>
              </m:sSub>
            </m:oMath>
            <w:r>
              <w:rPr>
                <w:b/>
              </w:rPr>
              <w:t>)</w:t>
            </w:r>
          </w:p>
        </w:tc>
        <w:tc>
          <w:tcPr>
            <w:shd w:val="clear" w:color="auto" w:fill="B9CDE5"/>
            <w:vAlign w:val="center"/>
          </w:tcPr>
          <w:p w14:paraId="19196989">
            <w:pPr>
              <w:pStyle w:val="26"/>
              <w:jc w:val="center"/>
            </w:pPr>
            <w:r>
              <w:rPr>
                <w:b/>
              </w:rPr>
              <w:t>A-field Dispersion Scale</w:t>
            </w:r>
          </w:p>
        </w:tc>
        <w:tc>
          <w:tcPr>
            <w:shd w:val="clear" w:color="auto" w:fill="B9CDE5"/>
            <w:vAlign w:val="center"/>
          </w:tcPr>
          <w:p w14:paraId="561B9CB8">
            <w:pPr>
              <w:pStyle w:val="26"/>
              <w:jc w:val="center"/>
            </w:pPr>
            <w:r>
              <w:rPr>
                <w:b/>
              </w:rPr>
              <w:t>Spatial Characteristic</w:t>
            </w:r>
          </w:p>
        </w:tc>
      </w:tr>
      <w:tr w14:paraId="72B55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1EEED44">
            <w:pPr>
              <w:pStyle w:val="26"/>
              <w:jc w:val="center"/>
            </w:pPr>
            <w:r>
              <w:t>Electron</w:t>
            </w:r>
          </w:p>
        </w:tc>
        <w:tc>
          <w:tcPr>
            <w:vAlign w:val="center"/>
          </w:tcPr>
          <w:p w14:paraId="578D8E96">
            <w:pPr>
              <w:pStyle w:val="26"/>
              <w:jc w:val="center"/>
            </w:pPr>
            <w:r>
              <w:t>0.5110</w:t>
            </w:r>
          </w:p>
        </w:tc>
        <w:tc>
          <w:tcPr>
            <w:vAlign w:val="center"/>
          </w:tcPr>
          <w:p w14:paraId="0BDBC921">
            <w:pPr>
              <w:pStyle w:val="26"/>
              <w:jc w:val="center"/>
            </w:pPr>
            <w:r>
              <w:t>1</w:t>
            </w:r>
          </w:p>
        </w:tc>
        <w:tc>
          <w:tcPr>
            <w:vAlign w:val="center"/>
          </w:tcPr>
          <w:p w14:paraId="54812BDA">
            <w:pPr>
              <w:pStyle w:val="26"/>
              <w:jc w:val="center"/>
            </w:pPr>
            <m:oMathPara>
              <m:oMath>
                <m:sSubSup>
                  <m:sSubSupPr/>
                  <m:e>
                    <m:r>
                      <m:rPr/>
                      <m:t>ξ</m:t>
                    </m:r>
                  </m:e>
                  <m:sub>
                    <m:r>
                      <m:rPr/>
                      <m:t>A</m:t>
                    </m:r>
                  </m:sub>
                  <m:sup>
                    <m:r>
                      <m:rPr>
                        <m:sty m:val="p"/>
                      </m:rPr>
                      <m:t>(</m:t>
                    </m:r>
                    <m:r>
                      <m:rPr/>
                      <m:t>e</m:t>
                    </m:r>
                    <m:r>
                      <m:rPr>
                        <m:sty m:val="p"/>
                      </m:rPr>
                      <m:t>)</m:t>
                    </m:r>
                  </m:sup>
                </m:sSubSup>
                <m:r>
                  <m:rPr>
                    <m:sty m:val="p"/>
                  </m:rPr>
                  <m:t>∼</m:t>
                </m:r>
                <m:sSub>
                  <m:sSubPr/>
                  <m:e>
                    <m:r>
                      <m:rPr/>
                      <m:t>ℓ</m:t>
                    </m:r>
                  </m:e>
                  <m:sub>
                    <m:r>
                      <m:rPr/>
                      <m:t>B</m:t>
                    </m:r>
                  </m:sub>
                </m:sSub>
              </m:oMath>
            </m:oMathPara>
          </w:p>
        </w:tc>
        <w:tc>
          <w:tcPr>
            <w:vAlign w:val="center"/>
          </w:tcPr>
          <w:p w14:paraId="34CA4E7A">
            <w:pPr>
              <w:pStyle w:val="26"/>
              <w:jc w:val="center"/>
            </w:pPr>
            <w:r>
              <w:t>Nanometer-scale dispersion</w:t>
            </w:r>
          </w:p>
        </w:tc>
      </w:tr>
      <w:tr w14:paraId="4CE3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03999BE">
            <w:pPr>
              <w:pStyle w:val="26"/>
              <w:jc w:val="center"/>
            </w:pPr>
            <w:r>
              <w:t>Proton</w:t>
            </w:r>
          </w:p>
        </w:tc>
        <w:tc>
          <w:tcPr>
            <w:vAlign w:val="center"/>
          </w:tcPr>
          <w:p w14:paraId="4E67BAA7">
            <w:pPr>
              <w:pStyle w:val="26"/>
              <w:jc w:val="center"/>
            </w:pPr>
            <w:r>
              <w:t>938.272</w:t>
            </w:r>
          </w:p>
        </w:tc>
        <w:tc>
          <w:tcPr>
            <w:vAlign w:val="center"/>
          </w:tcPr>
          <w:p w14:paraId="5AF2F21A">
            <w:pPr>
              <w:pStyle w:val="26"/>
              <w:jc w:val="center"/>
            </w:pPr>
            <w:r>
              <w:t>1836.15</w:t>
            </w:r>
          </w:p>
        </w:tc>
        <w:tc>
          <w:tcPr>
            <w:vAlign w:val="center"/>
          </w:tcPr>
          <w:p w14:paraId="5067C04C">
            <w:pPr>
              <w:pStyle w:val="26"/>
              <w:jc w:val="center"/>
            </w:pPr>
            <m:oMathPara>
              <m:oMath>
                <m:sSubSup>
                  <m:sSubSupPr/>
                  <m:e>
                    <m:r>
                      <m:rPr/>
                      <m:t>ξ</m:t>
                    </m:r>
                  </m:e>
                  <m:sub>
                    <m:r>
                      <m:rPr/>
                      <m:t>A</m:t>
                    </m:r>
                  </m:sub>
                  <m:sup>
                    <m:r>
                      <m:rPr>
                        <m:sty m:val="p"/>
                      </m:rPr>
                      <m:t>(</m:t>
                    </m:r>
                    <m:r>
                      <m:rPr/>
                      <m:t>p</m:t>
                    </m:r>
                    <m:r>
                      <m:rPr>
                        <m:sty m:val="p"/>
                      </m:rPr>
                      <m:t>)</m:t>
                    </m:r>
                  </m:sup>
                </m:sSubSup>
                <m:r>
                  <m:rPr>
                    <m:sty m:val="p"/>
                  </m:rPr>
                  <m:t>∼</m:t>
                </m:r>
                <m:r>
                  <m:rPr/>
                  <m:t>4.4 </m:t>
                </m:r>
                <m:r>
                  <m:rPr>
                    <m:sty m:val="p"/>
                  </m:rPr>
                  <m:t>fm</m:t>
                </m:r>
              </m:oMath>
            </m:oMathPara>
          </w:p>
        </w:tc>
        <w:tc>
          <w:tcPr>
            <w:vAlign w:val="center"/>
          </w:tcPr>
          <w:p w14:paraId="06E47DDB">
            <w:pPr>
              <w:pStyle w:val="26"/>
              <w:jc w:val="center"/>
            </w:pPr>
            <w:r>
              <w:t>Strong localization</w:t>
            </w:r>
          </w:p>
        </w:tc>
      </w:tr>
      <w:tr w14:paraId="7D7BB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349F0D">
            <w:pPr>
              <w:pStyle w:val="26"/>
              <w:jc w:val="center"/>
            </w:pPr>
            <w:r>
              <w:t>Neutron</w:t>
            </w:r>
          </w:p>
        </w:tc>
        <w:tc>
          <w:tcPr>
            <w:vAlign w:val="center"/>
          </w:tcPr>
          <w:p w14:paraId="28891212">
            <w:pPr>
              <w:pStyle w:val="26"/>
              <w:jc w:val="center"/>
            </w:pPr>
            <w:r>
              <w:t>939.565</w:t>
            </w:r>
          </w:p>
        </w:tc>
        <w:tc>
          <w:tcPr>
            <w:vAlign w:val="center"/>
          </w:tcPr>
          <w:p w14:paraId="1C0B770B">
            <w:pPr>
              <w:pStyle w:val="26"/>
              <w:jc w:val="center"/>
            </w:pPr>
            <w:r>
              <w:t>1838.68</w:t>
            </w:r>
          </w:p>
        </w:tc>
        <w:tc>
          <w:tcPr>
            <w:vAlign w:val="center"/>
          </w:tcPr>
          <w:p w14:paraId="72A4E61E">
            <w:pPr>
              <w:pStyle w:val="26"/>
              <w:jc w:val="center"/>
            </w:pPr>
            <m:oMathPara>
              <m:oMath>
                <m:sSubSup>
                  <m:sSubSupPr/>
                  <m:e>
                    <m:r>
                      <m:rPr/>
                      <m:t>ξ</m:t>
                    </m:r>
                  </m:e>
                  <m:sub>
                    <m:r>
                      <m:rPr/>
                      <m:t>A</m:t>
                    </m:r>
                  </m:sub>
                  <m:sup>
                    <m:r>
                      <m:rPr>
                        <m:sty m:val="p"/>
                      </m:rPr>
                      <m:t>(</m:t>
                    </m:r>
                    <m:r>
                      <m:rPr/>
                      <m:t>n</m:t>
                    </m:r>
                    <m:r>
                      <m:rPr>
                        <m:sty m:val="p"/>
                      </m:rPr>
                      <m:t>)</m:t>
                    </m:r>
                  </m:sup>
                </m:sSubSup>
                <m:r>
                  <m:rPr>
                    <m:sty m:val="p"/>
                  </m:rPr>
                  <m:t>∼</m:t>
                </m:r>
                <m:r>
                  <m:rPr/>
                  <m:t>4.4 </m:t>
                </m:r>
                <m:r>
                  <m:rPr>
                    <m:sty m:val="p"/>
                  </m:rPr>
                  <m:t>fm</m:t>
                </m:r>
              </m:oMath>
            </m:oMathPara>
          </w:p>
        </w:tc>
        <w:tc>
          <w:tcPr>
            <w:vAlign w:val="center"/>
          </w:tcPr>
          <w:p w14:paraId="45441D5D">
            <w:pPr>
              <w:pStyle w:val="26"/>
              <w:jc w:val="center"/>
            </w:pPr>
            <w:r>
              <w:t>Strong localization</w:t>
            </w:r>
          </w:p>
        </w:tc>
      </w:tr>
    </w:tbl>
    <w:p w14:paraId="48074CFB">
      <w:pPr>
        <w:pStyle w:val="3"/>
      </w:pPr>
      <w:r>
        <w:t xml:space="preserve">Under strong magnetic field experimental conditions of </w:t>
      </w:r>
      <m:oMath>
        <m:r>
          <m:rPr/>
          <m:t>B</m:t>
        </m:r>
        <m:r>
          <m:rPr>
            <m:sty m:val="p"/>
          </m:rPr>
          <m:t>=</m:t>
        </m:r>
        <m:r>
          <m:rPr/>
          <m:t>10 </m:t>
        </m:r>
        <m:r>
          <m:rPr>
            <m:sty m:val="p"/>
          </m:rPr>
          <m:t>T,</m:t>
        </m:r>
      </m:oMath>
      <w:r>
        <w:t xml:space="preserve"> the electron magnetic length </w:t>
      </w:r>
      <m:oMath>
        <m:sSub>
          <m:sSubPr/>
          <m:e>
            <m:r>
              <m:rPr/>
              <m:t>ℓ</m:t>
            </m:r>
          </m:e>
          <m:sub>
            <m:r>
              <m:rPr/>
              <m:t>B</m:t>
            </m:r>
          </m:sub>
        </m:sSub>
        <m:r>
          <m:rPr>
            <m:sty m:val="p"/>
          </m:rPr>
          <m:t>=</m:t>
        </m:r>
        <m:rad>
          <m:radPr>
            <m:degHide m:val="1"/>
          </m:radPr>
          <m:deg/>
          <m:e>
            <m:r>
              <m:rPr>
                <m:sty m:val="p"/>
              </m:rPr>
              <m:t>ℏ/</m:t>
            </m:r>
            <m:r>
              <m:rPr/>
              <m:t>eB</m:t>
            </m:r>
          </m:e>
        </m:rad>
        <m:r>
          <m:rPr>
            <m:sty m:val="p"/>
          </m:rPr>
          <m:t>≈</m:t>
        </m:r>
        <m:r>
          <m:rPr/>
          <m:t>8.1 </m:t>
        </m:r>
        <m:r>
          <m:rPr>
            <m:sty m:val="p"/>
          </m:rPr>
          <m:t>nm,</m:t>
        </m:r>
      </m:oMath>
      <w:r>
        <w:t xml:space="preserve"> with A-field dispersion fully covering the two-dimensional electron gas system, satisfying FQHE excitation conditions; nucleon A-field dispersion is compressed to the femtometer scale, consistent with the hard-core size of nucleons, unable to produce macroscopic topological dispersion.</w:t>
      </w:r>
    </w:p>
    <w:bookmarkEnd w:id="15"/>
    <w:p w14:paraId="32E36D3A">
      <w:pPr>
        <w:pStyle w:val="6"/>
      </w:pPr>
      <w:bookmarkStart w:id="16" w:name="X7beb067a7d413c8e296b8035ec9a4ae5722bd07"/>
      <w:r>
        <w:t>3.3 Unique Physical Explanation for FQHE Particle Selectivity</w:t>
      </w:r>
    </w:p>
    <w:p w14:paraId="56E61336">
      <w:pPr>
        <w:pStyle w:val="4"/>
      </w:pPr>
      <w:r>
        <w:t>Stable FQHE excitation requires three stringent conditions: strong magnetic field quantum confinement, ultra-low temperature suppressing thermal fluctuations, and two-dimensional planar topological constraints [1][4]. Combining the inverse proportionality theorem from this paper yields:</w:t>
      </w:r>
    </w:p>
    <w:p w14:paraId="2000851D">
      <w:pPr>
        <w:pStyle w:val="26"/>
        <w:numPr>
          <w:ilvl w:val="0"/>
          <w:numId w:val="10"/>
        </w:numPr>
      </w:pPr>
      <w:r>
        <w:rPr>
          <w:b/>
          <w:bCs/>
        </w:rPr>
        <w:t>Electron System:</w:t>
      </w:r>
      <w:r>
        <w:t xml:space="preserve"> Nanometer-scale A-field dispersion, requiring magnetic fields </w:t>
      </w:r>
      <m:oMath>
        <m:r>
          <m:rPr>
            <m:sty m:val="p"/>
          </m:rPr>
          <m:t>∼</m:t>
        </m:r>
        <m:r>
          <m:rPr/>
          <m:t>10 </m:t>
        </m:r>
        <m:r>
          <m:rPr>
            <m:sty m:val="p"/>
          </m:rPr>
          <m:t>T</m:t>
        </m:r>
      </m:oMath>
      <w:r>
        <w:t xml:space="preserve"> and temperatures </w:t>
      </w:r>
      <m:oMath>
        <m:r>
          <m:rPr>
            <m:sty m:val="p"/>
          </m:rPr>
          <m:t>∼</m:t>
        </m:r>
        <m:r>
          <m:rPr/>
          <m:t>50 </m:t>
        </m:r>
        <m:r>
          <m:rPr>
            <m:sty m:val="p"/>
          </m:rPr>
          <m:t>mK</m:t>
        </m:r>
      </m:oMath>
      <w:r>
        <w:t>, fully achievable within laboratory parameter ranges;</w:t>
      </w:r>
    </w:p>
    <w:p w14:paraId="65578B2B">
      <w:pPr>
        <w:pStyle w:val="26"/>
        <w:numPr>
          <w:ilvl w:val="0"/>
          <w:numId w:val="10"/>
        </w:numPr>
      </w:pPr>
      <w:r>
        <w:rPr>
          <w:b/>
          <w:bCs/>
        </w:rPr>
        <w:t>Nucleon System:</w:t>
      </w:r>
      <w:r>
        <w:t xml:space="preserve"> Femtometer-scale A-field dispersion, requiring excitation magnetic fields as high as </w:t>
      </w:r>
      <m:oMath>
        <m:sSup>
          <m:sSupPr/>
          <m:e>
            <m:r>
              <m:rPr/>
              <m:t>10</m:t>
            </m:r>
          </m:e>
          <m:sup>
            <m:r>
              <m:rPr/>
              <m:t>7</m:t>
            </m:r>
          </m:sup>
        </m:sSup>
        <m:r>
          <m:rPr/>
          <m:t> </m:t>
        </m:r>
        <m:r>
          <m:rPr>
            <m:sty m:val="p"/>
          </m:rPr>
          <m:t>T,</m:t>
        </m:r>
      </m:oMath>
      <w:r>
        <w:t xml:space="preserve"> far exceeding current human experimental limits, and such ultra-strong magnetic fields would destroy nucleon binding structures.</w:t>
      </w:r>
    </w:p>
    <w:p w14:paraId="5F5935AC">
      <w:pPr>
        <w:pStyle w:val="4"/>
      </w:pPr>
      <w:r>
        <w:t>This conclusion provides the only first-principles explanation for why only electrons exhibit observable FQHE effects in nature, resolving a decades-long puzzle in quantum Hall physics.</w:t>
      </w:r>
    </w:p>
    <w:bookmarkEnd w:id="16"/>
    <w:p w14:paraId="342E3311">
      <w:pPr>
        <w:pStyle w:val="6"/>
      </w:pPr>
      <w:bookmarkStart w:id="17" w:name="Xff75e08e623d9caad0e71ebcd91ff11d62b5c91"/>
      <w:r>
        <w:t>3.4 Strict Distinction of Scale Concepts (Correction of Ambiguities)</w:t>
      </w:r>
    </w:p>
    <w:p w14:paraId="3B5DA28E">
      <w:pPr>
        <w:pStyle w:val="4"/>
      </w:pPr>
      <w:r>
        <w:t>This paper strictly distinguishes two types of quantum scales, completely eliminating conceptual confusion in the academic community:</w:t>
      </w:r>
    </w:p>
    <w:p w14:paraId="37AC26B2">
      <w:pPr>
        <w:pStyle w:val="26"/>
        <w:numPr>
          <w:ilvl w:val="0"/>
          <w:numId w:val="11"/>
        </w:numPr>
      </w:pPr>
      <w:r>
        <w:rPr>
          <w:b/>
          <w:bCs/>
        </w:rPr>
        <w:t>Intrinsic Compton Wavelength:</w:t>
      </w:r>
      <w:r>
        <w:t xml:space="preserve"> The inherent quantum characteristic scale of a particle; the electron’s Compton wavelength is much larger than that of nucleons, a fundamental intrinsic property of quantum mechanics;</w:t>
      </w:r>
    </w:p>
    <w:p w14:paraId="06DACDAA">
      <w:pPr>
        <w:pStyle w:val="26"/>
        <w:numPr>
          <w:ilvl w:val="0"/>
          <w:numId w:val="11"/>
        </w:numPr>
      </w:pPr>
      <w:r>
        <w:rPr>
          <w:b/>
          <w:bCs/>
        </w:rPr>
        <w:t>Externally Induced A-field Dispersion Scale:</w:t>
      </w:r>
      <w:r>
        <w:t xml:space="preserve"> The topologically expanded scale under strong magnetic fields and two-dimensional confinement conditions, an emergent effect of the coupling between external fields and intrinsic fields, not the intrinsic size of the particle.</w:t>
      </w:r>
    </w:p>
    <w:p w14:paraId="58ECDF74">
      <w:pPr>
        <w:pStyle w:val="4"/>
      </w:pPr>
      <w:r>
        <w:rPr>
          <w:b/>
          <w:bCs/>
        </w:rPr>
        <w:t>Core Contribution of FCWFT:</w:t>
      </w:r>
      <w:r>
        <w:t xml:space="preserve"> It provides a unified explanation of the dual physical mechanisms of intrinsic scale differences and external field response differences, filling the explanatory gap in classical quantum theory.</w:t>
      </w:r>
    </w:p>
    <w:bookmarkEnd w:id="13"/>
    <w:bookmarkEnd w:id="17"/>
    <w:p w14:paraId="190D24B4">
      <w:pPr>
        <w:pStyle w:val="5"/>
      </w:pPr>
      <w:bookmarkStart w:id="18" w:name="Xac11febc182effe8b6163923c7ee0d77e2b9dd9"/>
      <w:r>
        <w:t>Chapter 4: Collective Decoupling Physical Mechanism of FQHE Partons</w:t>
      </w:r>
    </w:p>
    <w:p w14:paraId="38DDE7D1">
      <w:pPr>
        <w:pStyle w:val="6"/>
      </w:pPr>
      <w:bookmarkStart w:id="19" w:name="X5f833a4e4f8032d8711b5e0510d5c580c5457ed"/>
      <w:r>
        <w:t>4.1 Topological Differences Between Normal-State Electrons and FQHE-State Electrons</w:t>
      </w:r>
    </w:p>
    <w:p w14:paraId="7FEAC273">
      <w:pPr>
        <w:pStyle w:val="4"/>
      </w:pPr>
      <w:r>
        <w:t>The observability of the electron’s three partons is uniquely determined by the degree of topological entanglement of the system:</w:t>
      </w:r>
    </w:p>
    <w:p w14:paraId="3E72453F">
      <w:pPr>
        <w:pStyle w:val="26"/>
        <w:numPr>
          <w:ilvl w:val="0"/>
          <w:numId w:val="12"/>
        </w:numPr>
      </w:pPr>
      <w:r>
        <w:rPr>
          <w:b/>
          <w:bCs/>
        </w:rPr>
        <w:t>Conventional Three-Dimensional Normal State:</w:t>
      </w:r>
      <w:r>
        <w:t xml:space="preserve"> The three partons are strongly topologically entangled, with three-field coupling highly localized. A single electron behaves as a complete point-like particle, with no observable signal of fractional structure;</w:t>
      </w:r>
    </w:p>
    <w:p w14:paraId="733639E5">
      <w:pPr>
        <w:pStyle w:val="26"/>
        <w:numPr>
          <w:ilvl w:val="0"/>
          <w:numId w:val="12"/>
        </w:numPr>
      </w:pPr>
      <w:r>
        <w:rPr>
          <w:b/>
          <w:bCs/>
        </w:rPr>
        <w:t>Two-Dimensional Strongly Correlated FQHE State:</w:t>
      </w:r>
      <w:r>
        <w:t xml:space="preserve"> Under the combined action of ultra-low temperature, strong magnetic field, and high-mobility two-dimensional confinement, the macroscopic topological averaging dilutes the internal entanglement of individual electrons, lowering the binding potential barrier of the three partons, enabling topological decoupling and emergence as independent quasiparticles [11][12].</w:t>
      </w:r>
    </w:p>
    <w:p w14:paraId="4DEB88BC">
      <w:pPr>
        <w:pStyle w:val="4"/>
      </w:pPr>
      <w:r>
        <w:rPr>
          <w:b/>
          <w:bCs/>
        </w:rPr>
        <w:t>Physical Analogy:</w:t>
      </w:r>
      <w:r>
        <w:t xml:space="preserve"> In a single water molecule, chemical bonds tightly bind atoms with no free ions; in a large ensemble of water molecules, free </w:t>
      </w:r>
      <m:oMath>
        <m:sSup>
          <m:sSupPr/>
          <m:e>
            <m:r>
              <m:rPr>
                <m:sty m:val="p"/>
              </m:rPr>
              <m:t>H</m:t>
            </m:r>
          </m:e>
          <m:sup>
            <m:r>
              <m:rPr>
                <m:sty m:val="p"/>
              </m:rPr>
              <m:t>+</m:t>
            </m:r>
          </m:sup>
        </m:sSup>
      </m:oMath>
      <w:r>
        <w:t xml:space="preserve"> ions can emerge. The collective decoupling of electron partons follows the same topological mechanism.</w:t>
      </w:r>
    </w:p>
    <w:bookmarkEnd w:id="19"/>
    <w:p w14:paraId="481164FE">
      <w:pPr>
        <w:pStyle w:val="6"/>
      </w:pPr>
      <w:bookmarkStart w:id="20" w:name="X39fb3528089c7a448c1ff04c3f14cc2cb64af79"/>
      <w:r>
        <w:t>4.2 Precise Correspondence Between Three Partons and Experimental Observational Signals</w:t>
      </w:r>
    </w:p>
    <w:p w14:paraId="43352133">
      <w:pPr>
        <w:pStyle w:val="4"/>
      </w:pPr>
      <w:r>
        <w:t>This paper establishes a one-to-one correspondence system among parton components, field components, and experimental signals, achieving a unified explanation of multiple experimental phenomena:</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1818"/>
        <w:gridCol w:w="2312"/>
        <w:gridCol w:w="2473"/>
      </w:tblGrid>
      <w:tr w14:paraId="2A01E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0D17A61">
            <w:pPr>
              <w:pStyle w:val="26"/>
              <w:jc w:val="center"/>
            </w:pPr>
            <w:r>
              <w:rPr>
                <w:b/>
              </w:rPr>
              <w:t>Parton Component</w:t>
            </w:r>
          </w:p>
        </w:tc>
        <w:tc>
          <w:tcPr>
            <w:shd w:val="clear" w:color="auto" w:fill="B9CDE5"/>
            <w:vAlign w:val="center"/>
          </w:tcPr>
          <w:p w14:paraId="06CA0FB0">
            <w:pPr>
              <w:pStyle w:val="26"/>
              <w:jc w:val="center"/>
            </w:pPr>
            <w:r>
              <w:rPr>
                <w:b/>
              </w:rPr>
              <w:t>Dominant Coupling Field</w:t>
            </w:r>
          </w:p>
        </w:tc>
        <w:tc>
          <w:tcPr>
            <w:shd w:val="clear" w:color="auto" w:fill="B9CDE5"/>
            <w:vAlign w:val="center"/>
          </w:tcPr>
          <w:p w14:paraId="680A6581">
            <w:pPr>
              <w:pStyle w:val="26"/>
              <w:jc w:val="center"/>
            </w:pPr>
            <w:r>
              <w:rPr>
                <w:b/>
              </w:rPr>
              <w:t>Experimental Observable Signal</w:t>
            </w:r>
          </w:p>
        </w:tc>
        <w:tc>
          <w:tcPr>
            <w:shd w:val="clear" w:color="auto" w:fill="B9CDE5"/>
            <w:vAlign w:val="center"/>
          </w:tcPr>
          <w:p w14:paraId="6AE46DFD">
            <w:pPr>
              <w:pStyle w:val="26"/>
              <w:jc w:val="center"/>
            </w:pPr>
            <w:r>
              <w:rPr>
                <w:b/>
              </w:rPr>
              <w:t>Physical Essence</w:t>
            </w:r>
          </w:p>
        </w:tc>
      </w:tr>
      <w:tr w14:paraId="1A3B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CDAD0A4">
            <w:pPr>
              <w:pStyle w:val="26"/>
              <w:jc w:val="center"/>
            </w:pPr>
            <m:oMathPara>
              <m:oMath>
                <m:sSub>
                  <m:sSubPr/>
                  <m:e>
                    <m:r>
                      <m:rPr>
                        <m:sty m:val="p"/>
                        <m:scr m:val="script"/>
                      </m:rPr>
                      <m:t>P</m:t>
                    </m:r>
                  </m:e>
                  <m:sub>
                    <m:acc>
                      <m:accPr>
                        <m:chr m:val="‾"/>
                      </m:accPr>
                      <m:e>
                        <m:r>
                          <m:rPr/>
                          <m:t>R</m:t>
                        </m:r>
                      </m:e>
                    </m:acc>
                  </m:sub>
                </m:sSub>
              </m:oMath>
            </m:oMathPara>
          </w:p>
        </w:tc>
        <w:tc>
          <w:tcPr>
            <w:vAlign w:val="center"/>
          </w:tcPr>
          <w:p w14:paraId="2C2B5E74">
            <w:pPr>
              <w:pStyle w:val="26"/>
              <w:jc w:val="center"/>
            </w:pPr>
            <w:r>
              <w:t>A-field geometric topology</w:t>
            </w:r>
          </w:p>
        </w:tc>
        <w:tc>
          <w:tcPr>
            <w:vAlign w:val="center"/>
          </w:tcPr>
          <w:p w14:paraId="286903D1">
            <w:pPr>
              <w:pStyle w:val="26"/>
              <w:jc w:val="center"/>
            </w:pPr>
            <w:r>
              <w:t>Spin-2 chiral graviton mode</w:t>
            </w:r>
          </w:p>
        </w:tc>
        <w:tc>
          <w:tcPr>
            <w:vAlign w:val="center"/>
          </w:tcPr>
          <w:p w14:paraId="78D97DDE">
            <w:pPr>
              <w:pStyle w:val="26"/>
              <w:jc w:val="center"/>
            </w:pPr>
            <w:r>
              <w:t>A-field geometric vibration excitation</w:t>
            </w:r>
          </w:p>
        </w:tc>
      </w:tr>
      <w:tr w14:paraId="78FBE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4676EDB">
            <w:pPr>
              <w:pStyle w:val="26"/>
              <w:jc w:val="center"/>
            </w:pPr>
            <m:oMathPara>
              <m:oMath>
                <m:sSub>
                  <m:sSubPr/>
                  <m:e>
                    <m:r>
                      <m:rPr>
                        <m:sty m:val="p"/>
                        <m:scr m:val="script"/>
                      </m:rPr>
                      <m:t>P</m:t>
                    </m:r>
                  </m:e>
                  <m:sub>
                    <m:acc>
                      <m:accPr>
                        <m:chr m:val="‾"/>
                      </m:accPr>
                      <m:e>
                        <m:r>
                          <m:rPr/>
                          <m:t>G</m:t>
                        </m:r>
                      </m:e>
                    </m:acc>
                  </m:sub>
                </m:sSub>
              </m:oMath>
            </m:oMathPara>
          </w:p>
        </w:tc>
        <w:tc>
          <w:tcPr>
            <w:vAlign w:val="center"/>
          </w:tcPr>
          <w:p w14:paraId="2D5CAF56">
            <w:pPr>
              <w:pStyle w:val="26"/>
              <w:jc w:val="center"/>
            </w:pPr>
            <w:r>
              <w:t>B-field charge topology</w:t>
            </w:r>
          </w:p>
        </w:tc>
        <w:tc>
          <w:tcPr>
            <w:vAlign w:val="center"/>
          </w:tcPr>
          <w:p w14:paraId="3FD3CD3F">
            <w:pPr>
              <w:pStyle w:val="26"/>
              <w:jc w:val="center"/>
            </w:pPr>
            <m:oMath>
              <m:r>
                <m:rPr/>
                <m:t>e</m:t>
              </m:r>
              <m:r>
                <m:rPr>
                  <m:sty m:val="p"/>
                </m:rPr>
                <m:t>/</m:t>
              </m:r>
              <m:r>
                <m:rPr/>
                <m:t>3</m:t>
              </m:r>
            </m:oMath>
            <w:r>
              <w:t xml:space="preserve"> fractional charge shot noise</w:t>
            </w:r>
          </w:p>
        </w:tc>
        <w:tc>
          <w:tcPr>
            <w:vAlign w:val="center"/>
          </w:tcPr>
          <w:p w14:paraId="4EAD96F4">
            <w:pPr>
              <w:pStyle w:val="26"/>
              <w:jc w:val="center"/>
            </w:pPr>
            <w:r>
              <w:t>B-field anti-color-charge eigenstate</w:t>
            </w:r>
          </w:p>
        </w:tc>
      </w:tr>
      <w:tr w14:paraId="35FA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E753612">
            <w:pPr>
              <w:pStyle w:val="26"/>
              <w:jc w:val="center"/>
            </w:pPr>
            <m:oMathPara>
              <m:oMath>
                <m:sSub>
                  <m:sSubPr/>
                  <m:e>
                    <m:r>
                      <m:rPr>
                        <m:sty m:val="p"/>
                        <m:scr m:val="script"/>
                      </m:rPr>
                      <m:t>P</m:t>
                    </m:r>
                  </m:e>
                  <m:sub>
                    <m:acc>
                      <m:accPr>
                        <m:chr m:val="‾"/>
                      </m:accPr>
                      <m:e>
                        <m:r>
                          <m:rPr/>
                          <m:t>B</m:t>
                        </m:r>
                      </m:e>
                    </m:acc>
                  </m:sub>
                </m:sSub>
              </m:oMath>
            </m:oMathPara>
          </w:p>
        </w:tc>
        <w:tc>
          <w:tcPr>
            <w:vAlign w:val="center"/>
          </w:tcPr>
          <w:p w14:paraId="0A5932B8">
            <w:pPr>
              <w:pStyle w:val="26"/>
              <w:jc w:val="center"/>
            </w:pPr>
            <w:r>
              <w:t>C-field mass topology</w:t>
            </w:r>
          </w:p>
        </w:tc>
        <w:tc>
          <w:tcPr>
            <w:vAlign w:val="center"/>
          </w:tcPr>
          <w:p w14:paraId="483081FB">
            <w:pPr>
              <w:pStyle w:val="26"/>
              <w:jc w:val="center"/>
            </w:pPr>
            <w:r>
              <w:t>Low-energy neutral parton mode</w:t>
            </w:r>
          </w:p>
        </w:tc>
        <w:tc>
          <w:tcPr>
            <w:vAlign w:val="center"/>
          </w:tcPr>
          <w:p w14:paraId="7945EDBF">
            <w:pPr>
              <w:pStyle w:val="26"/>
              <w:jc w:val="center"/>
            </w:pPr>
            <w:r>
              <w:t>C-field near-zero-mass topological excitation</w:t>
            </w:r>
          </w:p>
        </w:tc>
      </w:tr>
      <w:bookmarkEnd w:id="20"/>
    </w:tbl>
    <w:p w14:paraId="14AD2237">
      <w:pPr>
        <w:pStyle w:val="6"/>
      </w:pPr>
      <w:bookmarkStart w:id="21" w:name="X038993977627b45c9b819ed38674e339b76b7ee"/>
      <w:r>
        <w:t>4.3 Topological Configuration Interpretation of Typical Filling States</w:t>
      </w:r>
    </w:p>
    <w:p w14:paraId="09C07937">
      <w:pPr>
        <w:pStyle w:val="26"/>
        <w:numPr>
          <w:ilvl w:val="0"/>
          <w:numId w:val="13"/>
        </w:numPr>
      </w:pPr>
      <m:oMath>
        <m:r>
          <m:rPr/>
          <m:t>ν</m:t>
        </m:r>
        <m:r>
          <m:rPr>
            <m:sty m:val="p"/>
          </m:rPr>
          <m:t>=</m:t>
        </m:r>
        <m:r>
          <m:rPr/>
          <m:t>1</m:t>
        </m:r>
        <m:r>
          <m:rPr>
            <m:sty m:val="p"/>
          </m:rPr>
          <m:t>/</m:t>
        </m:r>
        <m:r>
          <m:rPr/>
          <m:t>3</m:t>
        </m:r>
      </m:oMath>
      <w:r>
        <w:rPr>
          <w:b/>
          <w:bCs/>
        </w:rPr>
        <w:t xml:space="preserve"> Filling State:</w:t>
      </w:r>
      <w:r>
        <w:t xml:space="preserve"> The three partons are completely and equally decoupled. Each electron binds three magnetic flux quanta, forming stable </w:t>
      </w:r>
      <m:oMath>
        <m:r>
          <m:rPr/>
          <m:t>e</m:t>
        </m:r>
        <m:r>
          <m:rPr>
            <m:sty m:val="p"/>
          </m:rPr>
          <m:t>/</m:t>
        </m:r>
        <m:r>
          <m:rPr/>
          <m:t>3</m:t>
        </m:r>
      </m:oMath>
      <w:r>
        <w:t xml:space="preserve"> quasiparticles — the most direct display of the electron’s intrinsic structure [3].</w:t>
      </w:r>
    </w:p>
    <w:p w14:paraId="414461D3">
      <w:pPr>
        <w:pStyle w:val="26"/>
        <w:numPr>
          <w:ilvl w:val="0"/>
          <w:numId w:val="13"/>
        </w:numPr>
      </w:pPr>
      <m:oMath>
        <m:r>
          <m:rPr/>
          <m:t>ν</m:t>
        </m:r>
        <m:r>
          <m:rPr>
            <m:sty m:val="p"/>
          </m:rPr>
          <m:t>=</m:t>
        </m:r>
        <m:r>
          <m:rPr/>
          <m:t>2</m:t>
        </m:r>
        <m:r>
          <m:rPr>
            <m:sty m:val="p"/>
          </m:rPr>
          <m:t>/</m:t>
        </m:r>
        <m:r>
          <m:rPr/>
          <m:t>7</m:t>
        </m:r>
      </m:oMath>
      <w:r>
        <w:rPr>
          <w:b/>
          <w:bCs/>
        </w:rPr>
        <w:t xml:space="preserve"> Filling State:</w:t>
      </w:r>
      <w:r>
        <w:t xml:space="preserve"> Two sharp graviton modes with opposite chirality are observed, corresponding respectively to the geometric excitations of low-energy and high-energy partons [14].</w:t>
      </w:r>
    </w:p>
    <w:p w14:paraId="6DD0144E">
      <w:pPr>
        <w:pStyle w:val="26"/>
        <w:numPr>
          <w:ilvl w:val="0"/>
          <w:numId w:val="13"/>
        </w:numPr>
      </w:pPr>
      <m:oMath>
        <m:r>
          <m:rPr/>
          <m:t>ν</m:t>
        </m:r>
        <m:r>
          <m:rPr>
            <m:sty m:val="p"/>
          </m:rPr>
          <m:t>=</m:t>
        </m:r>
        <m:r>
          <m:rPr/>
          <m:t>2</m:t>
        </m:r>
        <m:r>
          <m:rPr>
            <m:sty m:val="p"/>
          </m:rPr>
          <m:t>/</m:t>
        </m:r>
        <m:r>
          <m:rPr/>
          <m:t>9</m:t>
        </m:r>
      </m:oMath>
      <w:r>
        <w:rPr>
          <w:b/>
          <w:bCs/>
        </w:rPr>
        <w:t xml:space="preserve"> Filling State:</w:t>
      </w:r>
      <w:r>
        <w:t xml:space="preserve"> Multiple graviton modes exhibit the same chirality, reflecting topological configuration differences between high-energy and low-energy partons [14].</w:t>
      </w:r>
    </w:p>
    <w:p w14:paraId="04ACF050">
      <w:pPr>
        <w:pStyle w:val="26"/>
        <w:numPr>
          <w:ilvl w:val="0"/>
          <w:numId w:val="13"/>
        </w:numPr>
      </w:pPr>
      <m:oMath>
        <m:r>
          <m:rPr/>
          <m:t>ν</m:t>
        </m:r>
        <m:r>
          <m:rPr>
            <m:sty m:val="p"/>
          </m:rPr>
          <m:t>=</m:t>
        </m:r>
        <m:r>
          <m:rPr/>
          <m:t>1</m:t>
        </m:r>
        <m:r>
          <m:rPr>
            <m:sty m:val="p"/>
          </m:rPr>
          <m:t>/</m:t>
        </m:r>
        <m:r>
          <m:rPr/>
          <m:t>4</m:t>
        </m:r>
      </m:oMath>
      <w:r>
        <w:rPr>
          <w:b/>
          <w:bCs/>
        </w:rPr>
        <w:t xml:space="preserve"> Filling State:</w:t>
      </w:r>
      <w:r>
        <w:t xml:space="preserve"> In the gapless Fermi liquid state, the low-energy parton charge approaches zero and no longer radiates gravitons; the high-energy parton still carries fractional charge and persists as a gapped chiral excitation. Experimentally, this manifests as the retention of the high-energy graviton mode and disappearance of the low-energy mode [14].</w:t>
      </w:r>
    </w:p>
    <w:p w14:paraId="139C75D8">
      <w:pPr>
        <w:pStyle w:val="4"/>
      </w:pPr>
      <w:r>
        <w:t>The differentiated mode structures of these filling states are interpreted by FCWFT as differences in the degree of parton decoupling and coupling strength at different filling factors, achieving state-by-state correspondence with the Du Lingjie group experiments.</w:t>
      </w:r>
    </w:p>
    <w:bookmarkEnd w:id="18"/>
    <w:bookmarkEnd w:id="21"/>
    <w:p w14:paraId="23D96F91">
      <w:pPr>
        <w:pStyle w:val="5"/>
      </w:pPr>
      <w:bookmarkStart w:id="22" w:name="X8b7466a57ecbe92bbe693a1dbf42e8868efad87"/>
      <w:r>
        <w:t>Chapter 5: Global Quantitative Verification Against Du Lingjie Group Experiments</w:t>
      </w:r>
    </w:p>
    <w:p w14:paraId="04037B5A">
      <w:pPr>
        <w:pStyle w:val="6"/>
      </w:pPr>
      <w:bookmarkStart w:id="23" w:name="X28b4831164484fe4550cfcd2fd6f2aaed95f1f5"/>
      <w:r>
        <w:t>5.1 Experimental Parameters and Observed Results (Standard Citation)</w:t>
      </w:r>
    </w:p>
    <w:p w14:paraId="6723D202">
      <w:pPr>
        <w:pStyle w:val="4"/>
      </w:pPr>
      <w:r>
        <w:t xml:space="preserve">The Du Lingjie group at Nanjing University, using </w:t>
      </w:r>
      <m:oMath>
        <m:r>
          <m:rPr>
            <m:sty m:val="p"/>
          </m:rPr>
          <m:t>GaAs/AlGaAs</m:t>
        </m:r>
      </m:oMath>
      <w:r>
        <w:t xml:space="preserve"> high-mobility two-dimensional quantum well systems under conditions of </w:t>
      </w:r>
      <m:oMath>
        <m:r>
          <m:rPr/>
          <m:t>T</m:t>
        </m:r>
        <m:r>
          <m:rPr>
            <m:sty m:val="p"/>
          </m:rPr>
          <m:t>≈</m:t>
        </m:r>
        <m:r>
          <m:rPr/>
          <m:t>50 </m:t>
        </m:r>
        <m:r>
          <m:rPr>
            <m:sty m:val="p"/>
          </m:rPr>
          <m:t>mK,</m:t>
        </m:r>
        <m:r>
          <m:rPr/>
          <m:t> B</m:t>
        </m:r>
        <m:r>
          <m:rPr>
            <m:sty m:val="p"/>
          </m:rPr>
          <m:t>=</m:t>
        </m:r>
        <m:r>
          <m:rPr/>
          <m:t>0</m:t>
        </m:r>
        <m:r>
          <m:rPr>
            <m:sty m:val="p"/>
          </m:rPr>
          <m:t>∼</m:t>
        </m:r>
        <m:r>
          <m:rPr/>
          <m:t>14 </m:t>
        </m:r>
        <m:r>
          <m:rPr>
            <m:sty m:val="p"/>
          </m:rPr>
          <m:t>T,</m:t>
        </m:r>
      </m:oMath>
      <w:r>
        <w:t xml:space="preserve"> employed circularly polarized resonant inelastic light scattering spectroscopy to obtain high-precision FQHE excitation spectra [13][14][15]. Core observed results:</w:t>
      </w:r>
    </w:p>
    <w:p w14:paraId="07F168F3">
      <w:pPr>
        <w:pStyle w:val="26"/>
        <w:numPr>
          <w:ilvl w:val="0"/>
          <w:numId w:val="14"/>
        </w:numPr>
      </w:pPr>
      <w:r>
        <w:t xml:space="preserve">At </w:t>
      </w:r>
      <m:oMath>
        <m:r>
          <m:rPr/>
          <m:t>ν</m:t>
        </m:r>
        <m:r>
          <m:rPr>
            <m:sty m:val="p"/>
          </m:rPr>
          <m:t>=</m:t>
        </m:r>
        <m:r>
          <m:rPr/>
          <m:t>1</m:t>
        </m:r>
        <m:r>
          <m:rPr>
            <m:sty m:val="p"/>
          </m:rPr>
          <m:t>/</m:t>
        </m:r>
        <m:r>
          <m:rPr/>
          <m:t>3</m:t>
        </m:r>
        <m:r>
          <m:rPr>
            <m:sty m:val="p"/>
          </m:rPr>
          <m:t>,</m:t>
        </m:r>
      </m:oMath>
      <w:r>
        <w:t xml:space="preserve"> a chiral spin-2 long-wavelength magnetoroton was observed, i.e., a condensed matter analog of the graviton mode [13];</w:t>
      </w:r>
    </w:p>
    <w:p w14:paraId="1E8A2488">
      <w:pPr>
        <w:pStyle w:val="26"/>
        <w:numPr>
          <w:ilvl w:val="0"/>
          <w:numId w:val="14"/>
        </w:numPr>
      </w:pPr>
      <w:r>
        <w:t xml:space="preserve">At </w:t>
      </w:r>
      <m:oMath>
        <m:r>
          <m:rPr/>
          <m:t>ν</m:t>
        </m:r>
        <m:r>
          <m:rPr>
            <m:sty m:val="p"/>
          </m:rPr>
          <m:t>=</m:t>
        </m:r>
        <m:r>
          <m:rPr/>
          <m:t>2</m:t>
        </m:r>
        <m:r>
          <m:rPr>
            <m:sty m:val="p"/>
          </m:rPr>
          <m:t>/</m:t>
        </m:r>
        <m:r>
          <m:rPr/>
          <m:t>7</m:t>
        </m:r>
        <m:r>
          <m:rPr>
            <m:sty m:val="p"/>
          </m:rPr>
          <m:t>,</m:t>
        </m:r>
      </m:oMath>
      <w:r>
        <w:t xml:space="preserve"> a pair of chiral graviton modes with opposite spins (low-energy and high-energy) exist [14];</w:t>
      </w:r>
    </w:p>
    <w:p w14:paraId="39F08C26">
      <w:pPr>
        <w:pStyle w:val="26"/>
        <w:numPr>
          <w:ilvl w:val="0"/>
          <w:numId w:val="14"/>
        </w:numPr>
      </w:pPr>
      <w:r>
        <w:t xml:space="preserve">At </w:t>
      </w:r>
      <m:oMath>
        <m:r>
          <m:rPr/>
          <m:t>ν</m:t>
        </m:r>
        <m:r>
          <m:rPr>
            <m:sty m:val="p"/>
          </m:rPr>
          <m:t>=</m:t>
        </m:r>
        <m:r>
          <m:rPr/>
          <m:t>2</m:t>
        </m:r>
        <m:r>
          <m:rPr>
            <m:sty m:val="p"/>
          </m:rPr>
          <m:t>/</m:t>
        </m:r>
        <m:r>
          <m:rPr/>
          <m:t>9</m:t>
        </m:r>
        <m:r>
          <m:rPr>
            <m:sty m:val="p"/>
          </m:rPr>
          <m:t>,</m:t>
        </m:r>
      </m:oMath>
      <w:r>
        <w:t xml:space="preserve"> multiple graviton modes exhibit the same chirality [14];</w:t>
      </w:r>
    </w:p>
    <w:p w14:paraId="0B355267">
      <w:pPr>
        <w:pStyle w:val="26"/>
        <w:numPr>
          <w:ilvl w:val="0"/>
          <w:numId w:val="14"/>
        </w:numPr>
      </w:pPr>
      <w:r>
        <w:t xml:space="preserve">At </w:t>
      </w:r>
      <m:oMath>
        <m:r>
          <m:rPr/>
          <m:t>ν</m:t>
        </m:r>
        <m:r>
          <m:rPr>
            <m:sty m:val="p"/>
          </m:rPr>
          <m:t>=</m:t>
        </m:r>
        <m:r>
          <m:rPr/>
          <m:t>1</m:t>
        </m:r>
        <m:r>
          <m:rPr>
            <m:sty m:val="p"/>
          </m:rPr>
          <m:t>/</m:t>
        </m:r>
        <m:r>
          <m:rPr/>
          <m:t>4</m:t>
        </m:r>
      </m:oMath>
      <w:r>
        <w:t xml:space="preserve"> gapless state, the high-energy graviton mode persists while the low-energy parton exhibits no graviton radiation [14];</w:t>
      </w:r>
    </w:p>
    <w:p w14:paraId="46BECFE9">
      <w:pPr>
        <w:pStyle w:val="26"/>
        <w:numPr>
          <w:ilvl w:val="0"/>
          <w:numId w:val="14"/>
        </w:numPr>
      </w:pPr>
      <w:r>
        <w:t xml:space="preserve">At </w:t>
      </w:r>
      <m:oMath>
        <m:r>
          <m:rPr/>
          <m:t>ν</m:t>
        </m:r>
        <m:r>
          <m:rPr>
            <m:sty m:val="p"/>
          </m:rPr>
          <m:t>=</m:t>
        </m:r>
        <m:r>
          <m:rPr/>
          <m:t>1</m:t>
        </m:r>
        <m:r>
          <m:rPr>
            <m:sty m:val="p"/>
          </m:rPr>
          <m:t>/</m:t>
        </m:r>
        <m:r>
          <m:rPr/>
          <m:t>3</m:t>
        </m:r>
        <m:r>
          <m:rPr>
            <m:sty m:val="p"/>
          </m:rPr>
          <m:t>,</m:t>
        </m:r>
      </m:oMath>
      <w:r>
        <w:t xml:space="preserve"> stable </w:t>
      </w:r>
      <m:oMath>
        <m:r>
          <m:rPr/>
          <m:t>e</m:t>
        </m:r>
        <m:r>
          <m:rPr>
            <m:sty m:val="p"/>
          </m:rPr>
          <m:t>/</m:t>
        </m:r>
        <m:r>
          <m:rPr/>
          <m:t>3</m:t>
        </m:r>
      </m:oMath>
      <w:r>
        <w:t xml:space="preserve"> fractional quasiparticles and magnetic flux quantization responses exist [7][8].</w:t>
      </w:r>
    </w:p>
    <w:bookmarkEnd w:id="23"/>
    <w:p w14:paraId="224D4A49">
      <w:pPr>
        <w:pStyle w:val="6"/>
      </w:pPr>
      <w:bookmarkStart w:id="24" w:name="Xc3ec818eeaf7a4067a1a4d2168a38d1aae74ad3"/>
      <w:r>
        <w:t>5.2 Theoretical-Experimental Precise Benchmarking (No Parameter Fitting)</w:t>
      </w:r>
    </w:p>
    <w:p w14:paraId="55DF490C">
      <w:pPr>
        <w:pStyle w:val="4"/>
      </w:pPr>
      <w:r>
        <w:t>All experimental phenomena are directly derived from FCWFT first principles, with no adjustable parameters, fully self-consistent:</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5"/>
        <w:gridCol w:w="3214"/>
        <w:gridCol w:w="2177"/>
      </w:tblGrid>
      <w:tr w14:paraId="21566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6DF4081">
            <w:pPr>
              <w:pStyle w:val="26"/>
              <w:jc w:val="center"/>
            </w:pPr>
            <w:r>
              <w:rPr>
                <w:b/>
              </w:rPr>
              <w:t>Experimental Observed Phenomenon</w:t>
            </w:r>
          </w:p>
        </w:tc>
        <w:tc>
          <w:tcPr>
            <w:shd w:val="clear" w:color="auto" w:fill="B9CDE5"/>
            <w:vAlign w:val="center"/>
          </w:tcPr>
          <w:p w14:paraId="574B5860">
            <w:pPr>
              <w:pStyle w:val="26"/>
              <w:jc w:val="center"/>
            </w:pPr>
            <w:r>
              <w:rPr>
                <w:b/>
              </w:rPr>
              <w:t>FCWFT Theoretical Explanation</w:t>
            </w:r>
          </w:p>
        </w:tc>
        <w:tc>
          <w:tcPr>
            <w:shd w:val="clear" w:color="auto" w:fill="B9CDE5"/>
            <w:vAlign w:val="center"/>
          </w:tcPr>
          <w:p w14:paraId="43F8A4A3">
            <w:pPr>
              <w:pStyle w:val="26"/>
              <w:jc w:val="center"/>
            </w:pPr>
            <w:r>
              <w:rPr>
                <w:b/>
              </w:rPr>
              <w:t>Degree of Agreement</w:t>
            </w:r>
          </w:p>
        </w:tc>
      </w:tr>
      <w:tr w14:paraId="1B7CE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4CC7568">
            <w:pPr>
              <w:pStyle w:val="26"/>
              <w:jc w:val="center"/>
            </w:pPr>
            <w:r>
              <w:t>Spin-2 chiral graviton mode</w:t>
            </w:r>
          </w:p>
        </w:tc>
        <w:tc>
          <w:tcPr>
            <w:vAlign w:val="center"/>
          </w:tcPr>
          <w:p w14:paraId="23D9F343">
            <w:pPr>
              <w:pStyle w:val="26"/>
              <w:jc w:val="center"/>
            </w:pPr>
            <w:r>
              <w:t>A-field geometric parton topological vibration excitation</w:t>
            </w:r>
          </w:p>
        </w:tc>
        <w:tc>
          <w:tcPr>
            <w:vAlign w:val="center"/>
          </w:tcPr>
          <w:p w14:paraId="1BB10BD6">
            <w:pPr>
              <w:pStyle w:val="26"/>
              <w:jc w:val="center"/>
            </w:pPr>
            <w:r>
              <w:t>Complete agreement</w:t>
            </w:r>
          </w:p>
        </w:tc>
      </w:tr>
      <w:tr w14:paraId="458E3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3515BF8">
            <w:pPr>
              <w:pStyle w:val="26"/>
              <w:jc w:val="center"/>
            </w:pPr>
            <w:r>
              <w:t>2/7 state dual-mode opposite chirality</w:t>
            </w:r>
          </w:p>
        </w:tc>
        <w:tc>
          <w:tcPr>
            <w:vAlign w:val="center"/>
          </w:tcPr>
          <w:p w14:paraId="5FB77718">
            <w:pPr>
              <w:pStyle w:val="26"/>
              <w:jc w:val="center"/>
            </w:pPr>
            <w:r>
              <w:t>A/B field parton high/low energy topological stiffness difference</w:t>
            </w:r>
          </w:p>
        </w:tc>
        <w:tc>
          <w:tcPr>
            <w:vAlign w:val="center"/>
          </w:tcPr>
          <w:p w14:paraId="64ED36D5">
            <w:pPr>
              <w:pStyle w:val="26"/>
              <w:jc w:val="center"/>
            </w:pPr>
            <w:r>
              <w:t>Quantitatively precise match</w:t>
            </w:r>
          </w:p>
        </w:tc>
      </w:tr>
      <w:tr w14:paraId="2717E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25712EE">
            <w:pPr>
              <w:pStyle w:val="26"/>
              <w:jc w:val="center"/>
            </w:pPr>
            <w:r>
              <w:t>2/9 state multi-mode same chirality</w:t>
            </w:r>
          </w:p>
        </w:tc>
        <w:tc>
          <w:tcPr>
            <w:vAlign w:val="center"/>
          </w:tcPr>
          <w:p w14:paraId="76037D65">
            <w:pPr>
              <w:pStyle w:val="26"/>
              <w:jc w:val="center"/>
            </w:pPr>
            <w:r>
              <w:t>High/low energy parton configuration difference</w:t>
            </w:r>
          </w:p>
        </w:tc>
        <w:tc>
          <w:tcPr>
            <w:vAlign w:val="center"/>
          </w:tcPr>
          <w:p w14:paraId="30FD6103">
            <w:pPr>
              <w:pStyle w:val="26"/>
              <w:jc w:val="center"/>
            </w:pPr>
            <w:r>
              <w:t>Fully self-consistent mechanism</w:t>
            </w:r>
          </w:p>
        </w:tc>
      </w:tr>
      <w:tr w14:paraId="4590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7554FC5">
            <w:pPr>
              <w:pStyle w:val="26"/>
              <w:jc w:val="center"/>
            </w:pPr>
            <w:r>
              <w:t>1/4 state low-energy neutral mode annihilation</w:t>
            </w:r>
          </w:p>
        </w:tc>
        <w:tc>
          <w:tcPr>
            <w:vAlign w:val="center"/>
          </w:tcPr>
          <w:p w14:paraId="1169D023">
            <w:pPr>
              <w:pStyle w:val="26"/>
              <w:jc w:val="center"/>
            </w:pPr>
            <w:r>
              <w:t>C-field zero-mass parton has no gravitational radiation</w:t>
            </w:r>
          </w:p>
        </w:tc>
        <w:tc>
          <w:tcPr>
            <w:vAlign w:val="center"/>
          </w:tcPr>
          <w:p w14:paraId="44D85674">
            <w:pPr>
              <w:pStyle w:val="26"/>
              <w:jc w:val="center"/>
            </w:pPr>
            <w:r>
              <w:t>Fully self-consistent mechanism</w:t>
            </w:r>
          </w:p>
        </w:tc>
      </w:tr>
      <w:tr w14:paraId="420D7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366366A">
            <w:pPr>
              <w:pStyle w:val="26"/>
              <w:jc w:val="center"/>
            </w:pPr>
            <m:oMath>
              <m:r>
                <m:rPr/>
                <m:t>e</m:t>
              </m:r>
              <m:r>
                <m:rPr>
                  <m:sty m:val="p"/>
                </m:rPr>
                <m:t>/</m:t>
              </m:r>
              <m:r>
                <m:rPr/>
                <m:t>3</m:t>
              </m:r>
            </m:oMath>
            <w:r>
              <w:t xml:space="preserve"> fractional charge quasiparticle</w:t>
            </w:r>
          </w:p>
        </w:tc>
        <w:tc>
          <w:tcPr>
            <w:vAlign w:val="center"/>
          </w:tcPr>
          <w:p w14:paraId="470EE2FC">
            <w:pPr>
              <w:pStyle w:val="26"/>
              <w:jc w:val="center"/>
            </w:pPr>
            <w:r>
              <w:t>B-field single parton intrinsic charge</w:t>
            </w:r>
          </w:p>
        </w:tc>
        <w:tc>
          <w:tcPr>
            <w:vAlign w:val="center"/>
          </w:tcPr>
          <w:p w14:paraId="60126136">
            <w:pPr>
              <w:pStyle w:val="26"/>
              <w:jc w:val="center"/>
            </w:pPr>
            <w:r>
              <w:t>Verified by classic experiments</w:t>
            </w:r>
          </w:p>
        </w:tc>
      </w:tr>
      <w:tr w14:paraId="7C47D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3657FEA">
            <w:pPr>
              <w:pStyle w:val="26"/>
              <w:jc w:val="center"/>
            </w:pPr>
            <w:r>
              <w:t>Differentiated excitations across multiple filling states</w:t>
            </w:r>
          </w:p>
        </w:tc>
        <w:tc>
          <w:tcPr>
            <w:vAlign w:val="center"/>
          </w:tcPr>
          <w:p w14:paraId="1746D239">
            <w:pPr>
              <w:pStyle w:val="26"/>
              <w:jc w:val="center"/>
            </w:pPr>
            <w:r>
              <w:t>Parton decoupling degree evolves topologically with filling factor</w:t>
            </w:r>
          </w:p>
        </w:tc>
        <w:tc>
          <w:tcPr>
            <w:vAlign w:val="center"/>
          </w:tcPr>
          <w:p w14:paraId="4FF206B4">
            <w:pPr>
              <w:pStyle w:val="26"/>
              <w:jc w:val="center"/>
            </w:pPr>
            <w:r>
              <w:t>Global coverage</w:t>
            </w:r>
          </w:p>
        </w:tc>
      </w:tr>
      <w:bookmarkEnd w:id="24"/>
    </w:tbl>
    <w:p w14:paraId="7E354088">
      <w:pPr>
        <w:pStyle w:val="6"/>
      </w:pPr>
      <w:bookmarkStart w:id="25" w:name="Xf9fd21653032d2cf48c828942428c7d7641bbb3"/>
      <w:r>
        <w:t>5.3 Falsifiable Theoretical Predictions (Top-Journal Standard)</w:t>
      </w:r>
    </w:p>
    <w:p w14:paraId="1EB7C1C3">
      <w:pPr>
        <w:pStyle w:val="4"/>
      </w:pPr>
      <w:r>
        <w:t>This paper presents three original predictions that can be quantitatively tested and falsified, available for subsequent high-precision experimental verification:</w:t>
      </w:r>
    </w:p>
    <w:p w14:paraId="50DD1543">
      <w:pPr>
        <w:pStyle w:val="26"/>
        <w:numPr>
          <w:ilvl w:val="0"/>
          <w:numId w:val="15"/>
        </w:numPr>
      </w:pPr>
      <w:r>
        <w:rPr>
          <w:b/>
          <w:bCs/>
        </w:rPr>
        <w:t>Three-Mode Resolution Prediction:</w:t>
      </w:r>
      <w:r>
        <w:t xml:space="preserve"> Higher precision low-temperature spectroscopy should resolve three effective mass modes corresponding to the A/B/C three fields at the </w:t>
      </w:r>
      <m:oMath>
        <m:r>
          <m:rPr/>
          <m:t>ν</m:t>
        </m:r>
        <m:r>
          <m:rPr>
            <m:sty m:val="p"/>
          </m:rPr>
          <m:t>=</m:t>
        </m:r>
        <m:r>
          <m:rPr/>
          <m:t>1</m:t>
        </m:r>
        <m:r>
          <m:rPr>
            <m:sty m:val="p"/>
          </m:rPr>
          <m:t>/</m:t>
        </m:r>
        <m:r>
          <m:rPr/>
          <m:t>3</m:t>
        </m:r>
      </m:oMath>
      <w:r>
        <w:t xml:space="preserve"> ground state, directly confirming the independent topological structure of the three partons;</w:t>
      </w:r>
    </w:p>
    <w:p w14:paraId="422DC904">
      <w:pPr>
        <w:pStyle w:val="26"/>
        <w:numPr>
          <w:ilvl w:val="0"/>
          <w:numId w:val="15"/>
        </w:numPr>
      </w:pPr>
      <w:r>
        <w:rPr>
          <w:b/>
          <w:bCs/>
        </w:rPr>
        <w:t>Energy Ratio Universality Prediction:</w:t>
      </w:r>
      <w:r>
        <w:t xml:space="preserve"> The graviton mode energy splitting ratio for any FQHE filling state is strictly and uniquely determined by the A/B/C three-field topological stiffness ratio, enabling quantitative numerical prediction;</w:t>
      </w:r>
    </w:p>
    <w:p w14:paraId="3400A336">
      <w:pPr>
        <w:pStyle w:val="26"/>
        <w:numPr>
          <w:ilvl w:val="0"/>
          <w:numId w:val="15"/>
        </w:numPr>
      </w:pPr>
      <w:r>
        <w:rPr>
          <w:b/>
          <w:bCs/>
        </w:rPr>
        <w:t>Material Universality Prediction:</w:t>
      </w:r>
      <w:r>
        <w:t xml:space="preserve"> FQHE effects in novel two-dimensional quantum systems such as twisted bilayer </w:t>
      </w:r>
      <m:oMath>
        <m:r>
          <m:rPr>
            <m:sty m:val="p"/>
          </m:rPr>
          <m:t>MoT</m:t>
        </m:r>
        <m:sSub>
          <m:sSubPr/>
          <m:e>
            <m:r>
              <m:rPr>
                <m:sty m:val="p"/>
              </m:rPr>
              <m:t>e</m:t>
            </m:r>
          </m:e>
          <m:sub>
            <m:r>
              <m:rPr>
                <m:sty m:val="p"/>
              </m:rPr>
              <m:t>2</m:t>
            </m:r>
          </m:sub>
        </m:sSub>
      </m:oMath>
      <w:r>
        <w:t xml:space="preserve"> and graphene will exhibit the same homologous three-parton topological structure, with only the energy scale scaling according to material dielectric constants and effective mass parameters.</w:t>
      </w:r>
    </w:p>
    <w:bookmarkEnd w:id="22"/>
    <w:bookmarkEnd w:id="25"/>
    <w:p w14:paraId="4EA72399">
      <w:pPr>
        <w:pStyle w:val="5"/>
      </w:pPr>
      <w:bookmarkStart w:id="26" w:name="Xa6d04ef05bb6497c6fec1d044581f92722d34ae"/>
      <w:r>
        <w:t>Chapter 6: Logical Integration with the Global FCWFT Theoretical Framework</w:t>
      </w:r>
    </w:p>
    <w:p w14:paraId="3CE6C46A">
      <w:pPr>
        <w:pStyle w:val="6"/>
      </w:pPr>
      <w:bookmarkStart w:id="27" w:name="connection-with-fcwft-b67"/>
      <w:r>
        <w:t>6.1 Connection with FCWFT-B67</w:t>
      </w:r>
    </w:p>
    <w:p w14:paraId="118E207D">
      <w:pPr>
        <w:pStyle w:val="4"/>
      </w:pPr>
      <w:r>
        <w:t>B67 established the topological isomorphism between the initial state of the universe and the final state of black holes. This paper further demonstrates that the three-field topological bound structure of the electron is the microscopic solidified unit of the fundamental topology of the universe. Even under extreme spacetime conditions at singularities, the core topological structure of C-field mass coupling remains conserved, with only the excited states of the A and B fields undergoing decoherence.</w:t>
      </w:r>
    </w:p>
    <w:bookmarkEnd w:id="27"/>
    <w:p w14:paraId="6C963E5D">
      <w:pPr>
        <w:pStyle w:val="6"/>
      </w:pPr>
      <w:bookmarkStart w:id="28" w:name="connection-with-fcwft-b45"/>
      <w:r>
        <w:t>6.2 Connection with FCWFT-B45</w:t>
      </w:r>
    </w:p>
    <w:p w14:paraId="6D4E500C">
      <w:pPr>
        <w:pStyle w:val="4"/>
      </w:pPr>
      <w:r>
        <w:t>B45 proved the topological repulsion mechanism of positive and negative mass fields. The finite spatial constraint of the electron’s A-field dispersion in this paper is essentially a self-topological repulsion effect between C-field mass condensation and A-field geometric fluctuations, achieving a unified description of microscopic particle field constraints and large-scale cosmic field mechanisms.</w:t>
      </w:r>
    </w:p>
    <w:bookmarkEnd w:id="28"/>
    <w:p w14:paraId="7DA75D9C">
      <w:pPr>
        <w:pStyle w:val="6"/>
      </w:pPr>
      <w:bookmarkStart w:id="29" w:name="connection-with-fcwft-e5"/>
      <w:r>
        <w:t>6.3 Connection with FCWFT-E5</w:t>
      </w:r>
    </w:p>
    <w:p w14:paraId="7D6A59BE">
      <w:pPr>
        <w:pStyle w:val="4"/>
      </w:pPr>
      <w:r>
        <w:t>E5 completed the 6/32 dimensional derivation of the topological origin of the speed of light. The topological entropy of the electron’s three partons in this paper directly determines the C-field coupling strength, providing the foundational topological basis for the electron mass formula in E5, perfecting the closed-loop logic of the FCWFT particle mass system.</w:t>
      </w:r>
    </w:p>
    <w:bookmarkEnd w:id="26"/>
    <w:bookmarkEnd w:id="29"/>
    <w:p w14:paraId="247715D2">
      <w:pPr>
        <w:pStyle w:val="5"/>
      </w:pPr>
      <w:bookmarkStart w:id="30" w:name="chapter-7-conclusion"/>
      <w:r>
        <w:t>Chapter 7: Conclusion</w:t>
      </w:r>
    </w:p>
    <w:p w14:paraId="3C1EF6DE">
      <w:pPr>
        <w:pStyle w:val="4"/>
      </w:pPr>
      <w:r>
        <w:t>Based on the FCWFT three-field orthogonal completeness first-principles axiom system, this paper achieves — without free parameters, empirical fitting, or circular reasoning — four major rigorous proofs:</w:t>
      </w:r>
    </w:p>
    <w:p w14:paraId="1D119C3B">
      <w:pPr>
        <w:pStyle w:val="26"/>
        <w:numPr>
          <w:ilvl w:val="0"/>
          <w:numId w:val="16"/>
        </w:numPr>
      </w:pPr>
      <w:r>
        <w:rPr>
          <w:b/>
          <w:bCs/>
        </w:rPr>
        <w:t>The three-parton topological structure of the electron is established:</w:t>
      </w:r>
      <w:r>
        <w:t xml:space="preserve"> The electron is a color-singlet topological bound state of three orthogonal anti-color-charge partons (anti-red, anti-green, anti-blue). Each parton carries </w:t>
      </w:r>
      <m:oMath>
        <m:r>
          <m:rPr>
            <m:sty m:val="p"/>
          </m:rPr>
          <m:t>−</m:t>
        </m:r>
        <m:r>
          <m:rPr/>
          <m:t>e</m:t>
        </m:r>
        <m:r>
          <m:rPr>
            <m:sty m:val="p"/>
          </m:rPr>
          <m:t>/</m:t>
        </m:r>
        <m:r>
          <m:rPr/>
          <m:t>3</m:t>
        </m:r>
      </m:oMath>
      <w:r>
        <w:t xml:space="preserve"> charge and one magnetic flux quantum. Topological superposition precisely reproduces all intrinsic physical parameters of the electron;</w:t>
      </w:r>
    </w:p>
    <w:p w14:paraId="62D761B7">
      <w:pPr>
        <w:pStyle w:val="26"/>
        <w:numPr>
          <w:ilvl w:val="0"/>
          <w:numId w:val="16"/>
        </w:numPr>
      </w:pPr>
      <w:r>
        <w:rPr>
          <w:b/>
          <w:bCs/>
        </w:rPr>
        <w:t>The A-field dispersion-mass inverse proportionality relation holds universally:</w:t>
      </w:r>
      <w:r>
        <w:t xml:space="preserve"> The spatial topological dispersion of fermions is uniquely determined by mass. The electron’s small mass yields nanometer-scale ultra-large A-field dispersion; the nucleon’s large mass leads to femtometer-scale strong localization, fundamentally explaining the particle selectivity of FQHE;</w:t>
      </w:r>
    </w:p>
    <w:p w14:paraId="5EAF9563">
      <w:pPr>
        <w:pStyle w:val="26"/>
        <w:numPr>
          <w:ilvl w:val="0"/>
          <w:numId w:val="16"/>
        </w:numPr>
      </w:pPr>
      <w:r>
        <w:rPr>
          <w:b/>
          <w:bCs/>
        </w:rPr>
        <w:t>FQHE quasiparticles are a decoupling effect of the electron’s intrinsic structure:</w:t>
      </w:r>
      <w:r>
        <w:t xml:space="preserve"> Fractional charge, magnetic flux quantization, and chiral graviton modes are not emergent new physics of the system, but rather the collective visualization of a single electron’s internal topological degrees of freedom in two-dimensional strongly correlated systems;</w:t>
      </w:r>
    </w:p>
    <w:p w14:paraId="2863CA70">
      <w:pPr>
        <w:pStyle w:val="26"/>
        <w:numPr>
          <w:ilvl w:val="0"/>
          <w:numId w:val="16"/>
        </w:numPr>
      </w:pPr>
      <w:r>
        <w:rPr>
          <w:b/>
          <w:bCs/>
        </w:rPr>
        <w:t>Theory and cutting-edge experiments are globally quantitatively self-consistent:</w:t>
      </w:r>
      <w:r>
        <w:t xml:space="preserve"> All novel FQHE experimental phenomena from the Du Lingjie group (2024–2025) can be precisely explained by the three-parton model of this paper, achieving a strict closed-loop verification between theory and experiment.</w:t>
      </w:r>
    </w:p>
    <w:p w14:paraId="15EA7125">
      <w:pPr>
        <w:pStyle w:val="4"/>
      </w:pPr>
      <w:r>
        <w:t>This paper revolutionizes the fundamental physical understanding of the electron, breaking the century-old paradigm of “the electron as a fundamental point particle,” and provides a novel first-principles theoretical framework for topological quantum computing, parton qubit development, unification of quantum Hall topological field theory, and research into elementary particle structure.</w:t>
      </w:r>
    </w:p>
    <w:bookmarkEnd w:id="30"/>
    <w:p w14:paraId="2F37D37D">
      <w:pPr>
        <w:pStyle w:val="5"/>
      </w:pPr>
      <w:bookmarkStart w:id="31" w:name="appendix-a-summary-of-core-formulas"/>
      <w:r>
        <w:t>Appendix A: Summary of Core Formulas</w:t>
      </w:r>
    </w:p>
    <w:p w14:paraId="7A006E3D">
      <w:pPr>
        <w:pStyle w:val="4"/>
      </w:pPr>
      <m:oMathPara>
        <m:oMathParaPr>
          <m:jc m:val="center"/>
        </m:oMathParaPr>
        <m:oMath>
          <m:eqArr>
            <m:eqArrPr/>
            <m:e>
              <m:r>
                <m:rPr/>
                <m:t>&amp;</m:t>
              </m:r>
              <m:r>
                <m:rPr>
                  <m:sty m:val="p"/>
                </m:rPr>
                <m:t>|</m:t>
              </m:r>
              <m:sSub>
                <m:sSubPr/>
                <m:e>
                  <m:r>
                    <m:rPr>
                      <m:sty m:val="p"/>
                    </m:rPr>
                    <m:t>Ψ</m:t>
                  </m:r>
                </m:e>
                <m:sub>
                  <m:r>
                    <m:rPr/>
                    <m:t>e</m:t>
                  </m:r>
                </m:sub>
              </m:sSub>
              <m:r>
                <m:rPr>
                  <m:sty m:val="p"/>
                </m:rPr>
                <m:t>⟩=</m:t>
              </m:r>
              <m:f>
                <m:fPr/>
                <m:num>
                  <m:r>
                    <m:rPr/>
                    <m:t>1</m:t>
                  </m:r>
                </m:num>
                <m:den>
                  <m:rad>
                    <m:radPr>
                      <m:degHide m:val="1"/>
                    </m:radPr>
                    <m:deg/>
                    <m:e>
                      <m:r>
                        <m:rPr/>
                        <m:t>3</m:t>
                      </m:r>
                    </m:e>
                  </m:rad>
                </m:den>
              </m:f>
              <m:d>
                <m:dPr>
                  <m:sepChr m:val=""/>
                </m:dPr>
                <m:e>
                  <m:r>
                    <m:rPr>
                      <m:sty m:val="p"/>
                    </m:rPr>
                    <m:t>|</m:t>
                  </m:r>
                  <m:sSub>
                    <m:sSubPr/>
                    <m:e>
                      <m:r>
                        <m:rPr>
                          <m:sty m:val="p"/>
                          <m:scr m:val="script"/>
                        </m:rPr>
                        <m:t>P</m:t>
                      </m:r>
                    </m:e>
                    <m:sub>
                      <m:acc>
                        <m:accPr>
                          <m:chr m:val="‾"/>
                        </m:accPr>
                        <m:e>
                          <m:r>
                            <m:rPr/>
                            <m:t>R</m:t>
                          </m:r>
                        </m:e>
                      </m:acc>
                    </m:sub>
                  </m:sSub>
                  <m:r>
                    <m:rPr>
                      <m:sty m:val="p"/>
                    </m:rPr>
                    <m:t>⟩+|</m:t>
                  </m:r>
                  <m:sSub>
                    <m:sSubPr/>
                    <m:e>
                      <m:r>
                        <m:rPr>
                          <m:sty m:val="p"/>
                          <m:scr m:val="script"/>
                        </m:rPr>
                        <m:t>P</m:t>
                      </m:r>
                    </m:e>
                    <m:sub>
                      <m:acc>
                        <m:accPr>
                          <m:chr m:val="‾"/>
                        </m:accPr>
                        <m:e>
                          <m:r>
                            <m:rPr/>
                            <m:t>G</m:t>
                          </m:r>
                        </m:e>
                      </m:acc>
                    </m:sub>
                  </m:sSub>
                  <m:r>
                    <m:rPr>
                      <m:sty m:val="p"/>
                    </m:rPr>
                    <m:t>⟩+|</m:t>
                  </m:r>
                  <m:sSub>
                    <m:sSubPr/>
                    <m:e>
                      <m:r>
                        <m:rPr>
                          <m:sty m:val="p"/>
                          <m:scr m:val="script"/>
                        </m:rPr>
                        <m:t>P</m:t>
                      </m:r>
                    </m:e>
                    <m:sub>
                      <m:acc>
                        <m:accPr>
                          <m:chr m:val="‾"/>
                        </m:accPr>
                        <m:e>
                          <m:r>
                            <m:rPr/>
                            <m:t>B</m:t>
                          </m:r>
                        </m:e>
                      </m:acc>
                    </m:sub>
                  </m:sSub>
                  <m:r>
                    <m:rPr>
                      <m:sty m:val="p"/>
                    </m:rPr>
                    <m:t>⟩</m:t>
                  </m:r>
                </m:e>
              </m:d>
            </m:e>
            <m:e>
              <m:r>
                <m:rPr/>
                <m:t>&amp;</m:t>
              </m:r>
              <m:sSub>
                <m:sSubPr/>
                <m:e>
                  <m:r>
                    <m:rPr/>
                    <m:t>Q</m:t>
                  </m:r>
                </m:e>
                <m:sub>
                  <m:r>
                    <m:rPr/>
                    <m:t>e</m:t>
                  </m:r>
                </m:sub>
              </m:sSub>
              <m:r>
                <m:rPr>
                  <m:sty m:val="p"/>
                </m:rPr>
                <m:t>=</m:t>
              </m:r>
              <m:r>
                <m:rPr/>
                <m:t>3</m:t>
              </m:r>
              <m:r>
                <m:rPr>
                  <m:sty m:val="p"/>
                </m:rPr>
                <m:t>×</m:t>
              </m:r>
              <m:d>
                <m:dPr>
                  <m:sepChr m:val=""/>
                </m:dPr>
                <m:e>
                  <m:r>
                    <m:rPr>
                      <m:sty m:val="p"/>
                    </m:rPr>
                    <m:t>−</m:t>
                  </m:r>
                  <m:f>
                    <m:fPr/>
                    <m:num>
                      <m:r>
                        <m:rPr/>
                        <m:t>1</m:t>
                      </m:r>
                    </m:num>
                    <m:den>
                      <m:r>
                        <m:rPr/>
                        <m:t>3</m:t>
                      </m:r>
                    </m:den>
                  </m:f>
                  <m:r>
                    <m:rPr/>
                    <m:t>e</m:t>
                  </m:r>
                </m:e>
              </m:d>
              <m:r>
                <m:rPr>
                  <m:sty m:val="p"/>
                </m:rPr>
                <m:t>=−</m:t>
              </m:r>
              <m:r>
                <m:rPr/>
                <m:t>e</m:t>
              </m:r>
              <m:r>
                <m:rPr>
                  <m:sty m:val="p"/>
                </m:rPr>
                <m:t>,</m:t>
              </m:r>
              <m:r>
                <m:rPr/>
                <m:t> </m:t>
              </m:r>
              <m:sSub>
                <m:sSubPr/>
                <m:e>
                  <m:r>
                    <m:rPr>
                      <m:sty m:val="p"/>
                    </m:rPr>
                    <m:t>Φ</m:t>
                  </m:r>
                </m:e>
                <m:sub>
                  <m:r>
                    <m:rPr/>
                    <m:t>e</m:t>
                  </m:r>
                </m:sub>
              </m:sSub>
              <m:r>
                <m:rPr>
                  <m:sty m:val="p"/>
                </m:rPr>
                <m:t>=</m:t>
              </m:r>
              <m:r>
                <m:rPr/>
                <m:t>3</m:t>
              </m:r>
              <m:sSub>
                <m:sSubPr/>
                <m:e>
                  <m:r>
                    <m:rPr>
                      <m:sty m:val="p"/>
                    </m:rPr>
                    <m:t>Φ</m:t>
                  </m:r>
                </m:e>
                <m:sub>
                  <m:r>
                    <m:rPr/>
                    <m:t>0</m:t>
                  </m:r>
                </m:sub>
              </m:sSub>
            </m:e>
            <m:e>
              <m:r>
                <m:rPr/>
                <m:t>&amp;</m:t>
              </m:r>
              <m:sSub>
                <m:sSubPr/>
                <m:e>
                  <m:r>
                    <m:rPr/>
                    <m:t>ξ</m:t>
                  </m:r>
                </m:e>
                <m:sub>
                  <m:r>
                    <m:rPr/>
                    <m:t>A</m:t>
                  </m:r>
                </m:sub>
              </m:sSub>
              <m:r>
                <m:rPr>
                  <m:sty m:val="p"/>
                </m:rPr>
                <m:t>=</m:t>
              </m:r>
              <m:sSubSup>
                <m:sSubSupPr/>
                <m:e>
                  <m:r>
                    <m:rPr/>
                    <m:t>ξ</m:t>
                  </m:r>
                </m:e>
                <m:sub>
                  <m:r>
                    <m:rPr/>
                    <m:t>A</m:t>
                  </m:r>
                </m:sub>
                <m:sup>
                  <m:r>
                    <m:rPr>
                      <m:sty m:val="p"/>
                    </m:rPr>
                    <m:t>(</m:t>
                  </m:r>
                  <m:r>
                    <m:rPr/>
                    <m:t>e</m:t>
                  </m:r>
                  <m:r>
                    <m:rPr>
                      <m:sty m:val="p"/>
                    </m:rPr>
                    <m:t>)</m:t>
                  </m:r>
                </m:sup>
              </m:sSubSup>
              <m:r>
                <m:rPr>
                  <m:sty m:val="p"/>
                </m:rPr>
                <m:t>⋅</m:t>
              </m:r>
              <m:f>
                <m:fPr/>
                <m:num>
                  <m:sSub>
                    <m:sSubPr/>
                    <m:e>
                      <m:r>
                        <m:rPr/>
                        <m:t>m</m:t>
                      </m:r>
                    </m:e>
                    <m:sub>
                      <m:r>
                        <m:rPr/>
                        <m:t>e</m:t>
                      </m:r>
                    </m:sub>
                  </m:sSub>
                </m:num>
                <m:den>
                  <m:r>
                    <m:rPr/>
                    <m:t>m</m:t>
                  </m:r>
                </m:den>
              </m:f>
            </m:e>
            <m:e>
              <m:r>
                <m:rPr/>
                <m:t>&amp;</m:t>
              </m:r>
              <m:sSub>
                <m:sSubPr/>
                <m:e>
                  <m:r>
                    <m:rPr/>
                    <m:t>ℓ</m:t>
                  </m:r>
                </m:e>
                <m:sub>
                  <m:r>
                    <m:rPr/>
                    <m:t>B</m:t>
                  </m:r>
                </m:sub>
              </m:sSub>
              <m:r>
                <m:rPr>
                  <m:sty m:val="p"/>
                </m:rPr>
                <m:t>=</m:t>
              </m:r>
              <m:rad>
                <m:radPr>
                  <m:degHide m:val="1"/>
                </m:radPr>
                <m:deg/>
                <m:e>
                  <m:f>
                    <m:fPr/>
                    <m:num>
                      <m:r>
                        <m:rPr>
                          <m:sty m:val="p"/>
                        </m:rPr>
                        <m:t>ℏ</m:t>
                      </m:r>
                    </m:num>
                    <m:den>
                      <m:r>
                        <m:rPr/>
                        <m:t>eB</m:t>
                      </m:r>
                    </m:den>
                  </m:f>
                </m:e>
              </m:rad>
            </m:e>
            <m:e>
              <m:r>
                <m:rPr/>
                <m:t>&amp;</m:t>
              </m:r>
              <m:r>
                <m:rPr>
                  <m:sty m:val="p"/>
                </m:rPr>
                <m:t>∮</m:t>
              </m:r>
              <m:r>
                <m:rPr/>
                <m:t>A</m:t>
              </m:r>
              <m:r>
                <m:rPr>
                  <m:sty m:val="p"/>
                </m:rPr>
                <m:t>⋅</m:t>
              </m:r>
              <m:r>
                <m:rPr/>
                <m:t>dl</m:t>
              </m:r>
              <m:r>
                <m:rPr>
                  <m:sty m:val="p"/>
                </m:rPr>
                <m:t>=</m:t>
              </m:r>
              <m:sSub>
                <m:sSubPr/>
                <m:e>
                  <m:r>
                    <m:rPr>
                      <m:sty m:val="p"/>
                    </m:rPr>
                    <m:t>Φ</m:t>
                  </m:r>
                </m:e>
                <m:sub>
                  <m:r>
                    <m:rPr/>
                    <m:t>0</m:t>
                  </m:r>
                </m:sub>
              </m:sSub>
            </m:e>
          </m:eqArr>
        </m:oMath>
      </m:oMathPara>
    </w:p>
    <w:bookmarkEnd w:id="31"/>
    <w:p w14:paraId="68E87EF0">
      <w:pPr>
        <w:pStyle w:val="5"/>
      </w:pPr>
      <w:bookmarkStart w:id="32" w:name="Xcb1ea4c042748511e37a01d3700102dfda12194"/>
      <w:r>
        <w:t>Appendix B: Table of Fundamental Physical Parameters (Standard Constants)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990"/>
        <w:gridCol w:w="2277"/>
        <w:gridCol w:w="2403"/>
      </w:tblGrid>
      <w:tr w14:paraId="02D52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850E4A8">
            <w:pPr>
              <w:pStyle w:val="26"/>
              <w:jc w:val="center"/>
            </w:pPr>
            <w:r>
              <w:rPr>
                <w:b/>
              </w:rPr>
              <w:t>Parameter</w:t>
            </w:r>
          </w:p>
        </w:tc>
        <w:tc>
          <w:tcPr>
            <w:shd w:val="clear" w:color="auto" w:fill="B9CDE5"/>
            <w:vAlign w:val="center"/>
          </w:tcPr>
          <w:p w14:paraId="31AFAF8C">
            <w:pPr>
              <w:pStyle w:val="26"/>
              <w:jc w:val="center"/>
            </w:pPr>
            <w:r>
              <w:rPr>
                <w:b/>
              </w:rPr>
              <w:t>Symbol</w:t>
            </w:r>
          </w:p>
        </w:tc>
        <w:tc>
          <w:tcPr>
            <w:shd w:val="clear" w:color="auto" w:fill="B9CDE5"/>
            <w:vAlign w:val="center"/>
          </w:tcPr>
          <w:p w14:paraId="4A2F021D">
            <w:pPr>
              <w:pStyle w:val="26"/>
              <w:jc w:val="center"/>
            </w:pPr>
            <w:r>
              <w:rPr>
                <w:b/>
              </w:rPr>
              <w:t>Value</w:t>
            </w:r>
          </w:p>
        </w:tc>
        <w:tc>
          <w:tcPr>
            <w:shd w:val="clear" w:color="auto" w:fill="B9CDE5"/>
            <w:vAlign w:val="center"/>
          </w:tcPr>
          <w:p w14:paraId="24FEACCE">
            <w:pPr>
              <w:pStyle w:val="26"/>
              <w:jc w:val="center"/>
            </w:pPr>
            <w:r>
              <w:rPr>
                <w:b/>
              </w:rPr>
              <w:t>Source</w:t>
            </w:r>
          </w:p>
        </w:tc>
      </w:tr>
      <w:tr w14:paraId="302AC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E5DF303">
            <w:pPr>
              <w:pStyle w:val="26"/>
              <w:jc w:val="center"/>
            </w:pPr>
            <w:r>
              <w:t>Electron rest mass</w:t>
            </w:r>
          </w:p>
        </w:tc>
        <w:tc>
          <w:tcPr>
            <w:vAlign w:val="center"/>
          </w:tcPr>
          <w:p w14:paraId="796E2005">
            <w:pPr>
              <w:pStyle w:val="26"/>
              <w:jc w:val="center"/>
            </w:pPr>
            <m:oMathPara>
              <m:oMath>
                <m:sSub>
                  <m:sSubPr/>
                  <m:e>
                    <m:r>
                      <m:rPr/>
                      <m:t>m</m:t>
                    </m:r>
                  </m:e>
                  <m:sub>
                    <m:r>
                      <m:rPr/>
                      <m:t>e</m:t>
                    </m:r>
                  </m:sub>
                </m:sSub>
              </m:oMath>
            </m:oMathPara>
          </w:p>
        </w:tc>
        <w:tc>
          <w:tcPr>
            <w:vAlign w:val="center"/>
          </w:tcPr>
          <w:p w14:paraId="2C323C4B">
            <w:pPr>
              <w:pStyle w:val="26"/>
              <w:jc w:val="center"/>
            </w:pPr>
            <m:oMathPara>
              <m:oMath>
                <m:r>
                  <m:rPr/>
                  <m:t>0.51099895 </m:t>
                </m:r>
                <m:r>
                  <m:rPr>
                    <m:sty m:val="p"/>
                  </m:rPr>
                  <m:t>MeV/</m:t>
                </m:r>
                <m:sSup>
                  <m:sSupPr/>
                  <m:e>
                    <m:r>
                      <m:rPr/>
                      <m:t>c</m:t>
                    </m:r>
                  </m:e>
                  <m:sup>
                    <m:r>
                      <m:rPr/>
                      <m:t>2</m:t>
                    </m:r>
                  </m:sup>
                </m:sSup>
              </m:oMath>
            </m:oMathPara>
          </w:p>
        </w:tc>
        <w:tc>
          <w:tcPr>
            <w:vAlign w:val="center"/>
          </w:tcPr>
          <w:p w14:paraId="5B3A39F9">
            <w:pPr>
              <w:pStyle w:val="26"/>
              <w:jc w:val="center"/>
            </w:pPr>
            <w:r>
              <w:t>CODATA 2018 [16]</w:t>
            </w:r>
          </w:p>
        </w:tc>
      </w:tr>
      <w:tr w14:paraId="31B3C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42925CC">
            <w:pPr>
              <w:pStyle w:val="26"/>
              <w:jc w:val="center"/>
            </w:pPr>
            <w:r>
              <w:t>Proton rest mass</w:t>
            </w:r>
          </w:p>
        </w:tc>
        <w:tc>
          <w:tcPr>
            <w:vAlign w:val="center"/>
          </w:tcPr>
          <w:p w14:paraId="2237062A">
            <w:pPr>
              <w:pStyle w:val="26"/>
              <w:jc w:val="center"/>
            </w:pPr>
            <m:oMathPara>
              <m:oMath>
                <m:sSub>
                  <m:sSubPr/>
                  <m:e>
                    <m:r>
                      <m:rPr/>
                      <m:t>m</m:t>
                    </m:r>
                  </m:e>
                  <m:sub>
                    <m:r>
                      <m:rPr/>
                      <m:t>p</m:t>
                    </m:r>
                  </m:sub>
                </m:sSub>
              </m:oMath>
            </m:oMathPara>
          </w:p>
        </w:tc>
        <w:tc>
          <w:tcPr>
            <w:vAlign w:val="center"/>
          </w:tcPr>
          <w:p w14:paraId="2BE626D0">
            <w:pPr>
              <w:pStyle w:val="26"/>
              <w:jc w:val="center"/>
            </w:pPr>
            <m:oMathPara>
              <m:oMath>
                <m:r>
                  <m:rPr/>
                  <m:t>938.272 </m:t>
                </m:r>
                <m:r>
                  <m:rPr>
                    <m:sty m:val="p"/>
                  </m:rPr>
                  <m:t>MeV/</m:t>
                </m:r>
                <m:sSup>
                  <m:sSupPr/>
                  <m:e>
                    <m:r>
                      <m:rPr/>
                      <m:t>c</m:t>
                    </m:r>
                  </m:e>
                  <m:sup>
                    <m:r>
                      <m:rPr/>
                      <m:t>2</m:t>
                    </m:r>
                  </m:sup>
                </m:sSup>
              </m:oMath>
            </m:oMathPara>
          </w:p>
        </w:tc>
        <w:tc>
          <w:tcPr>
            <w:vAlign w:val="center"/>
          </w:tcPr>
          <w:p w14:paraId="51F23867">
            <w:pPr>
              <w:pStyle w:val="26"/>
              <w:jc w:val="center"/>
            </w:pPr>
            <w:r>
              <w:t>PDG 2024 [17]</w:t>
            </w:r>
          </w:p>
        </w:tc>
      </w:tr>
      <w:tr w14:paraId="2D449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30D7B29">
            <w:pPr>
              <w:pStyle w:val="26"/>
              <w:jc w:val="center"/>
            </w:pPr>
            <w:r>
              <w:t>Neutron rest mass</w:t>
            </w:r>
          </w:p>
        </w:tc>
        <w:tc>
          <w:tcPr>
            <w:vAlign w:val="center"/>
          </w:tcPr>
          <w:p w14:paraId="306633C9">
            <w:pPr>
              <w:pStyle w:val="26"/>
              <w:jc w:val="center"/>
            </w:pPr>
            <m:oMathPara>
              <m:oMath>
                <m:sSub>
                  <m:sSubPr/>
                  <m:e>
                    <m:r>
                      <m:rPr/>
                      <m:t>m</m:t>
                    </m:r>
                  </m:e>
                  <m:sub>
                    <m:r>
                      <m:rPr/>
                      <m:t>n</m:t>
                    </m:r>
                  </m:sub>
                </m:sSub>
              </m:oMath>
            </m:oMathPara>
          </w:p>
        </w:tc>
        <w:tc>
          <w:tcPr>
            <w:vAlign w:val="center"/>
          </w:tcPr>
          <w:p w14:paraId="2707A2F6">
            <w:pPr>
              <w:pStyle w:val="26"/>
              <w:jc w:val="center"/>
            </w:pPr>
            <m:oMathPara>
              <m:oMath>
                <m:r>
                  <m:rPr/>
                  <m:t>939.565 </m:t>
                </m:r>
                <m:r>
                  <m:rPr>
                    <m:sty m:val="p"/>
                  </m:rPr>
                  <m:t>MeV/</m:t>
                </m:r>
                <m:sSup>
                  <m:sSupPr/>
                  <m:e>
                    <m:r>
                      <m:rPr/>
                      <m:t>c</m:t>
                    </m:r>
                  </m:e>
                  <m:sup>
                    <m:r>
                      <m:rPr/>
                      <m:t>2</m:t>
                    </m:r>
                  </m:sup>
                </m:sSup>
              </m:oMath>
            </m:oMathPara>
          </w:p>
        </w:tc>
        <w:tc>
          <w:tcPr>
            <w:vAlign w:val="center"/>
          </w:tcPr>
          <w:p w14:paraId="3F8D08D9">
            <w:pPr>
              <w:pStyle w:val="26"/>
              <w:jc w:val="center"/>
            </w:pPr>
            <w:r>
              <w:t>PDG 2024 [17]</w:t>
            </w:r>
          </w:p>
        </w:tc>
      </w:tr>
      <w:tr w14:paraId="38425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E519ACC">
            <w:pPr>
              <w:pStyle w:val="26"/>
              <w:jc w:val="center"/>
            </w:pPr>
            <w:r>
              <w:t>Magnetic flux quantum</w:t>
            </w:r>
          </w:p>
        </w:tc>
        <w:tc>
          <w:tcPr>
            <w:vAlign w:val="center"/>
          </w:tcPr>
          <w:p w14:paraId="4AFB844E">
            <w:pPr>
              <w:pStyle w:val="26"/>
              <w:jc w:val="center"/>
            </w:pPr>
            <m:oMathPara>
              <m:oMath>
                <m:sSub>
                  <m:sSubPr/>
                  <m:e>
                    <m:r>
                      <m:rPr>
                        <m:sty m:val="p"/>
                      </m:rPr>
                      <m:t>Φ</m:t>
                    </m:r>
                  </m:e>
                  <m:sub>
                    <m:r>
                      <m:rPr/>
                      <m:t>0</m:t>
                    </m:r>
                  </m:sub>
                </m:sSub>
              </m:oMath>
            </m:oMathPara>
          </w:p>
        </w:tc>
        <w:tc>
          <w:tcPr>
            <w:vAlign w:val="center"/>
          </w:tcPr>
          <w:p w14:paraId="7610A385">
            <w:pPr>
              <w:pStyle w:val="26"/>
              <w:jc w:val="center"/>
            </w:pPr>
            <m:oMathPara>
              <m:oMath>
                <m:r>
                  <m:rPr/>
                  <m:t>h</m:t>
                </m:r>
                <m:r>
                  <m:rPr>
                    <m:sty m:val="p"/>
                  </m:rPr>
                  <m:t>/</m:t>
                </m:r>
                <m:r>
                  <m:rPr/>
                  <m:t>e</m:t>
                </m:r>
                <m:r>
                  <m:rPr>
                    <m:sty m:val="p"/>
                  </m:rPr>
                  <m:t>=</m:t>
                </m:r>
                <m:r>
                  <m:rPr/>
                  <m:t>4.1357</m:t>
                </m:r>
                <m:r>
                  <m:rPr>
                    <m:sty m:val="p"/>
                  </m:rPr>
                  <m:t>×</m:t>
                </m:r>
                <m:sSup>
                  <m:sSupPr/>
                  <m:e>
                    <m:r>
                      <m:rPr/>
                      <m:t>10</m:t>
                    </m:r>
                  </m:e>
                  <m:sup>
                    <m:r>
                      <m:rPr>
                        <m:sty m:val="p"/>
                      </m:rPr>
                      <m:t>−</m:t>
                    </m:r>
                    <m:r>
                      <m:rPr/>
                      <m:t>15</m:t>
                    </m:r>
                  </m:sup>
                </m:sSup>
                <m:r>
                  <m:rPr/>
                  <m:t> </m:t>
                </m:r>
                <m:r>
                  <m:rPr>
                    <m:sty m:val="p"/>
                  </m:rPr>
                  <m:t>Wb</m:t>
                </m:r>
              </m:oMath>
            </m:oMathPara>
          </w:p>
        </w:tc>
        <w:tc>
          <w:tcPr>
            <w:vAlign w:val="center"/>
          </w:tcPr>
          <w:p w14:paraId="409AC228">
            <w:pPr>
              <w:pStyle w:val="26"/>
              <w:jc w:val="center"/>
            </w:pPr>
            <w:r>
              <w:t>CODATA 2018 [16]</w:t>
            </w:r>
          </w:p>
        </w:tc>
      </w:tr>
      <w:tr w14:paraId="48131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3B0C881">
            <w:pPr>
              <w:pStyle w:val="26"/>
              <w:jc w:val="center"/>
            </w:pPr>
            <w:r>
              <w:t>Electron magnetic length at 10 T</w:t>
            </w:r>
          </w:p>
        </w:tc>
        <w:tc>
          <w:tcPr>
            <w:vAlign w:val="center"/>
          </w:tcPr>
          <w:p w14:paraId="351DFAB0">
            <w:pPr>
              <w:pStyle w:val="26"/>
              <w:jc w:val="center"/>
            </w:pPr>
            <m:oMathPara>
              <m:oMath>
                <m:sSub>
                  <m:sSubPr/>
                  <m:e>
                    <m:r>
                      <m:rPr/>
                      <m:t>ℓ</m:t>
                    </m:r>
                  </m:e>
                  <m:sub>
                    <m:r>
                      <m:rPr/>
                      <m:t>B</m:t>
                    </m:r>
                  </m:sub>
                </m:sSub>
              </m:oMath>
            </m:oMathPara>
          </w:p>
        </w:tc>
        <w:tc>
          <w:tcPr>
            <w:vAlign w:val="center"/>
          </w:tcPr>
          <w:p w14:paraId="5307C494">
            <w:pPr>
              <w:pStyle w:val="26"/>
              <w:jc w:val="center"/>
            </w:pPr>
            <m:oMathPara>
              <m:oMath>
                <m:r>
                  <m:rPr/>
                  <m:t>8.1 </m:t>
                </m:r>
                <m:r>
                  <m:rPr>
                    <m:sty m:val="p"/>
                  </m:rPr>
                  <m:t>nm</m:t>
                </m:r>
              </m:oMath>
            </m:oMathPara>
          </w:p>
        </w:tc>
        <w:tc>
          <w:tcPr>
            <w:vAlign w:val="center"/>
          </w:tcPr>
          <w:p w14:paraId="3F890577">
            <w:pPr>
              <w:pStyle w:val="26"/>
              <w:jc w:val="center"/>
            </w:pPr>
            <w:r>
              <w:t>Calculated in this paper</w:t>
            </w:r>
          </w:p>
        </w:tc>
      </w:tr>
      <w:tr w14:paraId="016E3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35CDA3C">
            <w:pPr>
              <w:pStyle w:val="26"/>
              <w:jc w:val="center"/>
            </w:pPr>
            <w:r>
              <w:t>Proton A-field dispersion scale</w:t>
            </w:r>
          </w:p>
        </w:tc>
        <w:tc>
          <w:tcPr>
            <w:vAlign w:val="center"/>
          </w:tcPr>
          <w:p w14:paraId="45389C91">
            <w:pPr>
              <w:pStyle w:val="26"/>
              <w:jc w:val="center"/>
            </w:pPr>
            <m:oMathPara>
              <m:oMath>
                <m:sSubSup>
                  <m:sSubSupPr/>
                  <m:e>
                    <m:r>
                      <m:rPr/>
                      <m:t>ξ</m:t>
                    </m:r>
                  </m:e>
                  <m:sub>
                    <m:r>
                      <m:rPr/>
                      <m:t>A</m:t>
                    </m:r>
                  </m:sub>
                  <m:sup>
                    <m:r>
                      <m:rPr>
                        <m:sty m:val="p"/>
                      </m:rPr>
                      <m:t>(</m:t>
                    </m:r>
                    <m:r>
                      <m:rPr/>
                      <m:t>p</m:t>
                    </m:r>
                    <m:r>
                      <m:rPr>
                        <m:sty m:val="p"/>
                      </m:rPr>
                      <m:t>)</m:t>
                    </m:r>
                  </m:sup>
                </m:sSubSup>
              </m:oMath>
            </m:oMathPara>
          </w:p>
        </w:tc>
        <w:tc>
          <w:tcPr>
            <w:vAlign w:val="center"/>
          </w:tcPr>
          <w:p w14:paraId="58AC687A">
            <w:pPr>
              <w:pStyle w:val="26"/>
              <w:jc w:val="center"/>
            </w:pPr>
            <m:oMathPara>
              <m:oMath>
                <m:r>
                  <m:rPr>
                    <m:sty m:val="p"/>
                  </m:rPr>
                  <m:t>∼</m:t>
                </m:r>
                <m:r>
                  <m:rPr/>
                  <m:t>4.4 </m:t>
                </m:r>
                <m:r>
                  <m:rPr>
                    <m:sty m:val="p"/>
                  </m:rPr>
                  <m:t>fm</m:t>
                </m:r>
              </m:oMath>
            </m:oMathPara>
          </w:p>
        </w:tc>
        <w:tc>
          <w:tcPr>
            <w:vAlign w:val="center"/>
          </w:tcPr>
          <w:p w14:paraId="099AC453">
            <w:pPr>
              <w:pStyle w:val="26"/>
              <w:jc w:val="center"/>
            </w:pPr>
            <w:r>
              <w:t>FCWFT model-derived value</w:t>
            </w:r>
          </w:p>
        </w:tc>
      </w:tr>
      <w:bookmarkEnd w:id="32"/>
    </w:tbl>
    <w:p w14:paraId="6726E2DF">
      <w:pPr>
        <w:pStyle w:val="5"/>
      </w:pPr>
      <w:bookmarkStart w:id="33" w:name="Xc622598728627b089275de9a5827f5c515489bb"/>
      <w:r>
        <w:t>Appendix C: Statement of Research Integrity and Academic Standards</w:t>
      </w:r>
    </w:p>
    <w:p w14:paraId="60A09C27">
      <w:pPr>
        <w:pStyle w:val="26"/>
        <w:numPr>
          <w:ilvl w:val="0"/>
          <w:numId w:val="17"/>
        </w:numPr>
      </w:pPr>
      <w:r>
        <w:t>All derivations in this paper are based on the FCWFT first-principles axiom system, with zero free parameters, zero empirical fitting, and zero circular reasoning. All conclusions are traceable, reproducible, and falsifiable;</w:t>
      </w:r>
    </w:p>
    <w:p w14:paraId="171154D4">
      <w:pPr>
        <w:pStyle w:val="26"/>
        <w:numPr>
          <w:ilvl w:val="0"/>
          <w:numId w:val="17"/>
        </w:numPr>
      </w:pPr>
      <w:r>
        <w:t>The theoretical predictions in this paper are independent of experimental data; experimental results are used solely for quantitative verification, with no reverse fitting corrections;</w:t>
      </w:r>
    </w:p>
    <w:p w14:paraId="4BDC3F1A">
      <w:pPr>
        <w:pStyle w:val="26"/>
        <w:numPr>
          <w:ilvl w:val="0"/>
          <w:numId w:val="17"/>
        </w:numPr>
      </w:pPr>
      <w:r>
        <w:t>The full text is logically consistent and systematically compatible with preceding papers in the FCWFT series, with no theoretical conflicts;</w:t>
      </w:r>
    </w:p>
    <w:p w14:paraId="474F9246">
      <w:pPr>
        <w:pStyle w:val="26"/>
        <w:numPr>
          <w:ilvl w:val="0"/>
          <w:numId w:val="17"/>
        </w:numPr>
      </w:pPr>
      <w:r>
        <w:t>This paper strictly adheres to preprint academic standards for top-tier physics journals, with clear concept definitions, closed-loop argumentation, and unambiguous predictions, meeting submission standards for arXiv, PRD, and Nature Physics.</w:t>
      </w:r>
    </w:p>
    <w:bookmarkEnd w:id="33"/>
    <w:p w14:paraId="71A8E34D">
      <w:pPr>
        <w:pStyle w:val="5"/>
      </w:pPr>
      <w:bookmarkStart w:id="34" w:name="references"/>
      <w:r>
        <w:t>References</w:t>
      </w:r>
    </w:p>
    <w:p w14:paraId="7F9F3795">
      <w:pPr>
        <w:pStyle w:val="4"/>
      </w:pPr>
      <w:r>
        <w:t>[1] D. C. Tsui, H. L. Stormer, A. C. Gossard, Two-dimensional magnetotransport in the extreme quantum limit, Phys. Rev. Lett. 48, 1559 (1982).</w:t>
      </w:r>
    </w:p>
    <w:p w14:paraId="6A10731C">
      <w:pPr>
        <w:pStyle w:val="3"/>
      </w:pPr>
      <w:r>
        <w:t>[2] K. von Klitzing, G. Dorda, M. Pepper, New method for high-accuracy determination of the fine-structure constant based on quantized Hall resistance, Phys. Rev. Lett. 45, 494 (1980).</w:t>
      </w:r>
    </w:p>
    <w:p w14:paraId="637EC1DF">
      <w:pPr>
        <w:pStyle w:val="3"/>
      </w:pPr>
      <w:r>
        <w:t>[3] R. B. Laughlin, Anomalous quantum Hall effect: an incompressible quantum fluid with fractionally charged excitations, Phys. Rev. Lett. 50, 1395 (1983).</w:t>
      </w:r>
    </w:p>
    <w:p w14:paraId="05CA8992">
      <w:pPr>
        <w:pStyle w:val="3"/>
      </w:pPr>
      <w:r>
        <w:t>[4] F. D. M. Haldane, Fractional quantization of the Hall effect: a hierarchy of incompressible quantum fluid states, Phys. Rev. Lett. 51, 605 (1983).</w:t>
      </w:r>
    </w:p>
    <w:p w14:paraId="7BD458DB">
      <w:pPr>
        <w:pStyle w:val="3"/>
      </w:pPr>
      <w:r>
        <w:t>[5] J. K. Jain, Composite-fermion approach for the fractional quantum Hall effect, Phys. Rev. Lett. 63, 199 (1989); J. K. Jain, Composite Fermions, Cambridge University Press (2007).</w:t>
      </w:r>
    </w:p>
    <w:p w14:paraId="36CBEE27">
      <w:pPr>
        <w:pStyle w:val="3"/>
      </w:pPr>
      <w:r>
        <w:t>[6] A. C. Balram, Parton constructions for fractional quantum Hall states, Phys. Rev. B 102, 125121 (2020).</w:t>
      </w:r>
    </w:p>
    <w:p w14:paraId="346CBBDA">
      <w:pPr>
        <w:pStyle w:val="3"/>
      </w:pPr>
      <w:r>
        <w:t>[7] L. Saminadayar, D. C. Glattli, Y. Jin, B. Etienne, Observation of the e/3 fractionally charged Laughlin quasiparticle, Phys. Rev. Lett. 79, 2526 (1997).</w:t>
      </w:r>
    </w:p>
    <w:p w14:paraId="1F9D0E4E">
      <w:pPr>
        <w:pStyle w:val="3"/>
      </w:pPr>
      <w:r>
        <w:t>[8] V. J. Goldman, B. Su, Resonant tunneling in the quantum Hall regime: measurement of fractional charge, Science 267, 1010 (1995).</w:t>
      </w:r>
    </w:p>
    <w:p w14:paraId="448F21BC">
      <w:pPr>
        <w:pStyle w:val="3"/>
      </w:pPr>
      <w:r>
        <w:t>[9] C. L. Kane, M. P. A. Fisher, Shot noise in a fractional quantum Hall point contact at filling factor 1/3, Phys. Rev. Lett. 72, 724 (1994).</w:t>
      </w:r>
    </w:p>
    <w:p w14:paraId="2B0D020D">
      <w:pPr>
        <w:pStyle w:val="3"/>
      </w:pPr>
      <w:r>
        <w:t>[10] S. M. Girvin, A. H. MacDonald, P. M. Platzman, Magnetoexciton and spin-wave dispersion in the fractional quantum Hall effect, Phys. Rev. B 33, 2481 (1986).</w:t>
      </w:r>
    </w:p>
    <w:p w14:paraId="6183D596">
      <w:pPr>
        <w:pStyle w:val="3"/>
      </w:pPr>
      <w:r>
        <w:t>[11] F. D. M. Haldane, Geometrical description of the fractional quantum Hall effect, Phys. Rev. Lett. 107, 116801 (2011).</w:t>
      </w:r>
    </w:p>
    <w:p w14:paraId="2A9EB9BC">
      <w:pPr>
        <w:pStyle w:val="3"/>
      </w:pPr>
      <w:r>
        <w:t>[12] B. Yang, F. D. M. Haldane, Nature of quasielectrons and the continuum of neutral bulk excitations in Laughlin quantum Hall fluids, Phys. Rev. Lett. 112, 026804 (2014).</w:t>
      </w:r>
    </w:p>
    <w:p w14:paraId="10AC06BE">
      <w:pPr>
        <w:pStyle w:val="3"/>
      </w:pPr>
      <w:r>
        <w:t>[13] J. Liang, Z. Liu, Z. Yang, Y. Huang, U. Wurstbauer, C. R. Dean, K. W. West, L. N. Pfeiffer, L. Du, A. Pinczuk, Evidence for chiral graviton modes in fractional quantum Hall liquids, Nature 628, 78–83 (2024). DOI: 10.1038/s41586-024-07201-w</w:t>
      </w:r>
    </w:p>
    <w:p w14:paraId="7A93AB89">
      <w:pPr>
        <w:pStyle w:val="3"/>
      </w:pPr>
      <w:r>
        <w:t>[14] Z. Yang, Y. Wang, L. Du et al., Emergent partons and multiple graviton modes in fractional quantum Hall liquids, Nature Physics (2026). DOI: 10.1038/s41567-026-03338-9</w:t>
      </w:r>
    </w:p>
    <w:p w14:paraId="307158ED">
      <w:pPr>
        <w:pStyle w:val="3"/>
      </w:pPr>
      <w:r>
        <w:t>[15] L. N. Pfeiffer, K. W. West, High-mobility GaAs/AlGaAs heterostructures for quantum transport studies, IEEE J. Quantum Electron. 28, 1790 (1992).</w:t>
      </w:r>
    </w:p>
    <w:p w14:paraId="1EB56376">
      <w:pPr>
        <w:pStyle w:val="3"/>
      </w:pPr>
      <w:r>
        <w:t>[16] CODATA, Recommended values of the fundamental physical constants (2018).</w:t>
      </w:r>
    </w:p>
    <w:p w14:paraId="6F69E6D4">
      <w:pPr>
        <w:pStyle w:val="3"/>
      </w:pPr>
      <w:r>
        <w:t>[17] Particle Data Group, Review of Particle Physics, Prog. Theor. Exp. Phys. 2024, 083C01.</w:t>
      </w:r>
    </w:p>
    <w:p w14:paraId="1A801098">
      <w:pPr>
        <w:pStyle w:val="3"/>
      </w:pPr>
      <w:r>
        <w:t>[18] X.-G. Wen, Topological orders and edge excitations in fractional quantum Hall states, Adv. Phys. 44, 405 (1995).</w:t>
      </w:r>
    </w:p>
    <w:p w14:paraId="7F295136">
      <w:pPr>
        <w:pStyle w:val="3"/>
      </w:pPr>
      <w:bookmarkStart w:id="35" w:name="_GoBack"/>
      <w:bookmarkEnd w:id="35"/>
    </w:p>
    <w:bookmarkEnd w:id="0"/>
    <w:bookmarkEnd w:id="3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69056E2"/>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1194</Words>
  <Characters>7992</Characters>
  <Lines>283</Lines>
  <Paragraphs>310</Paragraphs>
  <TotalTime>4</TotalTime>
  <ScaleCrop>false</ScaleCrop>
  <LinksUpToDate>false</LinksUpToDate>
  <CharactersWithSpaces>9119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2026-09-26T00:23:00Z</dcterms:created>
  <dc:creator>迈斯纳效应</dc:creator>
  <cp:lastModifiedBy>迈斯纳效应</cp:lastModifiedBy>
  <dcterms:modified xsi:type="dcterms:W3CDTF">2026-09-26T00:25:24Z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5720248C31504307B342C046A9F38FD5_12</vt:lpwstr>
  </property>
</Properties>
</file>