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0C2AB" w14:textId="1A9C3604" w:rsidR="001323C7" w:rsidRDefault="001323C7">
      <w:pPr>
        <w:rPr>
          <w:b/>
        </w:rPr>
      </w:pPr>
      <w:r w:rsidRPr="001323C7">
        <w:rPr>
          <w:b/>
        </w:rPr>
        <w:t>Gintare Bucaite</w:t>
      </w:r>
      <w:r>
        <w:rPr>
          <w:b/>
        </w:rPr>
        <w:t xml:space="preserve"> </w:t>
      </w:r>
      <w:r>
        <w:rPr>
          <w:b/>
        </w:rPr>
        <w:tab/>
      </w:r>
      <w:hyperlink r:id="rId6" w:history="1">
        <w:r w:rsidRPr="006D0DAE">
          <w:rPr>
            <w:rStyle w:val="Hyperlink"/>
            <w:b/>
          </w:rPr>
          <w:t>gintare.bucaite@kcl.ac.uk</w:t>
        </w:r>
      </w:hyperlink>
      <w:r w:rsidRPr="001323C7">
        <w:rPr>
          <w:b/>
        </w:rPr>
        <w:t xml:space="preserve"> </w:t>
      </w:r>
    </w:p>
    <w:p w14:paraId="207E159E" w14:textId="44BDCBA4" w:rsidR="001323C7" w:rsidRPr="001323C7" w:rsidRDefault="001323C7">
      <w:pPr>
        <w:rPr>
          <w:b/>
        </w:rPr>
      </w:pPr>
      <w:r>
        <w:rPr>
          <w:b/>
        </w:rPr>
        <w:t xml:space="preserve">Challenge task for </w:t>
      </w:r>
      <w:proofErr w:type="spellStart"/>
      <w:r>
        <w:rPr>
          <w:b/>
        </w:rPr>
        <w:t>ElectronRx</w:t>
      </w:r>
      <w:proofErr w:type="spellEnd"/>
    </w:p>
    <w:p w14:paraId="4904868F" w14:textId="77777777" w:rsidR="001323C7" w:rsidRDefault="001323C7">
      <w:pPr>
        <w:rPr>
          <w:b/>
          <w:sz w:val="28"/>
        </w:rPr>
      </w:pPr>
    </w:p>
    <w:p w14:paraId="7B868285" w14:textId="7251D926" w:rsidR="001323C7" w:rsidRPr="001323C7" w:rsidRDefault="001323C7">
      <w:pPr>
        <w:rPr>
          <w:b/>
          <w:sz w:val="28"/>
        </w:rPr>
      </w:pPr>
      <w:r w:rsidRPr="001323C7">
        <w:rPr>
          <w:b/>
          <w:sz w:val="28"/>
        </w:rPr>
        <w:t xml:space="preserve">Introduction </w:t>
      </w:r>
    </w:p>
    <w:p w14:paraId="4F7F2DC8" w14:textId="78D884D4" w:rsidR="001323C7" w:rsidRDefault="001323C7"/>
    <w:p w14:paraId="4CC9554F" w14:textId="30096416" w:rsidR="001323C7" w:rsidRDefault="001323C7" w:rsidP="001323C7">
      <w:pPr>
        <w:jc w:val="both"/>
      </w:pPr>
      <w:r>
        <w:t xml:space="preserve">Ischemic stroke occurs when arteries supplying blood to the brain become narrowed or blocked, usually by a clot, resulting in reduced blood flow. In the UK alone, there are more than 100,000 stroke incidences each year, making the stroke fourth biggest killer with economic burden of approximately £26 billion a year </w:t>
      </w:r>
      <w:r>
        <w:fldChar w:fldCharType="begin" w:fldLock="1"/>
      </w:r>
      <w:r>
        <w:instrText>ADDIN CSL_CITATION {"citationItems":[{"id":"ITEM-1","itemData":{"author":[{"dropping-particle":"","family":"Stroke Association","given":"","non-dropping-particle":"","parse-names":false,"suffix":""}],"id":"ITEM-1","issue":"February","issued":{"date-parts":[["2018"]]},"title":"State of the nation Stroke statistics - Februrary 2018","type":"report"},"uris":["http://www.mendeley.com/documents/?uuid=cc9a7013-43d2-4a67-9636-049cd36520e4"]}],"mendeley":{"formattedCitation":"(1)","plainTextFormattedCitation":"(1)","previouslyFormattedCitation":"(1)"},"properties":{"noteIndex":0},"schema":"https://github.com/citation-style-language/schema/raw/master/csl-citation.json"}</w:instrText>
      </w:r>
      <w:r>
        <w:fldChar w:fldCharType="separate"/>
      </w:r>
      <w:r w:rsidRPr="001323C7">
        <w:rPr>
          <w:noProof/>
        </w:rPr>
        <w:t>(1)</w:t>
      </w:r>
      <w:r>
        <w:fldChar w:fldCharType="end"/>
      </w:r>
      <w:r>
        <w:t xml:space="preserve">. </w:t>
      </w:r>
      <w:r>
        <w:t>The rate of first</w:t>
      </w:r>
      <w:r>
        <w:t xml:space="preserve"> </w:t>
      </w:r>
      <w:r>
        <w:t>time strokes in people aged 45 and over</w:t>
      </w:r>
      <w:r>
        <w:t xml:space="preserve"> </w:t>
      </w:r>
      <w:r>
        <w:t>is</w:t>
      </w:r>
      <w:r>
        <w:t xml:space="preserve"> </w:t>
      </w:r>
      <w:r>
        <w:t xml:space="preserve">expected to increase by 59% in the next </w:t>
      </w:r>
      <w:r>
        <w:t xml:space="preserve">20 years </w:t>
      </w:r>
      <w:r>
        <w:fldChar w:fldCharType="begin" w:fldLock="1"/>
      </w:r>
      <w:r>
        <w:instrText>ADDIN CSL_CITATION {"citationItems":[{"id":"ITEM-1","itemData":{"abstract":"Current, future and avoidable costs of stroke in the UK","author":[{"dropping-particle":"","family":"Patel","given":"Anita","non-dropping-particle":"","parse-names":false,"suffix":""},{"dropping-particle":"","family":"Berdunov","given":"Vladislav","non-dropping-particle":"","parse-names":false,"suffix":""},{"dropping-particle":"","family":"King","given":"Derek","non-dropping-particle":"","parse-names":false,"suffix":""},{"dropping-particle":"","family":"Quayyum","given":"Zahidul","non-dropping-particle":"","parse-names":false,"suffix":""},{"dropping-particle":"","family":"Wittenberg","given":"Raphael","non-dropping-particle":"","parse-names":false,"suffix":""},{"dropping-particle":"","family":"Knapp","given":"Martin","non-dropping-particle":"","parse-names":false,"suffix":""}],"container-title":"Stroke Association","id":"ITEM-1","issued":{"date-parts":[["2017"]]},"number-of-pages":"12","title":"Current, future and avoidable costs of stroke in the UK, Executive summary Part 2","type":"report"},"uris":["http://www.mendeley.com/documents/?uuid=5c6daa0d-aba6-44a3-b590-d8a95e1fc3e0"]}],"mendeley":{"formattedCitation":"(2)","plainTextFormattedCitation":"(2)","previouslyFormattedCitation":"(2)"},"properties":{"noteIndex":0},"schema":"https://github.com/citation-style-language/schema/raw/master/csl-citation.json"}</w:instrText>
      </w:r>
      <w:r>
        <w:fldChar w:fldCharType="separate"/>
      </w:r>
      <w:r w:rsidRPr="001323C7">
        <w:rPr>
          <w:noProof/>
        </w:rPr>
        <w:t>(2)</w:t>
      </w:r>
      <w:r>
        <w:fldChar w:fldCharType="end"/>
      </w:r>
      <w:r>
        <w:t xml:space="preserve"> and around two thirds of stroke survivors leave hospital with disability. </w:t>
      </w:r>
    </w:p>
    <w:p w14:paraId="1F177753" w14:textId="0AADF909" w:rsidR="001323C7" w:rsidRDefault="001323C7" w:rsidP="001323C7">
      <w:pPr>
        <w:jc w:val="both"/>
      </w:pPr>
    </w:p>
    <w:p w14:paraId="0B371A85" w14:textId="05AF1DCE" w:rsidR="001323C7" w:rsidRDefault="001323C7" w:rsidP="001323C7">
      <w:pPr>
        <w:jc w:val="both"/>
      </w:pPr>
      <w:r>
        <w:t>There is a number of modifiable risk factors associated with stroke, such as hypertension (</w:t>
      </w:r>
      <w:r>
        <w:t>high blood pressure</w:t>
      </w:r>
      <w:r>
        <w:t xml:space="preserve">), high blood cholesterol, diabetes (type 2), being overweight, smoking, alcohol consumption, drug use and lack of physical exercise </w:t>
      </w:r>
      <w:r>
        <w:fldChar w:fldCharType="begin" w:fldLock="1"/>
      </w:r>
      <w:r>
        <w:instrText>ADDIN CSL_CITATION {"citationItems":[{"id":"ITEM-1","itemData":{"author":[{"dropping-particle":"","family":"Stroke Association","given":"","non-dropping-particle":"","parse-names":false,"suffix":""}],"id":"ITEM-1","issue":"February","issued":{"date-parts":[["2018"]]},"title":"State of the nation Stroke statistics - Februrary 2018","type":"report"},"uris":["http://www.mendeley.com/documents/?uuid=cc9a7013-43d2-4a67-9636-049cd36520e4"]},{"id":"ITEM-2","itemData":{"DOI":"10.1161/CIRCRESAHA.116.308398","ISSN":"0009-7330","abstract":"Stroke is a heterogeneous syndrome, and determining risk factors and treatment depends on the specific pathogenesis of stroke. Risk factors for stroke can be categorized as modifiable and nonmodifiable. Age, sex, and race/ethnicity are nonmodifiable risk factors for both ischemic and hemorrhagic stroke, while hypertension, smoking, diet, and physical inactivity are among some of the more commonly reported modifiable risk factors. More recently described risk factors and triggers of stroke include inflammatory disorders, infection, pollution, and cardiac atrial disorders independent of atrial fibrillation. Single-gene disorders may cause rare, hereditary disorders for which stroke is a primary manifestation. Recent research also suggests that common and rare genetic polymorphisms can influence risk of more common causes of stroke, due to both other risk factors and specific stroke mechanisms, such as atrial fibrillation. Genetic factors, particularly those with environmental interactions, may be more modif...","author":[{"dropping-particle":"","family":"Boehme","given":"Amelia K.","non-dropping-particle":"","parse-names":false,"suffix":""},{"dropping-particle":"","family":"Esenwa","given":"Charles","non-dropping-particle":"","parse-names":false,"suffix":""},{"dropping-particle":"","family":"Elkind","given":"Mitchell S.V.","non-dropping-particle":"","parse-names":false,"suffix":""}],"container-title":"Circulation Research","id":"ITEM-2","issue":"3","issued":{"date-parts":[["2017","2","3"]]},"page":"472-495","title":"Stroke Risk Factors, Genetics, and Prevention","type":"article-journal","volume":"120"},"uris":["http://www.mendeley.com/documents/?uuid=9ec3a9ef-d231-4e94-9d5b-c0c5d9ac1908"]}],"mendeley":{"formattedCitation":"(1, 3)","plainTextFormattedCitation":"(1, 3)","previouslyFormattedCitation":"(1, 3)"},"properties":{"noteIndex":0},"schema":"https://github.com/citation-style-language/schema/raw/master/csl-citation.json"}</w:instrText>
      </w:r>
      <w:r>
        <w:fldChar w:fldCharType="separate"/>
      </w:r>
      <w:r w:rsidRPr="001323C7">
        <w:rPr>
          <w:noProof/>
        </w:rPr>
        <w:t>(1, 3)</w:t>
      </w:r>
      <w:r>
        <w:fldChar w:fldCharType="end"/>
      </w:r>
      <w:r>
        <w:t xml:space="preserve">. In some studies, hypertension was regarded as the most important stroke factor </w:t>
      </w:r>
      <w:r>
        <w:fldChar w:fldCharType="begin" w:fldLock="1"/>
      </w:r>
      <w:r>
        <w:instrText>ADDIN CSL_CITATION {"citationItems":[{"id":"ITEM-1","itemData":{"DOI":"10.1016/S0140-6736(10)60834-3","ISSN":"01406736","abstract":"Background The contribution of various risk factors to the burden of stroke worldwide is unknown, particularly in countries of low and middle income. We aimed to establish the association of known and emerging risk factors with stroke and its primary subtypes, assess the contribution of these risk factors to the burden of stroke, and explore the differences between risk factors for stroke and myocardial infarction. Methods We undertook a standardised case-control study in 22 countries worldwide between March 1, 2007, and April 23, 2010. Cases were patients with acute first stroke (within 5 days of symptoms onset and 72 h of hospital admission). Controls had no history of stroke, and were matched with cases for age and sex. All participants completed a structured questionnaire and a physical examination, and most provided blood and urine samples. We calculated odds ratios (ORs) and population-attributable risks (PARs) for the association of all stroke, ischaemic stroke, and intracerebral haemorrhagic stroke with selected risk factors. Findings In the first 3000 cases (n=2337, 78%, with ischaemic stroke; n=663, 22%, with intracerebral haemorrhagic stroke) and 3000 controls, significant risk factors for all stroke were: history of hypertension (OR 2·64, 99% CI 2·26-3·08; PAR 34·6%, 99% CI 30·4-39·1); current smoking (2·09, 1·75-2·51; 18·9%, 15·3-23·1); waist-to-hip ratio (1·65, 1·36-1·99 for highest vs lowest tertile; 26·5%, 18·8-36·0); diet risk score (1·35, 1·11-1·64 for highest vs lowest tertile; 18·8%, 11·2-29·7); regular physical activity (0·69, 0·53-0·90; 28·5%, 14·5-48·5); diabetes mellitus (1·36, 1·10-1·68; 5·0%, 2·6-9·5); alcohol intake (1·51, 1·18-1·92 for more than 30 drinks per month or binge drinking; 3·8%, 0·9-14·4); psychosocial stress (1·30, 1·06- 1·60; 4·6%, 2·1-9·6) and depression (1·35, 1·10-1·66; 5·2%, 2·7-9·8); cardiac causes (2·38, 1·77-3·20; 6·7%, 4·8-9·1); and ratio of apolipoproteins B to A1 (1·89, 1·49-2·40 for highest vs lowest tertile; 24·9%, 15·7-37·1). Collectively, these risk factors accounted for 88·1% (99% CI 82·3-92·2) of the PAR for all stroke. When an alternate definition of hypertension was used (history of hypertension or blood pressure &gt;160/90 mm Hg), the combined PAR was 90·3% (85·3-93·7) for all stroke. These risk factors were all significant for ischaemic stroke, whereas hypertension, smoking, waist-to-hip ratio, diet, and alcohol intake were significant risk factors for intracerebral haemorrhagic stroke. Interpret…","author":[{"dropping-particle":"","family":"O'Donnell","given":"Martin J.","non-dropping-particle":"","parse-names":false,"suffix":""},{"dropping-particle":"","family":"Xavier","given":"Denis","non-dropping-particle":"","parse-names":false,"suffix":""},{"dropping-particle":"","family":"Liu","given":"Lisheng","non-dropping-particle":"","parse-names":false,"suffix":""},{"dropping-particle":"","family":"Zhang","given":"Hongye","non-dropping-particle":"","parse-names":false,"suffix":""},{"dropping-particle":"","family":"Chin","given":"Siu Lim","non-dropping-particle":"","parse-names":false,"suffix":""},{"dropping-particle":"","family":"Rao-Melacini","given":"Purnima","non-dropping-particle":"","parse-names":false,"suffix":""},{"dropping-particle":"","family":"Rangarajan","given":"Sumathy","non-dropping-particle":"","parse-names":false,"suffix":""},{"dropping-particle":"","family":"Islam","given":"Shofiqul","non-dropping-particle":"","parse-names":false,"suffix":""},{"dropping-particle":"","family":"Pais","given":"Prem","non-dropping-particle":"","parse-names":false,"suffix":""},{"dropping-particle":"","family":"McQueen","given":"Matthew J.","non-dropping-particle":"","parse-names":false,"suffix":""},{"dropping-particle":"","family":"Mondo","given":"Charles","non-dropping-particle":"","parse-names":false,"suffix":""},{"dropping-particle":"","family":"Damasceno","given":"Albertino","non-dropping-particle":"","parse-names":false,"suffix":""},{"dropping-particle":"","family":"Lopez-Jaramillo","given":"Patricio","non-dropping-particle":"","parse-names":false,"suffix":""},{"dropping-particle":"","family":"Hankey","given":"Graeme J.","non-dropping-particle":"","parse-names":false,"suffix":""},{"dropping-particle":"","family":"Dans","given":"Antonio L.","non-dropping-particle":"","parse-names":false,"suffix":""},{"dropping-particle":"","family":"Yusoff","given":"Khalid","non-dropping-particle":"","parse-names":false,"suffix":""},{"dropping-particle":"","family":"Truelsen","given":"Thomas","non-dropping-particle":"","parse-names":false,"suffix":""},{"dropping-particle":"","family":"Diener","given":"Hans-Christoph","non-dropping-particle":"","parse-names":false,"suffix":""},{"dropping-particle":"","family":"Sacco","given":"Ralph L.","non-dropping-particle":"","parse-names":false,"suffix":""},{"dropping-particle":"","family":"Ryglewicz","given":"Danuta","non-dropping-particle":"","parse-names":false,"suffix":""},{"dropping-particle":"","family":"Czlonkowska","given":"Anna","non-dropping-particle":"","parse-names":false,"suffix":""},{"dropping-particle":"","family":"Weimar","given":"Christian","non-dropping-particle":"","parse-names":false,"suffix":""},{"dropping-particle":"","family":"Wang","given":"Xingyu","non-dropping-particle":"","parse-names":false,"suffix":""},{"dropping-particle":"","family":"Yusuf","given":"Salim","non-dropping-particle":"","parse-names":false,"suffix":""}],"container-title":"The Lancet","id":"ITEM-1","issue":"9735","issued":{"date-parts":[["2010","7"]]},"page":"112-123","title":"Risk factors for ischaemic and intracerebral haemorrhagic stroke in 22 countries (the INTERSTROKE study): a case-control study","type":"article-journal","volume":"376"},"uris":["http://www.mendeley.com/documents/?uuid=8b8487c3-c8b8-43e9-9020-e7fc9308902f"]}],"mendeley":{"formattedCitation":"(4)","plainTextFormattedCitation":"(4)","previouslyFormattedCitation":"(4)"},"properties":{"noteIndex":0},"schema":"https://github.com/citation-style-language/schema/raw/master/csl-citation.json"}</w:instrText>
      </w:r>
      <w:r>
        <w:fldChar w:fldCharType="separate"/>
      </w:r>
      <w:r w:rsidRPr="001323C7">
        <w:rPr>
          <w:noProof/>
        </w:rPr>
        <w:t>(4)</w:t>
      </w:r>
      <w:r>
        <w:fldChar w:fldCharType="end"/>
      </w:r>
      <w:r>
        <w:t>.</w:t>
      </w:r>
    </w:p>
    <w:p w14:paraId="02EDE4D1" w14:textId="3FE3AC13" w:rsidR="001323C7" w:rsidRDefault="001323C7" w:rsidP="001323C7">
      <w:pPr>
        <w:jc w:val="both"/>
      </w:pPr>
    </w:p>
    <w:p w14:paraId="1C4D212F" w14:textId="77777777" w:rsidR="001323C7" w:rsidRDefault="001323C7" w:rsidP="001323C7">
      <w:pPr>
        <w:jc w:val="both"/>
      </w:pPr>
    </w:p>
    <w:p w14:paraId="443ED1BA" w14:textId="39675C4D" w:rsidR="001323C7" w:rsidRPr="001323C7" w:rsidRDefault="001323C7" w:rsidP="001323C7">
      <w:pPr>
        <w:jc w:val="both"/>
        <w:rPr>
          <w:b/>
          <w:sz w:val="28"/>
        </w:rPr>
      </w:pPr>
      <w:r w:rsidRPr="001323C7">
        <w:rPr>
          <w:b/>
          <w:sz w:val="28"/>
        </w:rPr>
        <w:t>The dataset</w:t>
      </w:r>
    </w:p>
    <w:p w14:paraId="79478216" w14:textId="77777777" w:rsidR="001323C7" w:rsidRDefault="001323C7" w:rsidP="001323C7">
      <w:pPr>
        <w:jc w:val="both"/>
      </w:pPr>
    </w:p>
    <w:p w14:paraId="3AA20E22" w14:textId="0C053C36" w:rsidR="001323C7" w:rsidRDefault="001323C7" w:rsidP="001323C7">
      <w:pPr>
        <w:jc w:val="both"/>
      </w:pPr>
      <w:r>
        <w:t>The cerebral vasoregulation in elderly with stroke (</w:t>
      </w:r>
      <w:proofErr w:type="spellStart"/>
      <w:r>
        <w:t>cves</w:t>
      </w:r>
      <w:proofErr w:type="spellEnd"/>
      <w:r>
        <w:t xml:space="preserve">) </w:t>
      </w:r>
      <w:hyperlink r:id="rId7" w:anchor="background" w:history="1">
        <w:r w:rsidRPr="001323C7">
          <w:rPr>
            <w:rStyle w:val="Hyperlink"/>
          </w:rPr>
          <w:t>dataset</w:t>
        </w:r>
      </w:hyperlink>
      <w:r>
        <w:t xml:space="preserve"> contains multimodal data from a large study investigating the effects of ischemic stroke on cerebral vasoregulation. </w:t>
      </w:r>
    </w:p>
    <w:p w14:paraId="54C77991" w14:textId="6E92C887" w:rsidR="001323C7" w:rsidRDefault="001323C7" w:rsidP="001323C7">
      <w:pPr>
        <w:jc w:val="both"/>
      </w:pPr>
      <w:r>
        <w:t>This study compared 60 subjects who suffered strokes (</w:t>
      </w:r>
      <w:r w:rsidRPr="001323C7">
        <w:t>6.1±4.9 years after stroke</w:t>
      </w:r>
      <w:r>
        <w:t xml:space="preserve">) to 60 control subjects. The control subjects were sex- and age- matched with no clinical history of stroke. The dataset largely contains data collected on blood pressure </w:t>
      </w:r>
      <w:proofErr w:type="spellStart"/>
      <w:r>
        <w:t>numerics</w:t>
      </w:r>
      <w:proofErr w:type="spellEnd"/>
      <w:r>
        <w:t xml:space="preserve">. </w:t>
      </w:r>
    </w:p>
    <w:p w14:paraId="471E0A70" w14:textId="668335B0" w:rsidR="001323C7" w:rsidRDefault="001323C7" w:rsidP="001323C7">
      <w:pPr>
        <w:jc w:val="both"/>
      </w:pPr>
    </w:p>
    <w:p w14:paraId="4B907FB5" w14:textId="28476DAB" w:rsidR="001323C7" w:rsidRPr="001323C7" w:rsidRDefault="001323C7" w:rsidP="001323C7">
      <w:pPr>
        <w:jc w:val="both"/>
      </w:pPr>
      <w:r w:rsidRPr="001323C7">
        <w:t xml:space="preserve">Functional recovery after stroke depends upon integrity of cerebral vasoregulation. </w:t>
      </w:r>
      <w:r>
        <w:t>The data for this dataset was collected to test</w:t>
      </w:r>
      <w:r w:rsidRPr="001323C7">
        <w:t xml:space="preserve"> 3 hypotheses:</w:t>
      </w:r>
    </w:p>
    <w:p w14:paraId="018028CF" w14:textId="77777777" w:rsidR="001323C7" w:rsidRPr="001323C7" w:rsidRDefault="001323C7" w:rsidP="001323C7">
      <w:pPr>
        <w:numPr>
          <w:ilvl w:val="0"/>
          <w:numId w:val="2"/>
        </w:numPr>
        <w:jc w:val="both"/>
      </w:pPr>
      <w:r w:rsidRPr="001323C7">
        <w:t>Older adults with ischemic stroke have impaired cerebral vasoregulation, rendering cerebral blood flow dependent on blood pressure.</w:t>
      </w:r>
    </w:p>
    <w:p w14:paraId="2CAA4FD0" w14:textId="77777777" w:rsidR="001323C7" w:rsidRPr="001323C7" w:rsidRDefault="001323C7" w:rsidP="001323C7">
      <w:pPr>
        <w:numPr>
          <w:ilvl w:val="0"/>
          <w:numId w:val="2"/>
        </w:numPr>
        <w:jc w:val="both"/>
      </w:pPr>
      <w:r w:rsidRPr="001323C7">
        <w:t>Autonomic blood pressure control is impaired after stroke. Activities of daily living may induce hypotension, posing a risk of hypoperfusion.</w:t>
      </w:r>
    </w:p>
    <w:p w14:paraId="1CC4A466" w14:textId="77777777" w:rsidR="001323C7" w:rsidRPr="001323C7" w:rsidRDefault="001323C7" w:rsidP="001323C7">
      <w:pPr>
        <w:numPr>
          <w:ilvl w:val="0"/>
          <w:numId w:val="2"/>
        </w:numPr>
        <w:jc w:val="both"/>
      </w:pPr>
      <w:r w:rsidRPr="001323C7">
        <w:t xml:space="preserve">The distribution of impaired vasoreactivity extends beyond the infarct region into surrounding </w:t>
      </w:r>
      <w:proofErr w:type="spellStart"/>
      <w:r w:rsidRPr="001323C7">
        <w:t>gray</w:t>
      </w:r>
      <w:proofErr w:type="spellEnd"/>
      <w:r w:rsidRPr="001323C7">
        <w:t xml:space="preserve"> and white matter, affecting other vascular territories.</w:t>
      </w:r>
    </w:p>
    <w:p w14:paraId="66DEE89D" w14:textId="7B6FE28A" w:rsidR="001323C7" w:rsidRDefault="001323C7" w:rsidP="001323C7">
      <w:pPr>
        <w:jc w:val="both"/>
      </w:pPr>
    </w:p>
    <w:p w14:paraId="0E52C651" w14:textId="77777777" w:rsidR="001323C7" w:rsidRDefault="001323C7" w:rsidP="001323C7">
      <w:pPr>
        <w:jc w:val="both"/>
      </w:pPr>
    </w:p>
    <w:p w14:paraId="2E5C3CFD" w14:textId="6297787E" w:rsidR="001323C7" w:rsidRDefault="001323C7">
      <w:pPr>
        <w:rPr>
          <w:b/>
          <w:sz w:val="28"/>
        </w:rPr>
      </w:pPr>
      <w:r w:rsidRPr="001323C7">
        <w:rPr>
          <w:b/>
          <w:sz w:val="28"/>
        </w:rPr>
        <w:t xml:space="preserve">The task </w:t>
      </w:r>
    </w:p>
    <w:p w14:paraId="67F663B8" w14:textId="725C83E6" w:rsidR="001323C7" w:rsidRDefault="001323C7">
      <w:pPr>
        <w:rPr>
          <w:b/>
          <w:sz w:val="28"/>
        </w:rPr>
      </w:pPr>
    </w:p>
    <w:p w14:paraId="623D0AA2" w14:textId="12372FFD" w:rsidR="001323C7" w:rsidRDefault="001323C7">
      <w:r>
        <w:t>Here, the described dataset was employed for a machine learning task. General questions asked were:</w:t>
      </w:r>
    </w:p>
    <w:p w14:paraId="6A38BA80" w14:textId="0C4607C9" w:rsidR="001323C7" w:rsidRDefault="001323C7" w:rsidP="001323C7">
      <w:pPr>
        <w:pStyle w:val="ListParagraph"/>
        <w:numPr>
          <w:ilvl w:val="0"/>
          <w:numId w:val="4"/>
        </w:numPr>
      </w:pPr>
      <w:r w:rsidRPr="001323C7">
        <w:t>Explore the data, generating visualisations for a subset of the feature columns. What is the clinical significance of these features? How are the features distributed?</w:t>
      </w:r>
    </w:p>
    <w:p w14:paraId="75A571A6" w14:textId="275A1A91" w:rsidR="001323C7" w:rsidRDefault="001323C7" w:rsidP="001323C7">
      <w:pPr>
        <w:pStyle w:val="ListParagraph"/>
        <w:numPr>
          <w:ilvl w:val="0"/>
          <w:numId w:val="4"/>
        </w:numPr>
      </w:pPr>
      <w:r w:rsidRPr="001323C7">
        <w:t>Identify the clinical features which are most correlated with stroke?</w:t>
      </w:r>
    </w:p>
    <w:p w14:paraId="46BA010C" w14:textId="2AEF9D61" w:rsidR="001323C7" w:rsidRDefault="001323C7" w:rsidP="001323C7">
      <w:pPr>
        <w:pStyle w:val="ListParagraph"/>
        <w:numPr>
          <w:ilvl w:val="0"/>
          <w:numId w:val="4"/>
        </w:numPr>
      </w:pPr>
      <w:r w:rsidRPr="001323C7">
        <w:t xml:space="preserve">Use these features to train a machine learning classifier, predicting stroke based </w:t>
      </w:r>
      <w:r>
        <w:t>o</w:t>
      </w:r>
      <w:r w:rsidRPr="001323C7">
        <w:t>n a subset of the available features. How does this model perform?</w:t>
      </w:r>
    </w:p>
    <w:p w14:paraId="584E2B7A" w14:textId="77777777" w:rsidR="001323C7" w:rsidRDefault="001323C7"/>
    <w:p w14:paraId="40EBD90A" w14:textId="32F21FDD" w:rsidR="001323C7" w:rsidRDefault="001323C7">
      <w:pPr>
        <w:rPr>
          <w:rFonts w:cstheme="minorHAnsi"/>
        </w:rPr>
      </w:pPr>
    </w:p>
    <w:p w14:paraId="0DBD22DA" w14:textId="58624BF7" w:rsidR="001323C7" w:rsidRPr="001323C7" w:rsidRDefault="001323C7">
      <w:pPr>
        <w:rPr>
          <w:rFonts w:cstheme="minorHAnsi"/>
        </w:rPr>
      </w:pPr>
      <w:r>
        <w:rPr>
          <w:rFonts w:cstheme="minorHAnsi"/>
        </w:rPr>
        <w:t xml:space="preserve">The task described here is a classification problem. Therefore, a supervised learning model was built to identify patients who belong to either (1) healthy control or (2) stroke group. </w:t>
      </w:r>
    </w:p>
    <w:p w14:paraId="3AED8385" w14:textId="44DB4621" w:rsidR="001323C7" w:rsidRDefault="001323C7">
      <w:pPr>
        <w:rPr>
          <w:sz w:val="22"/>
        </w:rPr>
      </w:pPr>
    </w:p>
    <w:p w14:paraId="2B1E3E66" w14:textId="0D13ACD4" w:rsidR="001323C7" w:rsidRDefault="001323C7">
      <w:pPr>
        <w:rPr>
          <w:rFonts w:cstheme="minorHAnsi"/>
          <w:b/>
          <w:sz w:val="28"/>
        </w:rPr>
      </w:pPr>
      <w:r>
        <w:rPr>
          <w:rFonts w:cstheme="minorHAnsi"/>
          <w:b/>
          <w:sz w:val="28"/>
        </w:rPr>
        <w:t>Initial</w:t>
      </w:r>
      <w:r w:rsidRPr="001323C7">
        <w:rPr>
          <w:rFonts w:cstheme="minorHAnsi"/>
          <w:b/>
          <w:sz w:val="28"/>
        </w:rPr>
        <w:t xml:space="preserve"> data analysis</w:t>
      </w:r>
    </w:p>
    <w:p w14:paraId="4388A2D2" w14:textId="6BDB25E8" w:rsidR="001323C7" w:rsidRDefault="001323C7">
      <w:pPr>
        <w:rPr>
          <w:rFonts w:cstheme="minorHAnsi"/>
          <w:b/>
          <w:sz w:val="28"/>
        </w:rPr>
      </w:pPr>
    </w:p>
    <w:p w14:paraId="08B1B8F2" w14:textId="61650ECD" w:rsidR="001323C7" w:rsidRDefault="001323C7">
      <w:pPr>
        <w:rPr>
          <w:rFonts w:cstheme="minorHAnsi"/>
        </w:rPr>
      </w:pPr>
      <w:r>
        <w:rPr>
          <w:rFonts w:cstheme="minorHAnsi"/>
        </w:rPr>
        <w:t xml:space="preserve">The dataset was cleaned up to include the entries where the patients have completed the visits. There was a large number of features of missing values, therefore the missing values were filling with the mean of the column. While this process may introduce bias, it allowed to maintain the richness of the dataset before the feature selection. </w:t>
      </w:r>
    </w:p>
    <w:p w14:paraId="7CF5AC34" w14:textId="77777777" w:rsidR="001323C7" w:rsidRDefault="001323C7">
      <w:pPr>
        <w:rPr>
          <w:rFonts w:cstheme="minorHAnsi"/>
        </w:rPr>
      </w:pPr>
    </w:p>
    <w:p w14:paraId="0F05771E" w14:textId="54697139" w:rsidR="001323C7" w:rsidRDefault="001323C7">
      <w:pPr>
        <w:rPr>
          <w:rFonts w:cstheme="minorHAnsi"/>
        </w:rPr>
      </w:pPr>
      <w:r>
        <w:rPr>
          <w:rFonts w:cstheme="minorHAnsi"/>
        </w:rPr>
        <w:t xml:space="preserve">First, the dataset was explored to visualise the relationships between the high-risk factors associated with stroke and the target groups (stroke or control). For example, hypertension is reported as the most important risk factor </w:t>
      </w:r>
      <w:r>
        <w:rPr>
          <w:rFonts w:cstheme="minorHAnsi"/>
        </w:rPr>
        <w:fldChar w:fldCharType="begin" w:fldLock="1"/>
      </w:r>
      <w:r>
        <w:rPr>
          <w:rFonts w:cstheme="minorHAnsi"/>
        </w:rPr>
        <w:instrText>ADDIN CSL_CITATION {"citationItems":[{"id":"ITEM-1","itemData":{"DOI":"10.1016/S0140-6736(10)60834-3","ISSN":"01406736","abstract":"Background The contribution of various risk factors to the burden of stroke worldwide is unknown, particularly in countries of low and middle income. We aimed to establish the association of known and emerging risk factors with stroke and its primary subtypes, assess the contribution of these risk factors to the burden of stroke, and explore the differences between risk factors for stroke and myocardial infarction. Methods We undertook a standardised case-control study in 22 countries worldwide between March 1, 2007, and April 23, 2010. Cases were patients with acute first stroke (within 5 days of symptoms onset and 72 h of hospital admission). Controls had no history of stroke, and were matched with cases for age and sex. All participants completed a structured questionnaire and a physical examination, and most provided blood and urine samples. We calculated odds ratios (ORs) and population-attributable risks (PARs) for the association of all stroke, ischaemic stroke, and intracerebral haemorrhagic stroke with selected risk factors. Findings In the first 3000 cases (n=2337, 78%, with ischaemic stroke; n=663, 22%, with intracerebral haemorrhagic stroke) and 3000 controls, significant risk factors for all stroke were: history of hypertension (OR 2·64, 99% CI 2·26-3·08; PAR 34·6%, 99% CI 30·4-39·1); current smoking (2·09, 1·75-2·51; 18·9%, 15·3-23·1); waist-to-hip ratio (1·65, 1·36-1·99 for highest vs lowest tertile; 26·5%, 18·8-36·0); diet risk score (1·35, 1·11-1·64 for highest vs lowest tertile; 18·8%, 11·2-29·7); regular physical activity (0·69, 0·53-0·90; 28·5%, 14·5-48·5); diabetes mellitus (1·36, 1·10-1·68; 5·0%, 2·6-9·5); alcohol intake (1·51, 1·18-1·92 for more than 30 drinks per month or binge drinking; 3·8%, 0·9-14·4); psychosocial stress (1·30, 1·06- 1·60; 4·6%, 2·1-9·6) and depression (1·35, 1·10-1·66; 5·2%, 2·7-9·8); cardiac causes (2·38, 1·77-3·20; 6·7%, 4·8-9·1); and ratio of apolipoproteins B to A1 (1·89, 1·49-2·40 for highest vs lowest tertile; 24·9%, 15·7-37·1). Collectively, these risk factors accounted for 88·1% (99% CI 82·3-92·2) of the PAR for all stroke. When an alternate definition of hypertension was used (history of hypertension or blood pressure &gt;160/90 mm Hg), the combined PAR was 90·3% (85·3-93·7) for all stroke. These risk factors were all significant for ischaemic stroke, whereas hypertension, smoking, waist-to-hip ratio, diet, and alcohol intake were significant risk factors for intracerebral haemorrhagic stroke. Interpret…","author":[{"dropping-particle":"","family":"O'Donnell","given":"Martin J.","non-dropping-particle":"","parse-names":false,"suffix":""},{"dropping-particle":"","family":"Xavier","given":"Denis","non-dropping-particle":"","parse-names":false,"suffix":""},{"dropping-particle":"","family":"Liu","given":"Lisheng","non-dropping-particle":"","parse-names":false,"suffix":""},{"dropping-particle":"","family":"Zhang","given":"Hongye","non-dropping-particle":"","parse-names":false,"suffix":""},{"dropping-particle":"","family":"Chin","given":"Siu Lim","non-dropping-particle":"","parse-names":false,"suffix":""},{"dropping-particle":"","family":"Rao-Melacini","given":"Purnima","non-dropping-particle":"","parse-names":false,"suffix":""},{"dropping-particle":"","family":"Rangarajan","given":"Sumathy","non-dropping-particle":"","parse-names":false,"suffix":""},{"dropping-particle":"","family":"Islam","given":"Shofiqul","non-dropping-particle":"","parse-names":false,"suffix":""},{"dropping-particle":"","family":"Pais","given":"Prem","non-dropping-particle":"","parse-names":false,"suffix":""},{"dropping-particle":"","family":"McQueen","given":"Matthew J.","non-dropping-particle":"","parse-names":false,"suffix":""},{"dropping-particle":"","family":"Mondo","given":"Charles","non-dropping-particle":"","parse-names":false,"suffix":""},{"dropping-particle":"","family":"Damasceno","given":"Albertino","non-dropping-particle":"","parse-names":false,"suffix":""},{"dropping-particle":"","family":"Lopez-Jaramillo","given":"Patricio","non-dropping-particle":"","parse-names":false,"suffix":""},{"dropping-particle":"","family":"Hankey","given":"Graeme J.","non-dropping-particle":"","parse-names":false,"suffix":""},{"dropping-particle":"","family":"Dans","given":"Antonio L.","non-dropping-particle":"","parse-names":false,"suffix":""},{"dropping-particle":"","family":"Yusoff","given":"Khalid","non-dropping-particle":"","parse-names":false,"suffix":""},{"dropping-particle":"","family":"Truelsen","given":"Thomas","non-dropping-particle":"","parse-names":false,"suffix":""},{"dropping-particle":"","family":"Diener","given":"Hans-Christoph","non-dropping-particle":"","parse-names":false,"suffix":""},{"dropping-particle":"","family":"Sacco","given":"Ralph L.","non-dropping-particle":"","parse-names":false,"suffix":""},{"dropping-particle":"","family":"Ryglewicz","given":"Danuta","non-dropping-particle":"","parse-names":false,"suffix":""},{"dropping-particle":"","family":"Czlonkowska","given":"Anna","non-dropping-particle":"","parse-names":false,"suffix":""},{"dropping-particle":"","family":"Weimar","given":"Christian","non-dropping-particle":"","parse-names":false,"suffix":""},{"dropping-particle":"","family":"Wang","given":"Xingyu","non-dropping-particle":"","parse-names":false,"suffix":""},{"dropping-particle":"","family":"Yusuf","given":"Salim","non-dropping-particle":"","parse-names":false,"suffix":""}],"container-title":"The Lancet","id":"ITEM-1","issue":"9735","issued":{"date-parts":[["2010","7"]]},"page":"112-123","title":"Risk factors for ischaemic and intracerebral haemorrhagic stroke in 22 countries (the INTERSTROKE study): a case-control study","type":"article-journal","volume":"376"},"uris":["http://www.mendeley.com/documents/?uuid=8b8487c3-c8b8-43e9-9020-e7fc9308902f"]}],"mendeley":{"formattedCitation":"(4)","plainTextFormattedCitation":"(4)","previouslyFormattedCitation":"(4)"},"properties":{"noteIndex":0},"schema":"https://github.com/citation-style-language/schema/raw/master/csl-citation.json"}</w:instrText>
      </w:r>
      <w:r>
        <w:rPr>
          <w:rFonts w:cstheme="minorHAnsi"/>
        </w:rPr>
        <w:fldChar w:fldCharType="separate"/>
      </w:r>
      <w:r w:rsidRPr="001323C7">
        <w:rPr>
          <w:rFonts w:cstheme="minorHAnsi"/>
          <w:noProof/>
        </w:rPr>
        <w:t>(4)</w:t>
      </w:r>
      <w:r>
        <w:rPr>
          <w:rFonts w:cstheme="minorHAnsi"/>
        </w:rPr>
        <w:fldChar w:fldCharType="end"/>
      </w:r>
      <w:r>
        <w:rPr>
          <w:rFonts w:cstheme="minorHAnsi"/>
        </w:rPr>
        <w:t xml:space="preserve"> and it is reflected in Table 1 and Figure 1. </w:t>
      </w:r>
    </w:p>
    <w:p w14:paraId="173D49DE" w14:textId="2FF932ED" w:rsidR="001323C7" w:rsidRDefault="001323C7">
      <w:pPr>
        <w:rPr>
          <w:rFonts w:cstheme="minorHAnsi"/>
        </w:rPr>
      </w:pPr>
      <w:r w:rsidRPr="001323C7">
        <w:rPr>
          <w:rFonts w:cstheme="minorHAnsi"/>
          <w:noProof/>
        </w:rPr>
        <w:drawing>
          <wp:anchor distT="0" distB="0" distL="114300" distR="114300" simplePos="0" relativeHeight="251658240" behindDoc="0" locked="0" layoutInCell="1" allowOverlap="1" wp14:anchorId="4D94C32C" wp14:editId="0A799285">
            <wp:simplePos x="0" y="0"/>
            <wp:positionH relativeFrom="column">
              <wp:posOffset>3482340</wp:posOffset>
            </wp:positionH>
            <wp:positionV relativeFrom="paragraph">
              <wp:posOffset>130175</wp:posOffset>
            </wp:positionV>
            <wp:extent cx="2936875" cy="2115185"/>
            <wp:effectExtent l="0" t="0" r="0" b="0"/>
            <wp:wrapSquare wrapText="bothSides"/>
            <wp:docPr id="1" name="Picture 1" descr="/var/folders/cr/lq385nrn3fz1p3h4msffp55h0000gn/T/com.microsoft.Word/Content.MSO/710A74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r/lq385nrn3fz1p3h4msffp55h0000gn/T/com.microsoft.Word/Content.MSO/710A746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6875" cy="2115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6992B" w14:textId="62217896" w:rsidR="001323C7" w:rsidRPr="001323C7" w:rsidRDefault="001323C7" w:rsidP="001323C7">
      <w:pPr>
        <w:pStyle w:val="Caption"/>
        <w:keepNext/>
      </w:pPr>
      <w:r w:rsidRPr="001323C7">
        <w:t xml:space="preserve">Table </w:t>
      </w:r>
      <w:r w:rsidRPr="001323C7">
        <w:fldChar w:fldCharType="begin"/>
      </w:r>
      <w:r w:rsidRPr="001323C7">
        <w:instrText xml:space="preserve"> SEQ Table \* ARABIC </w:instrText>
      </w:r>
      <w:r w:rsidRPr="001323C7">
        <w:fldChar w:fldCharType="separate"/>
      </w:r>
      <w:r w:rsidRPr="001323C7">
        <w:rPr>
          <w:noProof/>
        </w:rPr>
        <w:t>1</w:t>
      </w:r>
      <w:r w:rsidRPr="001323C7">
        <w:fldChar w:fldCharType="end"/>
      </w:r>
      <w:r w:rsidRPr="001323C7">
        <w:t>. Distribution of patients with hypertension (</w:t>
      </w:r>
      <w:proofErr w:type="spellStart"/>
      <w:r w:rsidRPr="001323C7">
        <w:t>htn</w:t>
      </w:r>
      <w:proofErr w:type="spellEnd"/>
      <w:r w:rsidRPr="001323C7">
        <w:t>) medical history.</w:t>
      </w:r>
    </w:p>
    <w:tbl>
      <w:tblPr>
        <w:tblStyle w:val="TableGridLight"/>
        <w:tblW w:w="0" w:type="auto"/>
        <w:tblLook w:val="04A0" w:firstRow="1" w:lastRow="0" w:firstColumn="1" w:lastColumn="0" w:noHBand="0" w:noVBand="1"/>
      </w:tblPr>
      <w:tblGrid>
        <w:gridCol w:w="1007"/>
        <w:gridCol w:w="2576"/>
        <w:gridCol w:w="684"/>
        <w:gridCol w:w="714"/>
      </w:tblGrid>
      <w:tr w:rsidR="001323C7" w:rsidRPr="001323C7" w14:paraId="4767EAD4" w14:textId="77777777" w:rsidTr="001323C7">
        <w:tc>
          <w:tcPr>
            <w:tcW w:w="0" w:type="auto"/>
          </w:tcPr>
          <w:p w14:paraId="0614BD2D" w14:textId="66F125CD" w:rsidR="001323C7" w:rsidRPr="001323C7" w:rsidRDefault="001323C7">
            <w:pPr>
              <w:rPr>
                <w:rFonts w:cstheme="minorHAnsi"/>
                <w:sz w:val="20"/>
              </w:rPr>
            </w:pPr>
            <w:r w:rsidRPr="001323C7">
              <w:rPr>
                <w:rFonts w:eastAsia="Times New Roman" w:cstheme="minorHAnsi"/>
                <w:color w:val="000000"/>
                <w:sz w:val="20"/>
                <w:szCs w:val="21"/>
              </w:rPr>
              <w:t>group</w:t>
            </w:r>
          </w:p>
        </w:tc>
        <w:tc>
          <w:tcPr>
            <w:tcW w:w="0" w:type="auto"/>
          </w:tcPr>
          <w:p w14:paraId="64AA211E" w14:textId="2E9D1281" w:rsidR="001323C7" w:rsidRPr="001323C7" w:rsidRDefault="001323C7">
            <w:pPr>
              <w:rPr>
                <w:rFonts w:cstheme="minorHAnsi"/>
                <w:sz w:val="20"/>
              </w:rPr>
            </w:pPr>
            <w:proofErr w:type="spellStart"/>
            <w:r w:rsidRPr="001323C7">
              <w:rPr>
                <w:rFonts w:eastAsia="Times New Roman" w:cstheme="minorHAnsi"/>
                <w:color w:val="000000"/>
                <w:sz w:val="20"/>
                <w:szCs w:val="21"/>
              </w:rPr>
              <w:t>htn_patient_medical_history</w:t>
            </w:r>
            <w:proofErr w:type="spellEnd"/>
          </w:p>
        </w:tc>
        <w:tc>
          <w:tcPr>
            <w:tcW w:w="0" w:type="auto"/>
          </w:tcPr>
          <w:p w14:paraId="6DC55775" w14:textId="25A52EAD" w:rsidR="001323C7" w:rsidRPr="001323C7" w:rsidRDefault="001323C7">
            <w:pPr>
              <w:rPr>
                <w:rFonts w:cstheme="minorHAnsi"/>
                <w:sz w:val="20"/>
              </w:rPr>
            </w:pPr>
            <w:r w:rsidRPr="001323C7">
              <w:rPr>
                <w:rFonts w:cstheme="minorHAnsi"/>
                <w:sz w:val="20"/>
              </w:rPr>
              <w:t>count</w:t>
            </w:r>
          </w:p>
        </w:tc>
        <w:tc>
          <w:tcPr>
            <w:tcW w:w="0" w:type="auto"/>
          </w:tcPr>
          <w:p w14:paraId="46B9225C" w14:textId="003CCA8B" w:rsidR="001323C7" w:rsidRPr="001323C7" w:rsidRDefault="001323C7">
            <w:pPr>
              <w:rPr>
                <w:rFonts w:cstheme="minorHAnsi"/>
                <w:sz w:val="20"/>
              </w:rPr>
            </w:pPr>
            <w:r w:rsidRPr="001323C7">
              <w:rPr>
                <w:rFonts w:cstheme="minorHAnsi"/>
                <w:sz w:val="20"/>
              </w:rPr>
              <w:t>%age</w:t>
            </w:r>
          </w:p>
        </w:tc>
      </w:tr>
      <w:tr w:rsidR="001323C7" w:rsidRPr="001323C7" w14:paraId="592D9ECF" w14:textId="77777777" w:rsidTr="001323C7">
        <w:tc>
          <w:tcPr>
            <w:tcW w:w="0" w:type="auto"/>
          </w:tcPr>
          <w:p w14:paraId="78A8A4D3" w14:textId="7E0C467F" w:rsidR="001323C7" w:rsidRPr="001323C7" w:rsidRDefault="001323C7">
            <w:pPr>
              <w:rPr>
                <w:rFonts w:cstheme="minorHAnsi"/>
                <w:sz w:val="20"/>
              </w:rPr>
            </w:pPr>
            <w:r w:rsidRPr="001323C7">
              <w:rPr>
                <w:rFonts w:eastAsia="Times New Roman" w:cstheme="minorHAnsi"/>
                <w:color w:val="000000"/>
                <w:sz w:val="20"/>
                <w:szCs w:val="21"/>
              </w:rPr>
              <w:t>CONTROL</w:t>
            </w:r>
          </w:p>
        </w:tc>
        <w:tc>
          <w:tcPr>
            <w:tcW w:w="0" w:type="auto"/>
          </w:tcPr>
          <w:p w14:paraId="78C81C5F" w14:textId="01EFCCF3" w:rsidR="001323C7" w:rsidRPr="001323C7" w:rsidRDefault="001323C7">
            <w:pPr>
              <w:rPr>
                <w:rFonts w:cstheme="minorHAnsi"/>
                <w:sz w:val="20"/>
              </w:rPr>
            </w:pPr>
            <w:r w:rsidRPr="001323C7">
              <w:rPr>
                <w:rFonts w:eastAsia="Times New Roman" w:cstheme="minorHAnsi"/>
                <w:color w:val="000000"/>
                <w:sz w:val="20"/>
                <w:szCs w:val="21"/>
              </w:rPr>
              <w:t>NO</w:t>
            </w:r>
          </w:p>
        </w:tc>
        <w:tc>
          <w:tcPr>
            <w:tcW w:w="0" w:type="auto"/>
          </w:tcPr>
          <w:p w14:paraId="2FF5741B" w14:textId="097D016E" w:rsidR="001323C7" w:rsidRPr="001323C7" w:rsidRDefault="001323C7">
            <w:pPr>
              <w:rPr>
                <w:rFonts w:cstheme="minorHAnsi"/>
                <w:sz w:val="20"/>
              </w:rPr>
            </w:pPr>
            <w:r w:rsidRPr="001323C7">
              <w:rPr>
                <w:rFonts w:eastAsia="Times New Roman" w:cstheme="minorHAnsi"/>
                <w:color w:val="000000"/>
                <w:sz w:val="20"/>
                <w:szCs w:val="21"/>
              </w:rPr>
              <w:t>30</w:t>
            </w:r>
          </w:p>
        </w:tc>
        <w:tc>
          <w:tcPr>
            <w:tcW w:w="0" w:type="auto"/>
          </w:tcPr>
          <w:p w14:paraId="7673F291" w14:textId="1B29EDB6" w:rsidR="001323C7" w:rsidRPr="001323C7" w:rsidRDefault="001323C7">
            <w:pPr>
              <w:rPr>
                <w:rFonts w:cstheme="minorHAnsi"/>
                <w:sz w:val="20"/>
              </w:rPr>
            </w:pPr>
            <w:r w:rsidRPr="001323C7">
              <w:rPr>
                <w:rFonts w:cstheme="minorHAnsi"/>
                <w:sz w:val="20"/>
              </w:rPr>
              <w:t>62.5%</w:t>
            </w:r>
          </w:p>
        </w:tc>
      </w:tr>
      <w:tr w:rsidR="001323C7" w:rsidRPr="001323C7" w14:paraId="4887589F" w14:textId="77777777" w:rsidTr="001323C7">
        <w:tc>
          <w:tcPr>
            <w:tcW w:w="0" w:type="auto"/>
          </w:tcPr>
          <w:p w14:paraId="46324809" w14:textId="77777777" w:rsidR="001323C7" w:rsidRPr="001323C7" w:rsidRDefault="001323C7">
            <w:pPr>
              <w:rPr>
                <w:rFonts w:cstheme="minorHAnsi"/>
                <w:sz w:val="20"/>
              </w:rPr>
            </w:pPr>
          </w:p>
        </w:tc>
        <w:tc>
          <w:tcPr>
            <w:tcW w:w="0" w:type="auto"/>
          </w:tcPr>
          <w:p w14:paraId="12025D22" w14:textId="0C8B7827" w:rsidR="001323C7" w:rsidRPr="001323C7" w:rsidRDefault="001323C7">
            <w:pPr>
              <w:rPr>
                <w:rFonts w:cstheme="minorHAnsi"/>
                <w:sz w:val="20"/>
              </w:rPr>
            </w:pPr>
            <w:r w:rsidRPr="001323C7">
              <w:rPr>
                <w:rFonts w:eastAsia="Times New Roman" w:cstheme="minorHAnsi"/>
                <w:color w:val="000000"/>
                <w:sz w:val="20"/>
                <w:szCs w:val="21"/>
              </w:rPr>
              <w:t>YES</w:t>
            </w:r>
          </w:p>
        </w:tc>
        <w:tc>
          <w:tcPr>
            <w:tcW w:w="0" w:type="auto"/>
          </w:tcPr>
          <w:p w14:paraId="7FBBAF59" w14:textId="50C44FD8" w:rsidR="001323C7" w:rsidRPr="001323C7" w:rsidRDefault="001323C7">
            <w:pPr>
              <w:rPr>
                <w:rFonts w:cstheme="minorHAnsi"/>
                <w:sz w:val="20"/>
              </w:rPr>
            </w:pPr>
            <w:r w:rsidRPr="001323C7">
              <w:rPr>
                <w:rFonts w:eastAsia="Times New Roman" w:cstheme="minorHAnsi"/>
                <w:color w:val="000000"/>
                <w:sz w:val="20"/>
                <w:szCs w:val="21"/>
              </w:rPr>
              <w:t>18</w:t>
            </w:r>
          </w:p>
        </w:tc>
        <w:tc>
          <w:tcPr>
            <w:tcW w:w="0" w:type="auto"/>
          </w:tcPr>
          <w:p w14:paraId="5E42ECE8" w14:textId="4343E8A8" w:rsidR="001323C7" w:rsidRPr="001323C7" w:rsidRDefault="001323C7">
            <w:pPr>
              <w:rPr>
                <w:rFonts w:cstheme="minorHAnsi"/>
                <w:sz w:val="20"/>
              </w:rPr>
            </w:pPr>
            <w:r w:rsidRPr="001323C7">
              <w:rPr>
                <w:rFonts w:cstheme="minorHAnsi"/>
                <w:sz w:val="20"/>
              </w:rPr>
              <w:t>37.5%</w:t>
            </w:r>
          </w:p>
        </w:tc>
      </w:tr>
      <w:tr w:rsidR="001323C7" w:rsidRPr="001323C7" w14:paraId="60EDEDA6" w14:textId="77777777" w:rsidTr="001323C7">
        <w:tc>
          <w:tcPr>
            <w:tcW w:w="0" w:type="auto"/>
          </w:tcPr>
          <w:p w14:paraId="0B5FAB86" w14:textId="1C62A4AE" w:rsidR="001323C7" w:rsidRPr="001323C7" w:rsidRDefault="001323C7">
            <w:pPr>
              <w:rPr>
                <w:rFonts w:cstheme="minorHAnsi"/>
                <w:sz w:val="20"/>
              </w:rPr>
            </w:pPr>
            <w:r w:rsidRPr="001323C7">
              <w:rPr>
                <w:rFonts w:eastAsia="Times New Roman" w:cstheme="minorHAnsi"/>
                <w:color w:val="000000"/>
                <w:sz w:val="20"/>
                <w:szCs w:val="21"/>
              </w:rPr>
              <w:t>STROKE</w:t>
            </w:r>
          </w:p>
        </w:tc>
        <w:tc>
          <w:tcPr>
            <w:tcW w:w="0" w:type="auto"/>
          </w:tcPr>
          <w:p w14:paraId="7043EC66" w14:textId="421FB557" w:rsidR="001323C7" w:rsidRPr="001323C7" w:rsidRDefault="001323C7">
            <w:pPr>
              <w:rPr>
                <w:rFonts w:cstheme="minorHAnsi"/>
                <w:sz w:val="20"/>
              </w:rPr>
            </w:pPr>
            <w:r w:rsidRPr="001323C7">
              <w:rPr>
                <w:rFonts w:eastAsia="Times New Roman" w:cstheme="minorHAnsi"/>
                <w:color w:val="000000"/>
                <w:sz w:val="20"/>
                <w:szCs w:val="21"/>
              </w:rPr>
              <w:t>NO</w:t>
            </w:r>
          </w:p>
        </w:tc>
        <w:tc>
          <w:tcPr>
            <w:tcW w:w="0" w:type="auto"/>
          </w:tcPr>
          <w:p w14:paraId="78D0F226" w14:textId="6933D6B9" w:rsidR="001323C7" w:rsidRPr="001323C7" w:rsidRDefault="001323C7">
            <w:pPr>
              <w:rPr>
                <w:rFonts w:cstheme="minorHAnsi"/>
                <w:sz w:val="20"/>
              </w:rPr>
            </w:pPr>
            <w:r w:rsidRPr="001323C7">
              <w:rPr>
                <w:rFonts w:eastAsia="Times New Roman" w:cstheme="minorHAnsi"/>
                <w:color w:val="000000"/>
                <w:sz w:val="20"/>
                <w:szCs w:val="21"/>
              </w:rPr>
              <w:t>12</w:t>
            </w:r>
          </w:p>
        </w:tc>
        <w:tc>
          <w:tcPr>
            <w:tcW w:w="0" w:type="auto"/>
          </w:tcPr>
          <w:p w14:paraId="02E687A1" w14:textId="7BD7DCF2" w:rsidR="001323C7" w:rsidRPr="001323C7" w:rsidRDefault="001323C7">
            <w:pPr>
              <w:rPr>
                <w:rFonts w:cstheme="minorHAnsi"/>
                <w:sz w:val="20"/>
              </w:rPr>
            </w:pPr>
            <w:r w:rsidRPr="001323C7">
              <w:rPr>
                <w:rFonts w:cstheme="minorHAnsi"/>
                <w:sz w:val="20"/>
              </w:rPr>
              <w:t>28%</w:t>
            </w:r>
          </w:p>
        </w:tc>
      </w:tr>
      <w:tr w:rsidR="001323C7" w:rsidRPr="001323C7" w14:paraId="6F022BBB" w14:textId="77777777" w:rsidTr="001323C7">
        <w:tc>
          <w:tcPr>
            <w:tcW w:w="0" w:type="auto"/>
          </w:tcPr>
          <w:p w14:paraId="22C2E20F" w14:textId="77777777" w:rsidR="001323C7" w:rsidRPr="001323C7" w:rsidRDefault="001323C7">
            <w:pPr>
              <w:rPr>
                <w:rFonts w:cstheme="minorHAnsi"/>
                <w:sz w:val="20"/>
              </w:rPr>
            </w:pPr>
          </w:p>
        </w:tc>
        <w:tc>
          <w:tcPr>
            <w:tcW w:w="0" w:type="auto"/>
          </w:tcPr>
          <w:p w14:paraId="29672162" w14:textId="605BC26E" w:rsidR="001323C7" w:rsidRPr="001323C7" w:rsidRDefault="001323C7">
            <w:pPr>
              <w:rPr>
                <w:rFonts w:cstheme="minorHAnsi"/>
                <w:sz w:val="20"/>
              </w:rPr>
            </w:pPr>
            <w:r w:rsidRPr="001323C7">
              <w:rPr>
                <w:rFonts w:eastAsia="Times New Roman" w:cstheme="minorHAnsi"/>
                <w:color w:val="000000"/>
                <w:sz w:val="20"/>
                <w:szCs w:val="21"/>
              </w:rPr>
              <w:t>YES</w:t>
            </w:r>
          </w:p>
        </w:tc>
        <w:tc>
          <w:tcPr>
            <w:tcW w:w="0" w:type="auto"/>
          </w:tcPr>
          <w:p w14:paraId="74786E76" w14:textId="5AD4C1F8" w:rsidR="001323C7" w:rsidRPr="001323C7" w:rsidRDefault="001323C7">
            <w:pPr>
              <w:rPr>
                <w:rFonts w:cstheme="minorHAnsi"/>
                <w:sz w:val="20"/>
              </w:rPr>
            </w:pPr>
            <w:r w:rsidRPr="001323C7">
              <w:rPr>
                <w:rFonts w:eastAsia="Times New Roman" w:cstheme="minorHAnsi"/>
                <w:color w:val="000000"/>
                <w:sz w:val="20"/>
                <w:szCs w:val="21"/>
              </w:rPr>
              <w:t>31</w:t>
            </w:r>
          </w:p>
        </w:tc>
        <w:tc>
          <w:tcPr>
            <w:tcW w:w="0" w:type="auto"/>
          </w:tcPr>
          <w:p w14:paraId="4B32981B" w14:textId="0B4AFD2F" w:rsidR="001323C7" w:rsidRPr="001323C7" w:rsidRDefault="001323C7">
            <w:pPr>
              <w:rPr>
                <w:rFonts w:cstheme="minorHAnsi"/>
                <w:sz w:val="20"/>
              </w:rPr>
            </w:pPr>
            <w:r w:rsidRPr="001323C7">
              <w:rPr>
                <w:rFonts w:cstheme="minorHAnsi"/>
                <w:sz w:val="20"/>
              </w:rPr>
              <w:t>72%</w:t>
            </w:r>
          </w:p>
        </w:tc>
      </w:tr>
    </w:tbl>
    <w:p w14:paraId="43FC7643" w14:textId="4E9ABE38" w:rsidR="001323C7" w:rsidRDefault="001323C7">
      <w:pPr>
        <w:rPr>
          <w:rFonts w:cstheme="minorHAnsi"/>
        </w:rPr>
      </w:pPr>
    </w:p>
    <w:p w14:paraId="7F0225FB" w14:textId="48466432" w:rsidR="001323C7" w:rsidRDefault="001323C7">
      <w:pPr>
        <w:rPr>
          <w:rFonts w:cstheme="minorHAnsi"/>
        </w:rPr>
      </w:pPr>
    </w:p>
    <w:p w14:paraId="3C1FD7CB" w14:textId="203D4B78" w:rsidR="001323C7" w:rsidRDefault="001323C7" w:rsidP="001323C7">
      <w:pPr>
        <w:keepNext/>
      </w:pPr>
    </w:p>
    <w:p w14:paraId="5F1056E9" w14:textId="5B87511A" w:rsidR="001323C7" w:rsidRPr="001323C7" w:rsidRDefault="001323C7" w:rsidP="001323C7">
      <w:pPr>
        <w:pStyle w:val="Caption"/>
        <w:rPr>
          <w:rFonts w:ascii="Times New Roman" w:eastAsia="Times New Roman" w:hAnsi="Times New Roman" w:cs="Times New Roman"/>
          <w:sz w:val="20"/>
        </w:rPr>
      </w:pPr>
      <w:r w:rsidRPr="001323C7">
        <w:rPr>
          <w:sz w:val="20"/>
        </w:rPr>
        <w:t xml:space="preserve">Figure </w:t>
      </w:r>
      <w:r w:rsidRPr="001323C7">
        <w:rPr>
          <w:sz w:val="20"/>
        </w:rPr>
        <w:fldChar w:fldCharType="begin"/>
      </w:r>
      <w:r w:rsidRPr="001323C7">
        <w:rPr>
          <w:sz w:val="20"/>
        </w:rPr>
        <w:instrText xml:space="preserve"> SEQ Figure \* ARABIC </w:instrText>
      </w:r>
      <w:r w:rsidRPr="001323C7">
        <w:rPr>
          <w:sz w:val="20"/>
        </w:rPr>
        <w:fldChar w:fldCharType="separate"/>
      </w:r>
      <w:r>
        <w:rPr>
          <w:noProof/>
          <w:sz w:val="20"/>
        </w:rPr>
        <w:t>1</w:t>
      </w:r>
      <w:r w:rsidRPr="001323C7">
        <w:rPr>
          <w:sz w:val="20"/>
        </w:rPr>
        <w:fldChar w:fldCharType="end"/>
      </w:r>
      <w:r w:rsidRPr="001323C7">
        <w:rPr>
          <w:sz w:val="20"/>
        </w:rPr>
        <w:t xml:space="preserve">. Distribution of patients with hypertension </w:t>
      </w:r>
      <w:r>
        <w:rPr>
          <w:sz w:val="20"/>
        </w:rPr>
        <w:t>(</w:t>
      </w:r>
      <w:proofErr w:type="spellStart"/>
      <w:r>
        <w:rPr>
          <w:sz w:val="20"/>
        </w:rPr>
        <w:t>htn</w:t>
      </w:r>
      <w:proofErr w:type="spellEnd"/>
      <w:r>
        <w:rPr>
          <w:sz w:val="20"/>
        </w:rPr>
        <w:t xml:space="preserve">) </w:t>
      </w:r>
      <w:r w:rsidRPr="001323C7">
        <w:rPr>
          <w:sz w:val="20"/>
        </w:rPr>
        <w:t>medical history between the control and stroke groups of patients.</w:t>
      </w:r>
      <w:r>
        <w:rPr>
          <w:sz w:val="20"/>
        </w:rPr>
        <w:t xml:space="preserve"> </w:t>
      </w:r>
    </w:p>
    <w:p w14:paraId="4E138930" w14:textId="6E1BE2A4" w:rsidR="001323C7" w:rsidRDefault="001323C7" w:rsidP="001323C7">
      <w:pPr>
        <w:rPr>
          <w:rFonts w:eastAsia="Times New Roman" w:cstheme="minorHAnsi"/>
        </w:rPr>
      </w:pPr>
    </w:p>
    <w:p w14:paraId="5B0FCA61" w14:textId="62717B18" w:rsidR="001323C7" w:rsidRDefault="001323C7" w:rsidP="001323C7">
      <w:pPr>
        <w:rPr>
          <w:rFonts w:eastAsia="Times New Roman" w:cstheme="minorHAnsi"/>
        </w:rPr>
      </w:pPr>
    </w:p>
    <w:p w14:paraId="00255810" w14:textId="403A3BED" w:rsidR="001323C7" w:rsidRDefault="001323C7" w:rsidP="001323C7">
      <w:pPr>
        <w:rPr>
          <w:rFonts w:eastAsia="Times New Roman" w:cstheme="minorHAnsi"/>
        </w:rPr>
      </w:pPr>
      <w:r w:rsidRPr="001323C7">
        <w:rPr>
          <w:rFonts w:eastAsia="Times New Roman" w:cstheme="minorHAnsi"/>
        </w:rPr>
        <w:t>Some high-risk factors, such as high cholesterol levels</w:t>
      </w:r>
      <w:r>
        <w:rPr>
          <w:rFonts w:eastAsia="Times New Roman" w:cstheme="minorHAnsi"/>
        </w:rPr>
        <w:t>, were not so indicative of patients who suffered the stroke (Figure 2B), mostly because this group was heavily prescribed statins (Figure 2A), which can help lower low-density lipoprotein (LDL) cholesterol in the blood</w:t>
      </w:r>
      <w:r w:rsidRPr="001323C7">
        <w:rPr>
          <w:rFonts w:eastAsia="Times New Roman" w:cstheme="minorHAnsi"/>
        </w:rPr>
        <w:t>.</w:t>
      </w:r>
      <w:r>
        <w:rPr>
          <w:rFonts w:eastAsia="Times New Roman" w:cstheme="minorHAnsi"/>
        </w:rPr>
        <w:t xml:space="preserve"> </w:t>
      </w:r>
    </w:p>
    <w:p w14:paraId="07120835" w14:textId="385864FD" w:rsidR="001323C7" w:rsidRDefault="001323C7" w:rsidP="001323C7">
      <w:pPr>
        <w:rPr>
          <w:rFonts w:eastAsia="Times New Roman" w:cstheme="minorHAnsi"/>
        </w:rPr>
      </w:pPr>
    </w:p>
    <w:p w14:paraId="361F5C25" w14:textId="77777777" w:rsidR="001323C7" w:rsidRDefault="001323C7" w:rsidP="001323C7">
      <w:pPr>
        <w:keepNext/>
      </w:pPr>
      <w:r w:rsidRPr="001323C7">
        <w:rPr>
          <w:rFonts w:eastAsia="Times New Roman" w:cstheme="minorHAnsi"/>
        </w:rPr>
        <w:drawing>
          <wp:inline distT="0" distB="0" distL="0" distR="0" wp14:anchorId="1F0447D5" wp14:editId="0E443B17">
            <wp:extent cx="6262917" cy="2266315"/>
            <wp:effectExtent l="0" t="0" r="0" b="0"/>
            <wp:docPr id="17" name="Picture 16">
              <a:extLst xmlns:a="http://schemas.openxmlformats.org/drawingml/2006/main">
                <a:ext uri="{FF2B5EF4-FFF2-40B4-BE49-F238E27FC236}">
                  <a16:creationId xmlns:a16="http://schemas.microsoft.com/office/drawing/2014/main" id="{9C6BA04F-052C-A045-9F8A-887F4621F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9C6BA04F-052C-A045-9F8A-887F4621FE4E}"/>
                        </a:ext>
                      </a:extLst>
                    </pic:cNvPr>
                    <pic:cNvPicPr>
                      <a:picLocks noChangeAspect="1"/>
                    </pic:cNvPicPr>
                  </pic:nvPicPr>
                  <pic:blipFill>
                    <a:blip r:embed="rId9"/>
                    <a:stretch>
                      <a:fillRect/>
                    </a:stretch>
                  </pic:blipFill>
                  <pic:spPr>
                    <a:xfrm>
                      <a:off x="0" y="0"/>
                      <a:ext cx="6319042" cy="2286624"/>
                    </a:xfrm>
                    <a:prstGeom prst="rect">
                      <a:avLst/>
                    </a:prstGeom>
                  </pic:spPr>
                </pic:pic>
              </a:graphicData>
            </a:graphic>
          </wp:inline>
        </w:drawing>
      </w:r>
    </w:p>
    <w:p w14:paraId="3227179A" w14:textId="3860137C" w:rsidR="001323C7" w:rsidRPr="001323C7" w:rsidRDefault="001323C7" w:rsidP="001323C7">
      <w:pPr>
        <w:pStyle w:val="Caption"/>
        <w:rPr>
          <w:rFonts w:eastAsia="Times New Roman" w:cstheme="minorHAnsi"/>
          <w:sz w:val="20"/>
        </w:rPr>
      </w:pPr>
      <w:r w:rsidRPr="001323C7">
        <w:rPr>
          <w:sz w:val="20"/>
        </w:rPr>
        <w:t xml:space="preserve">Figure </w:t>
      </w:r>
      <w:r w:rsidRPr="001323C7">
        <w:rPr>
          <w:sz w:val="20"/>
        </w:rPr>
        <w:fldChar w:fldCharType="begin"/>
      </w:r>
      <w:r w:rsidRPr="001323C7">
        <w:rPr>
          <w:sz w:val="20"/>
        </w:rPr>
        <w:instrText xml:space="preserve"> SEQ Figure \* ARABIC </w:instrText>
      </w:r>
      <w:r w:rsidRPr="001323C7">
        <w:rPr>
          <w:sz w:val="20"/>
        </w:rPr>
        <w:fldChar w:fldCharType="separate"/>
      </w:r>
      <w:r w:rsidRPr="001323C7">
        <w:rPr>
          <w:noProof/>
          <w:sz w:val="20"/>
        </w:rPr>
        <w:t>2</w:t>
      </w:r>
      <w:r w:rsidRPr="001323C7">
        <w:rPr>
          <w:sz w:val="20"/>
        </w:rPr>
        <w:fldChar w:fldCharType="end"/>
      </w:r>
      <w:r w:rsidRPr="001323C7">
        <w:rPr>
          <w:sz w:val="20"/>
        </w:rPr>
        <w:t xml:space="preserve">. Distribution of control (red) and stroke (blue) patients receiving statins prescription (A) and the impact of statins prescription on the blood levels of cholesterol. Data shown as </w:t>
      </w:r>
      <w:r w:rsidRPr="001323C7">
        <w:rPr>
          <w:rFonts w:eastAsia="Times New Roman" w:cstheme="minorHAnsi"/>
          <w:sz w:val="20"/>
        </w:rPr>
        <w:sym w:font="Symbol" w:char="F0B1"/>
      </w:r>
      <w:r w:rsidRPr="001323C7">
        <w:rPr>
          <w:sz w:val="20"/>
        </w:rPr>
        <w:t>SD.</w:t>
      </w:r>
    </w:p>
    <w:p w14:paraId="6CA2D3CE" w14:textId="19BE3852" w:rsidR="001323C7" w:rsidRDefault="001323C7" w:rsidP="001323C7">
      <w:pPr>
        <w:rPr>
          <w:rFonts w:eastAsia="Times New Roman" w:cstheme="minorHAnsi"/>
        </w:rPr>
      </w:pPr>
      <w:r w:rsidRPr="001323C7">
        <w:rPr>
          <w:rFonts w:eastAsia="Times New Roman" w:cstheme="minorHAnsi"/>
        </w:rPr>
        <w:lastRenderedPageBreak/>
        <w:t xml:space="preserve">Due to </w:t>
      </w:r>
      <w:r>
        <w:rPr>
          <w:rFonts w:eastAsia="Times New Roman" w:cstheme="minorHAnsi"/>
        </w:rPr>
        <w:t xml:space="preserve">a large number of features, visualisations of all of them using heatmap was not particularly informative. The number of features was reduced by identifying and removing features which were highly correlated together. This was performed for both numerical and categorical features. </w:t>
      </w:r>
    </w:p>
    <w:p w14:paraId="31835052" w14:textId="15AD2BEA" w:rsidR="001323C7" w:rsidRDefault="001323C7" w:rsidP="001323C7">
      <w:pPr>
        <w:rPr>
          <w:rFonts w:eastAsia="Times New Roman" w:cstheme="minorHAnsi"/>
        </w:rPr>
      </w:pPr>
    </w:p>
    <w:p w14:paraId="2F7A667B" w14:textId="5805E496" w:rsidR="001323C7" w:rsidRPr="001323C7" w:rsidRDefault="001323C7" w:rsidP="001323C7">
      <w:pPr>
        <w:rPr>
          <w:rFonts w:eastAsia="Times New Roman" w:cstheme="minorHAnsi"/>
          <w:b/>
          <w:sz w:val="28"/>
        </w:rPr>
      </w:pPr>
      <w:r w:rsidRPr="001323C7">
        <w:rPr>
          <w:rFonts w:eastAsia="Times New Roman" w:cstheme="minorHAnsi"/>
          <w:b/>
          <w:sz w:val="28"/>
        </w:rPr>
        <w:t>Model building</w:t>
      </w:r>
    </w:p>
    <w:p w14:paraId="24DF7259" w14:textId="2B328A4A" w:rsidR="001323C7" w:rsidRDefault="001323C7" w:rsidP="001323C7">
      <w:pPr>
        <w:rPr>
          <w:rFonts w:eastAsia="Times New Roman" w:cstheme="minorHAnsi"/>
        </w:rPr>
      </w:pPr>
    </w:p>
    <w:p w14:paraId="4CEFF713" w14:textId="2346561A" w:rsidR="001323C7" w:rsidRDefault="001323C7" w:rsidP="001323C7">
      <w:pPr>
        <w:jc w:val="both"/>
        <w:rPr>
          <w:rFonts w:eastAsia="Times New Roman" w:cstheme="minorHAnsi"/>
        </w:rPr>
      </w:pPr>
      <w:proofErr w:type="spellStart"/>
      <w:proofErr w:type="gramStart"/>
      <w:r>
        <w:rPr>
          <w:rFonts w:eastAsia="Times New Roman" w:cstheme="minorHAnsi"/>
        </w:rPr>
        <w:t>LinearRegression</w:t>
      </w:r>
      <w:proofErr w:type="spellEnd"/>
      <w:r>
        <w:rPr>
          <w:rFonts w:eastAsia="Times New Roman" w:cstheme="minorHAnsi"/>
        </w:rPr>
        <w:t>(</w:t>
      </w:r>
      <w:proofErr w:type="gramEnd"/>
      <w:r>
        <w:rPr>
          <w:rFonts w:eastAsia="Times New Roman" w:cstheme="minorHAnsi"/>
        </w:rPr>
        <w:t xml:space="preserve">) model was chosen to build a linear classifier model. Logistic regression can be used to predict binary outcomes (in this case: stroke or control). This algorithm was chosen over simple K-Nearest </w:t>
      </w:r>
      <w:proofErr w:type="spellStart"/>
      <w:r>
        <w:rPr>
          <w:rFonts w:eastAsia="Times New Roman" w:cstheme="minorHAnsi"/>
        </w:rPr>
        <w:t>Neighbors</w:t>
      </w:r>
      <w:proofErr w:type="spellEnd"/>
      <w:r>
        <w:rPr>
          <w:rFonts w:eastAsia="Times New Roman" w:cstheme="minorHAnsi"/>
        </w:rPr>
        <w:t xml:space="preserve"> (K-NN) because K-NN is non-parametric and all features have to be on the same scale and generally does not perform well with large number of variables. </w:t>
      </w:r>
    </w:p>
    <w:p w14:paraId="0BFD2E83" w14:textId="515B4BC5" w:rsidR="001323C7" w:rsidRDefault="001323C7" w:rsidP="001323C7">
      <w:pPr>
        <w:jc w:val="both"/>
        <w:rPr>
          <w:rFonts w:eastAsia="Times New Roman" w:cstheme="minorHAnsi"/>
        </w:rPr>
      </w:pPr>
    </w:p>
    <w:p w14:paraId="36769ABC" w14:textId="29F4A8A3" w:rsidR="001323C7" w:rsidRDefault="001323C7" w:rsidP="001323C7">
      <w:pPr>
        <w:jc w:val="both"/>
        <w:rPr>
          <w:rFonts w:eastAsia="Times New Roman" w:cstheme="minorHAnsi"/>
        </w:rPr>
      </w:pPr>
      <w:r>
        <w:rPr>
          <w:rFonts w:eastAsia="Times New Roman" w:cstheme="minorHAnsi"/>
        </w:rPr>
        <w:t xml:space="preserve">Categorical variables (male/female, smoker/non-smoker) were transformed using </w:t>
      </w:r>
      <w:proofErr w:type="spellStart"/>
      <w:r>
        <w:rPr>
          <w:rFonts w:eastAsia="Times New Roman" w:cstheme="minorHAnsi"/>
        </w:rPr>
        <w:t>pd.get_</w:t>
      </w:r>
      <w:proofErr w:type="gramStart"/>
      <w:r>
        <w:rPr>
          <w:rFonts w:eastAsia="Times New Roman" w:cstheme="minorHAnsi"/>
        </w:rPr>
        <w:t>dummies</w:t>
      </w:r>
      <w:proofErr w:type="spellEnd"/>
      <w:r>
        <w:rPr>
          <w:rFonts w:eastAsia="Times New Roman" w:cstheme="minorHAnsi"/>
        </w:rPr>
        <w:t>(</w:t>
      </w:r>
      <w:proofErr w:type="gramEnd"/>
      <w:r>
        <w:rPr>
          <w:rFonts w:eastAsia="Times New Roman" w:cstheme="minorHAnsi"/>
        </w:rPr>
        <w:t xml:space="preserve">) function. This allowed incorporation of these features into the dataset. </w:t>
      </w:r>
    </w:p>
    <w:p w14:paraId="3B6FF6C9" w14:textId="77777777" w:rsidR="001323C7" w:rsidRDefault="001323C7" w:rsidP="001323C7">
      <w:pPr>
        <w:jc w:val="both"/>
        <w:rPr>
          <w:rFonts w:eastAsia="Times New Roman" w:cstheme="minorHAnsi"/>
        </w:rPr>
      </w:pPr>
    </w:p>
    <w:p w14:paraId="6A2291B9" w14:textId="1E11EDA0" w:rsidR="001323C7" w:rsidRDefault="001323C7" w:rsidP="001323C7">
      <w:pPr>
        <w:jc w:val="both"/>
        <w:rPr>
          <w:rFonts w:eastAsia="Times New Roman" w:cstheme="minorHAnsi"/>
        </w:rPr>
      </w:pPr>
      <w:r>
        <w:rPr>
          <w:rFonts w:eastAsia="Times New Roman" w:cstheme="minorHAnsi"/>
        </w:rPr>
        <w:t xml:space="preserve">For Linear regression model, the features should be independent of each other. Therefore, features which are highly correlated together were identified and removed from the dataset (correlation threshold was set to </w:t>
      </w:r>
      <w:proofErr w:type="spellStart"/>
      <w:r>
        <w:rPr>
          <w:rFonts w:eastAsia="Times New Roman" w:cstheme="minorHAnsi"/>
        </w:rPr>
        <w:t>to</w:t>
      </w:r>
      <w:proofErr w:type="spellEnd"/>
      <w:r>
        <w:rPr>
          <w:rFonts w:eastAsia="Times New Roman" w:cstheme="minorHAnsi"/>
        </w:rPr>
        <w:t xml:space="preserve"> 0.75). </w:t>
      </w:r>
    </w:p>
    <w:p w14:paraId="58C4BB93" w14:textId="0E5CE85F" w:rsidR="001323C7" w:rsidRDefault="001323C7" w:rsidP="001323C7">
      <w:pPr>
        <w:jc w:val="both"/>
        <w:rPr>
          <w:rFonts w:eastAsia="Times New Roman" w:cstheme="minorHAnsi"/>
        </w:rPr>
      </w:pPr>
    </w:p>
    <w:p w14:paraId="1D4B428E" w14:textId="629A7BD1" w:rsidR="001323C7" w:rsidRDefault="001323C7" w:rsidP="001323C7">
      <w:pPr>
        <w:jc w:val="both"/>
        <w:rPr>
          <w:rFonts w:eastAsia="Times New Roman" w:cstheme="minorHAnsi"/>
        </w:rPr>
      </w:pPr>
      <w:r>
        <w:rPr>
          <w:rFonts w:eastAsia="Times New Roman" w:cstheme="minorHAnsi"/>
        </w:rPr>
        <w:t>Finally, a pipeline was built to test whether scaling the data prior to fitting the model improved the fitting. This proved to be successful, and final model had highest accuracy (0.9 or more).</w:t>
      </w:r>
    </w:p>
    <w:p w14:paraId="56E6B942" w14:textId="77777777" w:rsidR="001323C7" w:rsidRDefault="001323C7" w:rsidP="001323C7">
      <w:pPr>
        <w:rPr>
          <w:rFonts w:eastAsia="Times New Roman" w:cstheme="minorHAnsi"/>
        </w:rPr>
      </w:pPr>
    </w:p>
    <w:p w14:paraId="56FD1A15" w14:textId="46DE77B0" w:rsidR="001323C7" w:rsidRDefault="001323C7" w:rsidP="001323C7">
      <w:pPr>
        <w:rPr>
          <w:rFonts w:eastAsia="Times New Roman" w:cstheme="minorHAnsi"/>
        </w:rPr>
      </w:pPr>
    </w:p>
    <w:p w14:paraId="5FA26F88" w14:textId="690BE8A6" w:rsidR="001323C7" w:rsidRPr="001323C7" w:rsidRDefault="001323C7" w:rsidP="001323C7">
      <w:pPr>
        <w:rPr>
          <w:rFonts w:eastAsia="Times New Roman" w:cstheme="minorHAnsi"/>
          <w:b/>
          <w:sz w:val="28"/>
        </w:rPr>
      </w:pPr>
      <w:r w:rsidRPr="001323C7">
        <w:rPr>
          <w:rFonts w:eastAsia="Times New Roman" w:cstheme="minorHAnsi"/>
          <w:b/>
          <w:sz w:val="28"/>
        </w:rPr>
        <w:t>Future work</w:t>
      </w:r>
    </w:p>
    <w:p w14:paraId="56671B3C" w14:textId="77777777" w:rsidR="001323C7" w:rsidRPr="001323C7" w:rsidRDefault="001323C7" w:rsidP="001323C7">
      <w:pPr>
        <w:rPr>
          <w:rFonts w:eastAsia="Times New Roman" w:cstheme="minorHAnsi"/>
        </w:rPr>
      </w:pPr>
    </w:p>
    <w:p w14:paraId="176896E8" w14:textId="73954B39" w:rsidR="001323C7" w:rsidRDefault="001323C7" w:rsidP="001323C7">
      <w:pPr>
        <w:jc w:val="both"/>
        <w:rPr>
          <w:rFonts w:eastAsia="Times New Roman" w:cstheme="minorHAnsi"/>
        </w:rPr>
      </w:pPr>
      <w:r>
        <w:rPr>
          <w:rFonts w:eastAsia="Times New Roman" w:cstheme="minorHAnsi"/>
        </w:rPr>
        <w:t>The build model could be improved in several ways:</w:t>
      </w:r>
    </w:p>
    <w:p w14:paraId="5764EDD7" w14:textId="69187FC5" w:rsidR="001323C7" w:rsidRPr="001323C7" w:rsidRDefault="001323C7" w:rsidP="001323C7">
      <w:pPr>
        <w:pStyle w:val="ListParagraph"/>
        <w:numPr>
          <w:ilvl w:val="0"/>
          <w:numId w:val="5"/>
        </w:numPr>
        <w:jc w:val="both"/>
        <w:rPr>
          <w:rFonts w:eastAsia="Times New Roman" w:cstheme="minorHAnsi"/>
        </w:rPr>
      </w:pPr>
      <w:r w:rsidRPr="001323C7">
        <w:rPr>
          <w:rFonts w:eastAsia="Times New Roman" w:cstheme="minorHAnsi"/>
        </w:rPr>
        <w:t>Reduce the number of features used in model building</w:t>
      </w:r>
      <w:r>
        <w:rPr>
          <w:rFonts w:eastAsia="Times New Roman" w:cstheme="minorHAnsi"/>
        </w:rPr>
        <w:t xml:space="preserve">. In this model, features strongly correlated together were removed. Negatively correlated features should </w:t>
      </w:r>
      <w:proofErr w:type="spellStart"/>
      <w:r>
        <w:rPr>
          <w:rFonts w:eastAsia="Times New Roman" w:cstheme="minorHAnsi"/>
        </w:rPr>
        <w:t>not be excluded</w:t>
      </w:r>
      <w:proofErr w:type="spellEnd"/>
      <w:r>
        <w:rPr>
          <w:rFonts w:eastAsia="Times New Roman" w:cstheme="minorHAnsi"/>
        </w:rPr>
        <w:t>. Additionally, features that do not add much to the model (do not correlate with target variable) should be removed for a more robust model.</w:t>
      </w:r>
    </w:p>
    <w:p w14:paraId="59A710C0" w14:textId="096D858B" w:rsidR="001323C7" w:rsidRDefault="001323C7" w:rsidP="001323C7">
      <w:pPr>
        <w:pStyle w:val="ListParagraph"/>
        <w:numPr>
          <w:ilvl w:val="0"/>
          <w:numId w:val="5"/>
        </w:numPr>
        <w:jc w:val="both"/>
        <w:rPr>
          <w:rFonts w:eastAsia="Times New Roman" w:cstheme="minorHAnsi"/>
        </w:rPr>
      </w:pPr>
      <w:r>
        <w:rPr>
          <w:rFonts w:eastAsia="Times New Roman" w:cstheme="minorHAnsi"/>
        </w:rPr>
        <w:t>Tune the hyperparameters for the model (</w:t>
      </w:r>
      <w:r w:rsidRPr="001323C7">
        <w:rPr>
          <w:rFonts w:eastAsia="Times New Roman" w:cstheme="minorHAnsi"/>
        </w:rPr>
        <w:t>logistic regression also has a regularization parameter: C</w:t>
      </w:r>
      <w:r>
        <w:rPr>
          <w:rFonts w:eastAsia="Times New Roman" w:cstheme="minorHAnsi"/>
        </w:rPr>
        <w:t xml:space="preserve">). This could be performed by setting up a </w:t>
      </w:r>
      <w:proofErr w:type="spellStart"/>
      <w:r>
        <w:rPr>
          <w:rFonts w:eastAsia="Times New Roman" w:cstheme="minorHAnsi"/>
        </w:rPr>
        <w:t>GridSearchCV</w:t>
      </w:r>
      <w:proofErr w:type="spellEnd"/>
      <w:r>
        <w:rPr>
          <w:rFonts w:eastAsia="Times New Roman" w:cstheme="minorHAnsi"/>
        </w:rPr>
        <w:t xml:space="preserve"> to find the best C parameter. This would allow to avoid over or underfitting.</w:t>
      </w:r>
    </w:p>
    <w:p w14:paraId="5AAB9E65" w14:textId="0DCE7F42" w:rsidR="001323C7" w:rsidRPr="001323C7" w:rsidRDefault="001323C7" w:rsidP="001323C7">
      <w:pPr>
        <w:pStyle w:val="ListParagraph"/>
        <w:numPr>
          <w:ilvl w:val="0"/>
          <w:numId w:val="5"/>
        </w:numPr>
        <w:jc w:val="both"/>
        <w:rPr>
          <w:rFonts w:eastAsia="Times New Roman" w:cstheme="minorHAnsi"/>
        </w:rPr>
      </w:pPr>
      <w:r>
        <w:rPr>
          <w:rFonts w:eastAsia="Times New Roman" w:cstheme="minorHAnsi"/>
        </w:rPr>
        <w:t>Perform an in-depth literature search and analysis to identify clinically relevant stroke risk factors and build models to test whether they are good indicators for patients with stroke.</w:t>
      </w:r>
    </w:p>
    <w:p w14:paraId="52B741A7" w14:textId="707B4B58" w:rsidR="001323C7" w:rsidRPr="001323C7" w:rsidRDefault="001323C7" w:rsidP="001323C7">
      <w:pPr>
        <w:jc w:val="both"/>
        <w:rPr>
          <w:rFonts w:eastAsia="Times New Roman" w:cstheme="minorHAnsi"/>
        </w:rPr>
      </w:pPr>
    </w:p>
    <w:p w14:paraId="730F4EFB" w14:textId="3338439A" w:rsidR="001323C7" w:rsidRDefault="001323C7">
      <w:pPr>
        <w:rPr>
          <w:rFonts w:cstheme="minorHAnsi"/>
        </w:rPr>
      </w:pPr>
    </w:p>
    <w:p w14:paraId="10863427" w14:textId="078B8168" w:rsidR="001323C7" w:rsidRDefault="001323C7">
      <w:pPr>
        <w:rPr>
          <w:rFonts w:cstheme="minorHAnsi"/>
        </w:rPr>
      </w:pPr>
    </w:p>
    <w:p w14:paraId="0DF01FF7" w14:textId="50070E83" w:rsidR="001323C7" w:rsidRDefault="001323C7">
      <w:pPr>
        <w:rPr>
          <w:rFonts w:cstheme="minorHAnsi"/>
        </w:rPr>
      </w:pPr>
    </w:p>
    <w:p w14:paraId="39C491E1" w14:textId="451D39DB" w:rsidR="001323C7" w:rsidRDefault="001323C7">
      <w:pPr>
        <w:rPr>
          <w:rFonts w:cstheme="minorHAnsi"/>
        </w:rPr>
      </w:pPr>
    </w:p>
    <w:p w14:paraId="0D416D97" w14:textId="44EFBC8C" w:rsidR="001323C7" w:rsidRDefault="001323C7">
      <w:pPr>
        <w:rPr>
          <w:rFonts w:cstheme="minorHAnsi"/>
        </w:rPr>
      </w:pPr>
    </w:p>
    <w:p w14:paraId="3C2129B1" w14:textId="77777777" w:rsidR="001323C7" w:rsidRDefault="001323C7">
      <w:pPr>
        <w:rPr>
          <w:rFonts w:cstheme="minorHAnsi"/>
        </w:rPr>
      </w:pPr>
    </w:p>
    <w:p w14:paraId="3CD757B8" w14:textId="2C4CF148" w:rsidR="001323C7" w:rsidRDefault="001323C7">
      <w:pPr>
        <w:rPr>
          <w:rFonts w:cstheme="minorHAnsi"/>
        </w:rPr>
      </w:pPr>
    </w:p>
    <w:p w14:paraId="6A55E3B1" w14:textId="77777777" w:rsidR="001323C7" w:rsidRDefault="001323C7">
      <w:pPr>
        <w:rPr>
          <w:rFonts w:cstheme="minorHAnsi"/>
        </w:rPr>
      </w:pPr>
    </w:p>
    <w:p w14:paraId="576B53C7" w14:textId="75D0E7B4" w:rsidR="001323C7" w:rsidRPr="001323C7" w:rsidRDefault="001323C7">
      <w:pPr>
        <w:rPr>
          <w:rFonts w:cstheme="minorHAnsi"/>
          <w:b/>
          <w:sz w:val="28"/>
        </w:rPr>
      </w:pPr>
      <w:r w:rsidRPr="001323C7">
        <w:rPr>
          <w:rFonts w:cstheme="minorHAnsi"/>
          <w:b/>
          <w:sz w:val="28"/>
        </w:rPr>
        <w:lastRenderedPageBreak/>
        <w:t>References</w:t>
      </w:r>
    </w:p>
    <w:p w14:paraId="1413AAB2" w14:textId="77777777" w:rsidR="001323C7" w:rsidRDefault="001323C7">
      <w:pPr>
        <w:rPr>
          <w:rFonts w:cstheme="minorHAnsi"/>
        </w:rPr>
      </w:pPr>
    </w:p>
    <w:p w14:paraId="06037668" w14:textId="6025F6E0" w:rsidR="001323C7" w:rsidRPr="001323C7" w:rsidRDefault="001323C7" w:rsidP="001323C7">
      <w:pPr>
        <w:widowControl w:val="0"/>
        <w:autoSpaceDE w:val="0"/>
        <w:autoSpaceDN w:val="0"/>
        <w:adjustRightInd w:val="0"/>
        <w:rPr>
          <w:rFonts w:ascii="Calibri" w:hAnsi="Calibri" w:cs="Calibri"/>
          <w:noProof/>
          <w:lang w:val="en-US"/>
        </w:rPr>
      </w:pPr>
      <w:r>
        <w:rPr>
          <w:rFonts w:cstheme="minorHAnsi"/>
        </w:rPr>
        <w:fldChar w:fldCharType="begin" w:fldLock="1"/>
      </w:r>
      <w:r>
        <w:rPr>
          <w:rFonts w:cstheme="minorHAnsi"/>
        </w:rPr>
        <w:instrText xml:space="preserve">ADDIN Mendeley Bibliography CSL_BIBLIOGRAPHY </w:instrText>
      </w:r>
      <w:r>
        <w:rPr>
          <w:rFonts w:cstheme="minorHAnsi"/>
        </w:rPr>
        <w:fldChar w:fldCharType="separate"/>
      </w:r>
      <w:r w:rsidRPr="001323C7">
        <w:rPr>
          <w:rFonts w:ascii="Calibri" w:hAnsi="Calibri" w:cs="Calibri"/>
          <w:noProof/>
          <w:lang w:val="en-US"/>
        </w:rPr>
        <w:t xml:space="preserve">1. Stroke Association. 2018. </w:t>
      </w:r>
      <w:r w:rsidRPr="001323C7">
        <w:rPr>
          <w:rFonts w:ascii="Calibri" w:hAnsi="Calibri" w:cs="Calibri"/>
          <w:i/>
          <w:iCs/>
          <w:noProof/>
          <w:lang w:val="en-US"/>
        </w:rPr>
        <w:t>State of the nation Stroke statistics - Februrary 2018</w:t>
      </w:r>
      <w:r w:rsidRPr="001323C7">
        <w:rPr>
          <w:rFonts w:ascii="Calibri" w:hAnsi="Calibri" w:cs="Calibri"/>
          <w:noProof/>
          <w:lang w:val="en-US"/>
        </w:rPr>
        <w:t>,.</w:t>
      </w:r>
    </w:p>
    <w:p w14:paraId="4DE2180C" w14:textId="77777777" w:rsidR="001323C7" w:rsidRPr="001323C7" w:rsidRDefault="001323C7" w:rsidP="001323C7">
      <w:pPr>
        <w:widowControl w:val="0"/>
        <w:autoSpaceDE w:val="0"/>
        <w:autoSpaceDN w:val="0"/>
        <w:adjustRightInd w:val="0"/>
        <w:rPr>
          <w:rFonts w:ascii="Calibri" w:hAnsi="Calibri" w:cs="Calibri"/>
          <w:noProof/>
          <w:lang w:val="en-US"/>
        </w:rPr>
      </w:pPr>
      <w:r w:rsidRPr="001323C7">
        <w:rPr>
          <w:rFonts w:ascii="Calibri" w:hAnsi="Calibri" w:cs="Calibri"/>
          <w:noProof/>
          <w:lang w:val="en-US"/>
        </w:rPr>
        <w:t xml:space="preserve">2. Patel, A., V. Berdunov, D. King, Z. Quayyum, R. Wittenberg, and M. Knapp. 2017. </w:t>
      </w:r>
      <w:r w:rsidRPr="001323C7">
        <w:rPr>
          <w:rFonts w:ascii="Calibri" w:hAnsi="Calibri" w:cs="Calibri"/>
          <w:i/>
          <w:iCs/>
          <w:noProof/>
          <w:lang w:val="en-US"/>
        </w:rPr>
        <w:t>Current, future and avoidable costs of stroke in the UK, Executive summary Part 2</w:t>
      </w:r>
      <w:r w:rsidRPr="001323C7">
        <w:rPr>
          <w:rFonts w:ascii="Calibri" w:hAnsi="Calibri" w:cs="Calibri"/>
          <w:noProof/>
          <w:lang w:val="en-US"/>
        </w:rPr>
        <w:t>,.</w:t>
      </w:r>
    </w:p>
    <w:p w14:paraId="75C15AE6" w14:textId="77777777" w:rsidR="001323C7" w:rsidRPr="001323C7" w:rsidRDefault="001323C7" w:rsidP="001323C7">
      <w:pPr>
        <w:widowControl w:val="0"/>
        <w:autoSpaceDE w:val="0"/>
        <w:autoSpaceDN w:val="0"/>
        <w:adjustRightInd w:val="0"/>
        <w:rPr>
          <w:rFonts w:ascii="Calibri" w:hAnsi="Calibri" w:cs="Calibri"/>
          <w:noProof/>
          <w:lang w:val="en-US"/>
        </w:rPr>
      </w:pPr>
      <w:r w:rsidRPr="001323C7">
        <w:rPr>
          <w:rFonts w:ascii="Calibri" w:hAnsi="Calibri" w:cs="Calibri"/>
          <w:noProof/>
          <w:lang w:val="en-US"/>
        </w:rPr>
        <w:t xml:space="preserve">3. Boehme, A. K., C. Esenwa, and M. S. V. Elkind. 2017. Stroke Risk Factors, Genetics, and Prevention. </w:t>
      </w:r>
      <w:r w:rsidRPr="001323C7">
        <w:rPr>
          <w:rFonts w:ascii="Calibri" w:hAnsi="Calibri" w:cs="Calibri"/>
          <w:i/>
          <w:iCs/>
          <w:noProof/>
          <w:lang w:val="en-US"/>
        </w:rPr>
        <w:t>Circ. Res.</w:t>
      </w:r>
      <w:r w:rsidRPr="001323C7">
        <w:rPr>
          <w:rFonts w:ascii="Calibri" w:hAnsi="Calibri" w:cs="Calibri"/>
          <w:noProof/>
          <w:lang w:val="en-US"/>
        </w:rPr>
        <w:t xml:space="preserve"> 120: 472–495.</w:t>
      </w:r>
    </w:p>
    <w:p w14:paraId="15C921E4" w14:textId="77777777" w:rsidR="001323C7" w:rsidRPr="001323C7" w:rsidRDefault="001323C7" w:rsidP="001323C7">
      <w:pPr>
        <w:widowControl w:val="0"/>
        <w:autoSpaceDE w:val="0"/>
        <w:autoSpaceDN w:val="0"/>
        <w:adjustRightInd w:val="0"/>
        <w:rPr>
          <w:rFonts w:ascii="Calibri" w:hAnsi="Calibri" w:cs="Calibri"/>
          <w:noProof/>
        </w:rPr>
      </w:pPr>
      <w:r w:rsidRPr="001323C7">
        <w:rPr>
          <w:rFonts w:ascii="Calibri" w:hAnsi="Calibri" w:cs="Calibri"/>
          <w:noProof/>
          <w:lang w:val="en-US"/>
        </w:rPr>
        <w:t xml:space="preserve">4. O’Donnell, M. J., D. Xavier, L. Liu, H. Zhang, S. L. Chin, P. Rao-Melacini, S. Rangarajan, S. Islam, P. Pais, M. J. McQueen, C. Mondo, A. Damasceno, P. Lopez-Jaramillo, G. J. Hankey, A. L. Dans, K. Yusoff, T. Truelsen, H.-C. Diener, R. L. Sacco, D. Ryglewicz, A. Czlonkowska, C. Weimar, X. Wang, and S. Yusuf. 2010. Risk factors for ischaemic and intracerebral haemorrhagic stroke in 22 countries (the INTERSTROKE study): a case-control study. </w:t>
      </w:r>
      <w:r w:rsidRPr="001323C7">
        <w:rPr>
          <w:rFonts w:ascii="Calibri" w:hAnsi="Calibri" w:cs="Calibri"/>
          <w:i/>
          <w:iCs/>
          <w:noProof/>
          <w:lang w:val="en-US"/>
        </w:rPr>
        <w:t>Lancet</w:t>
      </w:r>
      <w:r w:rsidRPr="001323C7">
        <w:rPr>
          <w:rFonts w:ascii="Calibri" w:hAnsi="Calibri" w:cs="Calibri"/>
          <w:noProof/>
          <w:lang w:val="en-US"/>
        </w:rPr>
        <w:t xml:space="preserve"> 376: 112–123.</w:t>
      </w:r>
    </w:p>
    <w:p w14:paraId="514A2A65" w14:textId="6C296F98" w:rsidR="001323C7" w:rsidRDefault="001323C7" w:rsidP="001323C7">
      <w:pPr>
        <w:widowControl w:val="0"/>
        <w:autoSpaceDE w:val="0"/>
        <w:autoSpaceDN w:val="0"/>
        <w:adjustRightInd w:val="0"/>
        <w:rPr>
          <w:rFonts w:cstheme="minorHAnsi"/>
        </w:rPr>
      </w:pPr>
      <w:r>
        <w:rPr>
          <w:rFonts w:cstheme="minorHAnsi"/>
        </w:rPr>
        <w:fldChar w:fldCharType="end"/>
      </w:r>
    </w:p>
    <w:p w14:paraId="2C7D5DD2" w14:textId="30999BAA" w:rsidR="001323C7" w:rsidRPr="001323C7" w:rsidRDefault="001323C7" w:rsidP="00AC5ECC">
      <w:pPr>
        <w:rPr>
          <w:sz w:val="22"/>
        </w:rPr>
      </w:pPr>
      <w:bookmarkStart w:id="0" w:name="_GoBack"/>
      <w:bookmarkEnd w:id="0"/>
    </w:p>
    <w:sectPr w:rsidR="001323C7" w:rsidRPr="001323C7" w:rsidSect="00EA7AE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BAB"/>
    <w:multiLevelType w:val="hybridMultilevel"/>
    <w:tmpl w:val="B0FA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70A12"/>
    <w:multiLevelType w:val="hybridMultilevel"/>
    <w:tmpl w:val="2864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62CD3"/>
    <w:multiLevelType w:val="multilevel"/>
    <w:tmpl w:val="C578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700F6"/>
    <w:multiLevelType w:val="hybridMultilevel"/>
    <w:tmpl w:val="D786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9287E"/>
    <w:multiLevelType w:val="multilevel"/>
    <w:tmpl w:val="25E2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C7"/>
    <w:rsid w:val="00043676"/>
    <w:rsid w:val="00072641"/>
    <w:rsid w:val="000F3582"/>
    <w:rsid w:val="001323C7"/>
    <w:rsid w:val="001E075E"/>
    <w:rsid w:val="001E769B"/>
    <w:rsid w:val="00287A3B"/>
    <w:rsid w:val="003161FA"/>
    <w:rsid w:val="00464E40"/>
    <w:rsid w:val="00471BFA"/>
    <w:rsid w:val="00905B48"/>
    <w:rsid w:val="009B2AC5"/>
    <w:rsid w:val="00A05F42"/>
    <w:rsid w:val="00A25D57"/>
    <w:rsid w:val="00AC5ECC"/>
    <w:rsid w:val="00E113A5"/>
    <w:rsid w:val="00EA7AED"/>
    <w:rsid w:val="00F01045"/>
    <w:rsid w:val="00F02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3104"/>
  <w14:defaultImageDpi w14:val="32767"/>
  <w15:chartTrackingRefBased/>
  <w15:docId w15:val="{B29937F6-9804-294C-9239-D49A2684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323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3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23C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323C7"/>
    <w:pPr>
      <w:ind w:left="720"/>
      <w:contextualSpacing/>
    </w:pPr>
  </w:style>
  <w:style w:type="paragraph" w:styleId="BalloonText">
    <w:name w:val="Balloon Text"/>
    <w:basedOn w:val="Normal"/>
    <w:link w:val="BalloonTextChar"/>
    <w:uiPriority w:val="99"/>
    <w:semiHidden/>
    <w:unhideWhenUsed/>
    <w:rsid w:val="001323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23C7"/>
    <w:rPr>
      <w:rFonts w:ascii="Times New Roman" w:hAnsi="Times New Roman" w:cs="Times New Roman"/>
      <w:sz w:val="18"/>
      <w:szCs w:val="18"/>
    </w:rPr>
  </w:style>
  <w:style w:type="paragraph" w:styleId="Caption">
    <w:name w:val="caption"/>
    <w:basedOn w:val="Normal"/>
    <w:next w:val="Normal"/>
    <w:uiPriority w:val="35"/>
    <w:unhideWhenUsed/>
    <w:qFormat/>
    <w:rsid w:val="001323C7"/>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13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3C7"/>
    <w:rPr>
      <w:rFonts w:ascii="Courier New" w:eastAsia="Times New Roman" w:hAnsi="Courier New" w:cs="Courier New"/>
      <w:sz w:val="20"/>
      <w:szCs w:val="20"/>
    </w:rPr>
  </w:style>
  <w:style w:type="table" w:styleId="TableGrid">
    <w:name w:val="Table Grid"/>
    <w:basedOn w:val="TableNormal"/>
    <w:uiPriority w:val="39"/>
    <w:rsid w:val="00132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23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323C7"/>
    <w:rPr>
      <w:color w:val="0563C1" w:themeColor="hyperlink"/>
      <w:u w:val="single"/>
    </w:rPr>
  </w:style>
  <w:style w:type="character" w:styleId="UnresolvedMention">
    <w:name w:val="Unresolved Mention"/>
    <w:basedOn w:val="DefaultParagraphFont"/>
    <w:uiPriority w:val="99"/>
    <w:rsid w:val="001323C7"/>
    <w:rPr>
      <w:color w:val="605E5C"/>
      <w:shd w:val="clear" w:color="auto" w:fill="E1DFDD"/>
    </w:rPr>
  </w:style>
  <w:style w:type="character" w:styleId="FollowedHyperlink">
    <w:name w:val="FollowedHyperlink"/>
    <w:basedOn w:val="DefaultParagraphFont"/>
    <w:uiPriority w:val="99"/>
    <w:semiHidden/>
    <w:unhideWhenUsed/>
    <w:rsid w:val="00132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3313">
      <w:bodyDiv w:val="1"/>
      <w:marLeft w:val="0"/>
      <w:marRight w:val="0"/>
      <w:marTop w:val="0"/>
      <w:marBottom w:val="0"/>
      <w:divBdr>
        <w:top w:val="none" w:sz="0" w:space="0" w:color="auto"/>
        <w:left w:val="none" w:sz="0" w:space="0" w:color="auto"/>
        <w:bottom w:val="none" w:sz="0" w:space="0" w:color="auto"/>
        <w:right w:val="none" w:sz="0" w:space="0" w:color="auto"/>
      </w:divBdr>
    </w:div>
    <w:div w:id="272564963">
      <w:bodyDiv w:val="1"/>
      <w:marLeft w:val="0"/>
      <w:marRight w:val="0"/>
      <w:marTop w:val="0"/>
      <w:marBottom w:val="0"/>
      <w:divBdr>
        <w:top w:val="none" w:sz="0" w:space="0" w:color="auto"/>
        <w:left w:val="none" w:sz="0" w:space="0" w:color="auto"/>
        <w:bottom w:val="none" w:sz="0" w:space="0" w:color="auto"/>
        <w:right w:val="none" w:sz="0" w:space="0" w:color="auto"/>
      </w:divBdr>
    </w:div>
    <w:div w:id="300039125">
      <w:bodyDiv w:val="1"/>
      <w:marLeft w:val="0"/>
      <w:marRight w:val="0"/>
      <w:marTop w:val="0"/>
      <w:marBottom w:val="0"/>
      <w:divBdr>
        <w:top w:val="none" w:sz="0" w:space="0" w:color="auto"/>
        <w:left w:val="none" w:sz="0" w:space="0" w:color="auto"/>
        <w:bottom w:val="none" w:sz="0" w:space="0" w:color="auto"/>
        <w:right w:val="none" w:sz="0" w:space="0" w:color="auto"/>
      </w:divBdr>
    </w:div>
    <w:div w:id="599871487">
      <w:bodyDiv w:val="1"/>
      <w:marLeft w:val="0"/>
      <w:marRight w:val="0"/>
      <w:marTop w:val="0"/>
      <w:marBottom w:val="0"/>
      <w:divBdr>
        <w:top w:val="none" w:sz="0" w:space="0" w:color="auto"/>
        <w:left w:val="none" w:sz="0" w:space="0" w:color="auto"/>
        <w:bottom w:val="none" w:sz="0" w:space="0" w:color="auto"/>
        <w:right w:val="none" w:sz="0" w:space="0" w:color="auto"/>
      </w:divBdr>
    </w:div>
    <w:div w:id="958144068">
      <w:bodyDiv w:val="1"/>
      <w:marLeft w:val="0"/>
      <w:marRight w:val="0"/>
      <w:marTop w:val="0"/>
      <w:marBottom w:val="0"/>
      <w:divBdr>
        <w:top w:val="none" w:sz="0" w:space="0" w:color="auto"/>
        <w:left w:val="none" w:sz="0" w:space="0" w:color="auto"/>
        <w:bottom w:val="none" w:sz="0" w:space="0" w:color="auto"/>
        <w:right w:val="none" w:sz="0" w:space="0" w:color="auto"/>
      </w:divBdr>
    </w:div>
    <w:div w:id="970283581">
      <w:bodyDiv w:val="1"/>
      <w:marLeft w:val="0"/>
      <w:marRight w:val="0"/>
      <w:marTop w:val="0"/>
      <w:marBottom w:val="0"/>
      <w:divBdr>
        <w:top w:val="none" w:sz="0" w:space="0" w:color="auto"/>
        <w:left w:val="none" w:sz="0" w:space="0" w:color="auto"/>
        <w:bottom w:val="none" w:sz="0" w:space="0" w:color="auto"/>
        <w:right w:val="none" w:sz="0" w:space="0" w:color="auto"/>
      </w:divBdr>
    </w:div>
    <w:div w:id="1022434743">
      <w:bodyDiv w:val="1"/>
      <w:marLeft w:val="0"/>
      <w:marRight w:val="0"/>
      <w:marTop w:val="0"/>
      <w:marBottom w:val="0"/>
      <w:divBdr>
        <w:top w:val="none" w:sz="0" w:space="0" w:color="auto"/>
        <w:left w:val="none" w:sz="0" w:space="0" w:color="auto"/>
        <w:bottom w:val="none" w:sz="0" w:space="0" w:color="auto"/>
        <w:right w:val="none" w:sz="0" w:space="0" w:color="auto"/>
      </w:divBdr>
    </w:div>
    <w:div w:id="1316757248">
      <w:bodyDiv w:val="1"/>
      <w:marLeft w:val="0"/>
      <w:marRight w:val="0"/>
      <w:marTop w:val="0"/>
      <w:marBottom w:val="0"/>
      <w:divBdr>
        <w:top w:val="none" w:sz="0" w:space="0" w:color="auto"/>
        <w:left w:val="none" w:sz="0" w:space="0" w:color="auto"/>
        <w:bottom w:val="none" w:sz="0" w:space="0" w:color="auto"/>
        <w:right w:val="none" w:sz="0" w:space="0" w:color="auto"/>
      </w:divBdr>
    </w:div>
    <w:div w:id="1366758057">
      <w:bodyDiv w:val="1"/>
      <w:marLeft w:val="0"/>
      <w:marRight w:val="0"/>
      <w:marTop w:val="0"/>
      <w:marBottom w:val="0"/>
      <w:divBdr>
        <w:top w:val="none" w:sz="0" w:space="0" w:color="auto"/>
        <w:left w:val="none" w:sz="0" w:space="0" w:color="auto"/>
        <w:bottom w:val="none" w:sz="0" w:space="0" w:color="auto"/>
        <w:right w:val="none" w:sz="0" w:space="0" w:color="auto"/>
      </w:divBdr>
    </w:div>
    <w:div w:id="1430585970">
      <w:bodyDiv w:val="1"/>
      <w:marLeft w:val="0"/>
      <w:marRight w:val="0"/>
      <w:marTop w:val="0"/>
      <w:marBottom w:val="0"/>
      <w:divBdr>
        <w:top w:val="none" w:sz="0" w:space="0" w:color="auto"/>
        <w:left w:val="none" w:sz="0" w:space="0" w:color="auto"/>
        <w:bottom w:val="none" w:sz="0" w:space="0" w:color="auto"/>
        <w:right w:val="none" w:sz="0" w:space="0" w:color="auto"/>
      </w:divBdr>
    </w:div>
    <w:div w:id="1446777867">
      <w:bodyDiv w:val="1"/>
      <w:marLeft w:val="0"/>
      <w:marRight w:val="0"/>
      <w:marTop w:val="0"/>
      <w:marBottom w:val="0"/>
      <w:divBdr>
        <w:top w:val="none" w:sz="0" w:space="0" w:color="auto"/>
        <w:left w:val="none" w:sz="0" w:space="0" w:color="auto"/>
        <w:bottom w:val="none" w:sz="0" w:space="0" w:color="auto"/>
        <w:right w:val="none" w:sz="0" w:space="0" w:color="auto"/>
      </w:divBdr>
    </w:div>
    <w:div w:id="1645312627">
      <w:bodyDiv w:val="1"/>
      <w:marLeft w:val="0"/>
      <w:marRight w:val="0"/>
      <w:marTop w:val="0"/>
      <w:marBottom w:val="0"/>
      <w:divBdr>
        <w:top w:val="none" w:sz="0" w:space="0" w:color="auto"/>
        <w:left w:val="none" w:sz="0" w:space="0" w:color="auto"/>
        <w:bottom w:val="none" w:sz="0" w:space="0" w:color="auto"/>
        <w:right w:val="none" w:sz="0" w:space="0" w:color="auto"/>
      </w:divBdr>
    </w:div>
    <w:div w:id="1787651451">
      <w:bodyDiv w:val="1"/>
      <w:marLeft w:val="0"/>
      <w:marRight w:val="0"/>
      <w:marTop w:val="0"/>
      <w:marBottom w:val="0"/>
      <w:divBdr>
        <w:top w:val="none" w:sz="0" w:space="0" w:color="auto"/>
        <w:left w:val="none" w:sz="0" w:space="0" w:color="auto"/>
        <w:bottom w:val="none" w:sz="0" w:space="0" w:color="auto"/>
        <w:right w:val="none" w:sz="0" w:space="0" w:color="auto"/>
      </w:divBdr>
    </w:div>
    <w:div w:id="1814253642">
      <w:bodyDiv w:val="1"/>
      <w:marLeft w:val="0"/>
      <w:marRight w:val="0"/>
      <w:marTop w:val="0"/>
      <w:marBottom w:val="0"/>
      <w:divBdr>
        <w:top w:val="none" w:sz="0" w:space="0" w:color="auto"/>
        <w:left w:val="none" w:sz="0" w:space="0" w:color="auto"/>
        <w:bottom w:val="none" w:sz="0" w:space="0" w:color="auto"/>
        <w:right w:val="none" w:sz="0" w:space="0" w:color="auto"/>
      </w:divBdr>
    </w:div>
    <w:div w:id="1814904216">
      <w:bodyDiv w:val="1"/>
      <w:marLeft w:val="0"/>
      <w:marRight w:val="0"/>
      <w:marTop w:val="0"/>
      <w:marBottom w:val="0"/>
      <w:divBdr>
        <w:top w:val="none" w:sz="0" w:space="0" w:color="auto"/>
        <w:left w:val="none" w:sz="0" w:space="0" w:color="auto"/>
        <w:bottom w:val="none" w:sz="0" w:space="0" w:color="auto"/>
        <w:right w:val="none" w:sz="0" w:space="0" w:color="auto"/>
      </w:divBdr>
    </w:div>
    <w:div w:id="1910535871">
      <w:bodyDiv w:val="1"/>
      <w:marLeft w:val="0"/>
      <w:marRight w:val="0"/>
      <w:marTop w:val="0"/>
      <w:marBottom w:val="0"/>
      <w:divBdr>
        <w:top w:val="none" w:sz="0" w:space="0" w:color="auto"/>
        <w:left w:val="none" w:sz="0" w:space="0" w:color="auto"/>
        <w:bottom w:val="none" w:sz="0" w:space="0" w:color="auto"/>
        <w:right w:val="none" w:sz="0" w:space="0" w:color="auto"/>
      </w:divBdr>
    </w:div>
    <w:div w:id="2085830190">
      <w:bodyDiv w:val="1"/>
      <w:marLeft w:val="0"/>
      <w:marRight w:val="0"/>
      <w:marTop w:val="0"/>
      <w:marBottom w:val="0"/>
      <w:divBdr>
        <w:top w:val="none" w:sz="0" w:space="0" w:color="auto"/>
        <w:left w:val="none" w:sz="0" w:space="0" w:color="auto"/>
        <w:bottom w:val="none" w:sz="0" w:space="0" w:color="auto"/>
        <w:right w:val="none" w:sz="0" w:space="0" w:color="auto"/>
      </w:divBdr>
    </w:div>
    <w:div w:id="2105765436">
      <w:bodyDiv w:val="1"/>
      <w:marLeft w:val="0"/>
      <w:marRight w:val="0"/>
      <w:marTop w:val="0"/>
      <w:marBottom w:val="0"/>
      <w:divBdr>
        <w:top w:val="none" w:sz="0" w:space="0" w:color="auto"/>
        <w:left w:val="none" w:sz="0" w:space="0" w:color="auto"/>
        <w:bottom w:val="none" w:sz="0" w:space="0" w:color="auto"/>
        <w:right w:val="none" w:sz="0" w:space="0" w:color="auto"/>
      </w:divBdr>
    </w:div>
    <w:div w:id="2144035787">
      <w:bodyDiv w:val="1"/>
      <w:marLeft w:val="0"/>
      <w:marRight w:val="0"/>
      <w:marTop w:val="0"/>
      <w:marBottom w:val="0"/>
      <w:divBdr>
        <w:top w:val="none" w:sz="0" w:space="0" w:color="auto"/>
        <w:left w:val="none" w:sz="0" w:space="0" w:color="auto"/>
        <w:bottom w:val="none" w:sz="0" w:space="0" w:color="auto"/>
        <w:right w:val="none" w:sz="0" w:space="0" w:color="auto"/>
      </w:divBdr>
      <w:divsChild>
        <w:div w:id="1814954327">
          <w:marLeft w:val="0"/>
          <w:marRight w:val="0"/>
          <w:marTop w:val="0"/>
          <w:marBottom w:val="0"/>
          <w:divBdr>
            <w:top w:val="none" w:sz="0" w:space="0" w:color="auto"/>
            <w:left w:val="none" w:sz="0" w:space="0" w:color="auto"/>
            <w:bottom w:val="none" w:sz="0" w:space="0" w:color="auto"/>
            <w:right w:val="none" w:sz="0" w:space="0" w:color="auto"/>
          </w:divBdr>
        </w:div>
        <w:div w:id="1629125825">
          <w:marLeft w:val="0"/>
          <w:marRight w:val="0"/>
          <w:marTop w:val="0"/>
          <w:marBottom w:val="0"/>
          <w:divBdr>
            <w:top w:val="none" w:sz="0" w:space="0" w:color="auto"/>
            <w:left w:val="none" w:sz="0" w:space="0" w:color="auto"/>
            <w:bottom w:val="none" w:sz="0" w:space="0" w:color="auto"/>
            <w:right w:val="none" w:sz="0" w:space="0" w:color="auto"/>
          </w:divBdr>
        </w:div>
        <w:div w:id="779568240">
          <w:marLeft w:val="0"/>
          <w:marRight w:val="0"/>
          <w:marTop w:val="0"/>
          <w:marBottom w:val="0"/>
          <w:divBdr>
            <w:top w:val="none" w:sz="0" w:space="0" w:color="auto"/>
            <w:left w:val="none" w:sz="0" w:space="0" w:color="auto"/>
            <w:bottom w:val="none" w:sz="0" w:space="0" w:color="auto"/>
            <w:right w:val="none" w:sz="0" w:space="0" w:color="auto"/>
          </w:divBdr>
        </w:div>
        <w:div w:id="655887940">
          <w:marLeft w:val="0"/>
          <w:marRight w:val="0"/>
          <w:marTop w:val="0"/>
          <w:marBottom w:val="0"/>
          <w:divBdr>
            <w:top w:val="none" w:sz="0" w:space="0" w:color="auto"/>
            <w:left w:val="none" w:sz="0" w:space="0" w:color="auto"/>
            <w:bottom w:val="none" w:sz="0" w:space="0" w:color="auto"/>
            <w:right w:val="none" w:sz="0" w:space="0" w:color="auto"/>
          </w:divBdr>
        </w:div>
        <w:div w:id="1133794137">
          <w:marLeft w:val="0"/>
          <w:marRight w:val="0"/>
          <w:marTop w:val="0"/>
          <w:marBottom w:val="0"/>
          <w:divBdr>
            <w:top w:val="none" w:sz="0" w:space="0" w:color="auto"/>
            <w:left w:val="none" w:sz="0" w:space="0" w:color="auto"/>
            <w:bottom w:val="none" w:sz="0" w:space="0" w:color="auto"/>
            <w:right w:val="none" w:sz="0" w:space="0" w:color="auto"/>
          </w:divBdr>
        </w:div>
        <w:div w:id="398288856">
          <w:marLeft w:val="0"/>
          <w:marRight w:val="0"/>
          <w:marTop w:val="0"/>
          <w:marBottom w:val="0"/>
          <w:divBdr>
            <w:top w:val="none" w:sz="0" w:space="0" w:color="auto"/>
            <w:left w:val="none" w:sz="0" w:space="0" w:color="auto"/>
            <w:bottom w:val="none" w:sz="0" w:space="0" w:color="auto"/>
            <w:right w:val="none" w:sz="0" w:space="0" w:color="auto"/>
          </w:divBdr>
        </w:div>
        <w:div w:id="1767729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hysionet.org/physiobank/database/cv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ntare.bucaite@kcl.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1CE9-697D-5549-A4EB-F540F905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3615</Words>
  <Characters>20607</Characters>
  <Application>Microsoft Office Word</Application>
  <DocSecurity>0</DocSecurity>
  <Lines>171</Lines>
  <Paragraphs>48</Paragraphs>
  <ScaleCrop>false</ScaleCrop>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Bucaite, Gintare</dc:creator>
  <cp:keywords/>
  <dc:description/>
  <cp:lastModifiedBy>Bucaite, Gintare</cp:lastModifiedBy>
  <cp:revision>2</cp:revision>
  <dcterms:created xsi:type="dcterms:W3CDTF">2019-04-07T10:38:00Z</dcterms:created>
  <dcterms:modified xsi:type="dcterms:W3CDTF">2019-04-10T16:10:00Z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http://www.zotero.org/styles/the-journal-of-immunology</vt:lpwstr>
  </property>
  <property fmtid="{D5CDD505-2E9C-101B-9397-08002B2CF9AE}" pid="21" name="Mendeley Recent Style Name 9_1">
    <vt:lpwstr>The Journal of Immunology</vt:lpwstr>
  </property>
  <property fmtid="{D5CDD505-2E9C-101B-9397-08002B2CF9AE}" pid="22" name="Mendeley Document_1">
    <vt:lpwstr>True</vt:lpwstr>
  </property>
  <property fmtid="{D5CDD505-2E9C-101B-9397-08002B2CF9AE}" pid="23" name="Mendeley Unique User Id_1">
    <vt:lpwstr>eba6fb12-c103-397d-821f-f94d119a08aa</vt:lpwstr>
  </property>
  <property fmtid="{D5CDD505-2E9C-101B-9397-08002B2CF9AE}" pid="24" name="Mendeley Citation Style_1">
    <vt:lpwstr>http://www.zotero.org/styles/the-journal-of-immunology</vt:lpwstr>
  </property>
</Properties>
</file>