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E2761"/>
          <w:sz w:val="44"/>
          <w:szCs w:val="44"/>
        </w:rPr>
        <w:t xml:space="preserve">ROTEIRO DE APRESENTAÇÃO</w:t>
      </w:r>
    </w:p>
    <w:p>
      <w:pPr>
        <w:spacing w:after="60"/>
        <w:jc w:val="center"/>
      </w:pPr>
      <w:r>
        <w:rPr>
          <w:b/>
          <w:bCs/>
          <w:color w:val="1C7293"/>
          <w:sz w:val="28"/>
          <w:szCs w:val="28"/>
        </w:rPr>
        <w:t xml:space="preserve">Plataforma de Dados — Cobertura Vacinal (PNI/DataSUS)</w:t>
      </w:r>
    </w:p>
    <w:p>
      <w:pPr>
        <w:spacing w:after="300"/>
        <w:jc w:val="center"/>
      </w:pPr>
      <w:r>
        <w:rPr>
          <w:i/>
          <w:iCs/>
          <w:color w:val="5A5A5A"/>
          <w:sz w:val="22"/>
          <w:szCs w:val="22"/>
        </w:rPr>
        <w:t xml:space="preserve">Guia para discorrer e justificar, slide a slide, cada decisão do projeto</w:t>
      </w:r>
    </w:p>
    <w:p>
      <w:pPr>
        <w:spacing w:after="30"/>
        <w:jc w:val="center"/>
      </w:pPr>
      <w:r>
        <w:rPr>
          <w:color w:val="222222"/>
          <w:sz w:val="21"/>
          <w:szCs w:val="21"/>
        </w:rPr>
        <w:t xml:space="preserve">Andressa · Ellen · Giovanna</w:t>
      </w:r>
    </w:p>
    <w:p>
      <w:pPr>
        <w:spacing w:after="30"/>
        <w:jc w:val="center"/>
      </w:pPr>
      <w:r>
        <w:rPr>
          <w:color w:val="5A5A5A"/>
          <w:sz w:val="20"/>
          <w:szCs w:val="20"/>
        </w:rPr>
        <w:t xml:space="preserve">Pós-graduação · Engenharia de Dados aplicada à saúde pública</w:t>
      </w:r>
    </w:p>
    <w:p>
      <w:pPr>
        <w:spacing w:after="30"/>
        <w:jc w:val="center"/>
      </w:pPr>
      <w:r>
        <w:rPr>
          <w:color w:val="5A5A5A"/>
          <w:sz w:val="20"/>
          <w:szCs w:val="20"/>
        </w:rPr>
        <w:t xml:space="preserve">github.com/gioalvarino/Projeto-MBA-Uniesp</w:t>
      </w:r>
    </w:p>
    <w:p>
      <w:pPr>
        <w:spacing w:after="30"/>
        <w:jc w:val="center"/>
      </w:pPr>
      <w:r>
        <w:rPr>
          <w:color w:val="5A5A5A"/>
          <w:sz w:val="20"/>
          <w:szCs w:val="20"/>
        </w:rPr>
        <w:t xml:space="preserve">Apresentação: sábado, 29/08/2026</w:t>
      </w:r>
    </w:p>
    <w:p>
      <w:r>
        <w:br w:type="page"/>
      </w:r>
    </w:p>
    <w:p>
      <w:pPr>
        <w:pStyle w:val="Heading1"/>
        <w:pBdr>
          <w:bottom w:val="single" w:color="1E2761" w:sz="12" w:space="4"/>
        </w:pBdr>
        <w:spacing w:after="200" w:before="420"/>
      </w:pPr>
      <w:r>
        <w:rPr>
          <w:b/>
          <w:bCs/>
          <w:color w:val="1E2761"/>
          <w:sz w:val="30"/>
          <w:szCs w:val="30"/>
        </w:rPr>
        <w:t xml:space="preserve">COMO USAR ESTE ROTEIRO</w:t>
      </w:r>
    </w:p>
    <w:p>
      <w:pPr>
        <w:spacing w:after="160" w:line="280"/>
        <w:jc w:val="both"/>
      </w:pPr>
      <w:r>
        <w:rPr>
          <w:color w:val="222222"/>
          <w:sz w:val="21"/>
          <w:szCs w:val="21"/>
        </w:rPr>
        <w:t xml:space="preserve">Este documento acompanha, slide a slide, a apresentação técnica de 18 slides (arquivo apresentacao-tecnica-pni.pptx). Para cada slide há três partes: "Na tela", um lembrete rápido do que está visualmente mostrado (para quem está falando não precisar ficar virando o pescoço pra conferir); "Fala sugerida", um texto mais completo — quase um script — explicando E justificando a decisão por trás do que está no slide, amarrado sempre ao ADR correspondente; e, quando fizer sentido, um bloco "Se a banca perguntar", antecipando a pergunta mais provável daquele ponto específico e uma resposta pronta. Alguns slides também têm um "Detalhe extra": informação que não está escrita literalmente no slide, mas que é continuação direta da mesma história e é bom o trio saber explicar de cabeça, caso a banca aprofunde.</w:t>
      </w:r>
    </w:p>
    <w:p>
      <w:pPr>
        <w:spacing w:after="160" w:line="280"/>
        <w:jc w:val="both"/>
      </w:pPr>
      <w:r>
        <w:rPr>
          <w:color w:val="222222"/>
          <w:sz w:val="21"/>
          <w:szCs w:val="21"/>
        </w:rPr>
        <w:t xml:space="preserve">A lógica de organização segue exatamente o roteiro que o próprio slide 2 (Agenda) promete: seis blocos — 01 Contexto, 02 Arquitetura, 03 Dado real em escala, 04 Qualidade (achados e correções), 05 Controle de custo, e 06 Status atual. Cada bloco deste documento agrupa os slides correspondentes na ordem em que aparecem na apresentação.</w:t>
      </w:r>
    </w:p>
    <w:p>
      <w:pPr>
        <w:pStyle w:val="Heading2"/>
        <w:spacing w:after="120" w:before="320"/>
      </w:pPr>
      <w:r>
        <w:rPr>
          <w:b/>
          <w:bCs/>
          <w:color w:val="1C7293"/>
          <w:sz w:val="25"/>
          <w:szCs w:val="25"/>
        </w:rPr>
        <w:t xml:space="preserve">Sugestão de divisão de fala (ajustem à vontade)</w:t>
      </w:r>
    </w:p>
    <w:p>
      <w:pPr>
        <w:pStyle w:val="ListParagraph"/>
        <w:numPr>
          <w:ilvl w:val="0"/>
          <w:numId w:val="1"/>
        </w:numPr>
        <w:spacing w:after="60"/>
      </w:pPr>
      <w:r>
        <w:rPr>
          <w:color w:val="222222"/>
          <w:sz w:val="20"/>
          <w:szCs w:val="20"/>
        </w:rPr>
        <w:t xml:space="preserve">Abertura (slides 1-2) e Bloco 01 — Contexto (slide 3): quem quiser abrir a apresentação.</w:t>
      </w:r>
    </w:p>
    <w:p>
      <w:pPr>
        <w:pStyle w:val="ListParagraph"/>
        <w:numPr>
          <w:ilvl w:val="0"/>
          <w:numId w:val="1"/>
        </w:numPr>
        <w:spacing w:after="60"/>
      </w:pPr>
      <w:r>
        <w:rPr>
          <w:color w:val="222222"/>
          <w:sz w:val="20"/>
          <w:szCs w:val="20"/>
        </w:rPr>
        <w:t xml:space="preserve">Bloco 02 — Arquitetura (slides 4-7) e Bloco 04 — Qualidade: achados e correções (slides 9-14): faz sentido natural para quem esteve mais próximo da depuração do dbt/BigQuery nesta reta final — a fluência em explicar o "porquê" de cada bug costuma vir de quem resolveu o problema na prática.</w:t>
      </w:r>
    </w:p>
    <w:p>
      <w:pPr>
        <w:pStyle w:val="ListParagraph"/>
        <w:numPr>
          <w:ilvl w:val="0"/>
          <w:numId w:val="1"/>
        </w:numPr>
        <w:spacing w:after="60"/>
      </w:pPr>
      <w:r>
        <w:rPr>
          <w:color w:val="222222"/>
          <w:sz w:val="20"/>
          <w:szCs w:val="20"/>
        </w:rPr>
        <w:t xml:space="preserve">Bloco 03 — Dado real em escala (slide 8) e Bloco 05 — Controle de custo (slides 15-16): números diretos, qualquer um dos três apresenta com a mesma naturalidade.</w:t>
      </w:r>
    </w:p>
    <w:p>
      <w:pPr>
        <w:pStyle w:val="ListParagraph"/>
        <w:numPr>
          <w:ilvl w:val="0"/>
          <w:numId w:val="1"/>
        </w:numPr>
        <w:spacing w:after="60"/>
      </w:pPr>
      <w:r>
        <w:rPr>
          <w:color w:val="222222"/>
          <w:sz w:val="20"/>
          <w:szCs w:val="20"/>
        </w:rPr>
        <w:t xml:space="preserve">Bloco 06 — Status atual e próximos passos (slides 17-18): combina bem com quem está à frente da parte de Power BI/narrativa final, já que os próximos passos citam justamente essa frente.</w:t>
      </w:r>
    </w:p>
    <w:p>
      <w:pPr>
        <w:pStyle w:val="ListParagraph"/>
        <w:numPr>
          <w:ilvl w:val="0"/>
          <w:numId w:val="1"/>
        </w:numPr>
        <w:spacing w:after="60"/>
      </w:pPr>
      <w:r>
        <w:rPr>
          <w:color w:val="222222"/>
          <w:sz w:val="20"/>
          <w:szCs w:val="20"/>
        </w:rPr>
        <w:t xml:space="preserve">Encerramento e perguntas: o trio todo junto, na frente — mostra que qualquer um consegue responder qualquer pergunta, o que é exatamente o que a banca mais valoriza.</w:t>
      </w:r>
    </w:p>
    <w:p>
      <w:pPr>
        <w:pStyle w:val="Heading2"/>
        <w:spacing w:after="120" w:before="320"/>
      </w:pPr>
      <w:r>
        <w:rPr>
          <w:b/>
          <w:bCs/>
          <w:color w:val="1C7293"/>
          <w:sz w:val="25"/>
          <w:szCs w:val="25"/>
        </w:rPr>
        <w:t xml:space="preserve">Tempo estimado</w:t>
      </w:r>
    </w:p>
    <w:p>
      <w:pPr>
        <w:spacing w:after="160" w:line="280"/>
        <w:jc w:val="both"/>
      </w:pPr>
      <w:r>
        <w:rPr>
          <w:color w:val="222222"/>
          <w:sz w:val="21"/>
          <w:szCs w:val="21"/>
        </w:rPr>
        <w:t xml:space="preserve">18 slides, com ritmo confortável, tendem a ocupar entre 16 e 20 minutos de fala corrida. Sugestão de peso: slides de abertura, agenda e encerramento (1, 2, 18) — cerca de 30 segundos cada; slides de decisão e número direto (4, 6, 7, 8, 10, 12, 15) — cerca de 1 minuto cada; slides de achado real, que merecem contar a história completa (5, 9, 11, 13, 14, 16, 17) — entre 1 minuto e meio e 2 minutos cada. Isso deixa uma folga natural de 5 a 10 minutos para perguntas da banca, que é onde a nota realmente se decide.</w:t>
      </w:r>
    </w:p>
    <w:p>
      <w:r>
        <w:br w:type="page"/>
      </w:r>
    </w:p>
    <w:p>
      <w:pPr>
        <w:pStyle w:val="Heading1"/>
        <w:pBdr>
          <w:bottom w:val="single" w:color="1E2761" w:sz="12" w:space="4"/>
        </w:pBdr>
        <w:spacing w:after="200" w:before="420"/>
      </w:pPr>
      <w:r>
        <w:rPr>
          <w:b/>
          <w:bCs/>
          <w:color w:val="1E2761"/>
          <w:sz w:val="30"/>
          <w:szCs w:val="30"/>
        </w:rPr>
        <w:t xml:space="preserve">QUADRO-RESUMO DOS 10 ADRs</w:t>
      </w:r>
    </w:p>
    <w:p>
      <w:pPr>
        <w:spacing w:after="160" w:line="280"/>
        <w:jc w:val="both"/>
      </w:pPr>
      <w:r>
        <w:rPr>
          <w:color w:val="222222"/>
          <w:sz w:val="21"/>
          <w:szCs w:val="21"/>
        </w:rPr>
        <w:t xml:space="preserve">Consulta rápida para ter na manga durante as perguntas — cada ADR representa uma decisão relevante do projeto, registrada no momento em que foi tomada, com a justificativa completa disponível no repositório (docs/adr).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1E2761" w:val="clear"/>
            <w:tcMar>
              <w:top w:type="dxa" w:w="100"/>
              <w:left w:type="dxa" w:w="120"/>
              <w:bottom w:type="dxa" w:w="100"/>
              <w:right w:type="dxa" w:w="120"/>
            </w:tcMar>
          </w:tcPr>
          <w:p>
            <w:r>
              <w:rPr>
                <w:b/>
                <w:bCs/>
                <w:color w:val="FFFFFF"/>
                <w:sz w:val="19"/>
                <w:szCs w:val="19"/>
              </w:rPr>
              <w:t xml:space="preserve">ADR</w:t>
            </w:r>
          </w:p>
        </w:tc>
        <w:tc>
          <w:tcPr>
            <w:tcW w:type="dxa" w:w="3200"/>
            <w:shd w:fill="1E2761" w:val="clear"/>
            <w:tcMar>
              <w:top w:type="dxa" w:w="100"/>
              <w:left w:type="dxa" w:w="120"/>
              <w:bottom w:type="dxa" w:w="100"/>
              <w:right w:type="dxa" w:w="120"/>
            </w:tcMar>
          </w:tcPr>
          <w:p>
            <w:r>
              <w:rPr>
                <w:b/>
                <w:bCs/>
                <w:color w:val="FFFFFF"/>
                <w:sz w:val="19"/>
                <w:szCs w:val="19"/>
              </w:rPr>
              <w:t xml:space="preserve">Decisão</w:t>
            </w:r>
          </w:p>
        </w:tc>
        <w:tc>
          <w:tcPr>
            <w:tcW w:type="dxa" w:w="5400"/>
            <w:shd w:fill="1E2761" w:val="clear"/>
            <w:tcMar>
              <w:top w:type="dxa" w:w="100"/>
              <w:left w:type="dxa" w:w="120"/>
              <w:bottom w:type="dxa" w:w="100"/>
              <w:right w:type="dxa" w:w="120"/>
            </w:tcMar>
          </w:tcPr>
          <w:p>
            <w:r>
              <w:rPr>
                <w:b/>
                <w:bCs/>
                <w:color w:val="FFFFFF"/>
                <w:sz w:val="19"/>
                <w:szCs w:val="19"/>
              </w:rPr>
              <w:t xml:space="preserve">Justificativa em uma frase</w:t>
            </w:r>
          </w:p>
        </w:tc>
      </w:tr>
      <w:tr>
        <w:trPr>
          <w:tblHeader w:val="false"/>
        </w:trPr>
        <w:tc>
          <w:tcPr>
            <w:tcW w:type="dxa" w:w="900"/>
            <w:tcMar>
              <w:top w:type="dxa" w:w="100"/>
              <w:left w:type="dxa" w:w="120"/>
              <w:bottom w:type="dxa" w:w="100"/>
              <w:right w:type="dxa" w:w="120"/>
            </w:tcMar>
          </w:tcPr>
          <w:p>
            <w:r>
              <w:rPr>
                <w:b w:val="false"/>
                <w:bCs w:val="false"/>
                <w:color w:val="222222"/>
                <w:sz w:val="19"/>
                <w:szCs w:val="19"/>
              </w:rPr>
              <w:t xml:space="preserve">0001</w:t>
            </w:r>
          </w:p>
        </w:tc>
        <w:tc>
          <w:tcPr>
            <w:tcW w:type="dxa" w:w="3200"/>
            <w:tcMar>
              <w:top w:type="dxa" w:w="100"/>
              <w:left w:type="dxa" w:w="120"/>
              <w:bottom w:type="dxa" w:w="100"/>
              <w:right w:type="dxa" w:w="120"/>
            </w:tcMar>
          </w:tcPr>
          <w:p>
            <w:r>
              <w:rPr>
                <w:b w:val="false"/>
                <w:bCs w:val="false"/>
                <w:color w:val="222222"/>
                <w:sz w:val="19"/>
                <w:szCs w:val="19"/>
              </w:rPr>
              <w:t xml:space="preserve">Escolha da fonte de dados (PNI/DataSUS)</w:t>
            </w:r>
          </w:p>
        </w:tc>
        <w:tc>
          <w:tcPr>
            <w:tcW w:type="dxa" w:w="5400"/>
            <w:tcMar>
              <w:top w:type="dxa" w:w="100"/>
              <w:left w:type="dxa" w:w="120"/>
              <w:bottom w:type="dxa" w:w="100"/>
              <w:right w:type="dxa" w:w="120"/>
            </w:tcMar>
          </w:tcPr>
          <w:p>
            <w:r>
              <w:rPr>
                <w:b w:val="false"/>
                <w:bCs w:val="false"/>
                <w:color w:val="222222"/>
                <w:sz w:val="19"/>
                <w:szCs w:val="19"/>
              </w:rPr>
              <w:t xml:space="preserve">Cinco critérios objetivos: fonte pública, volume real, atualização semanal, dado "sujo" de verdade, pergunta de negócio real.</w:t>
            </w:r>
          </w:p>
        </w:tc>
      </w:tr>
      <w:tr>
        <w:trPr>
          <w:tblHeader w:val="false"/>
        </w:trPr>
        <w:tc>
          <w:tcPr>
            <w:tcW w:type="dxa" w:w="900"/>
            <w:shd w:fill="F3F5FA" w:val="clear"/>
            <w:tcMar>
              <w:top w:type="dxa" w:w="100"/>
              <w:left w:type="dxa" w:w="120"/>
              <w:bottom w:type="dxa" w:w="100"/>
              <w:right w:type="dxa" w:w="120"/>
            </w:tcMar>
          </w:tcPr>
          <w:p>
            <w:r>
              <w:rPr>
                <w:b w:val="false"/>
                <w:bCs w:val="false"/>
                <w:color w:val="222222"/>
                <w:sz w:val="19"/>
                <w:szCs w:val="19"/>
              </w:rPr>
              <w:t xml:space="preserve">0002</w:t>
            </w:r>
          </w:p>
        </w:tc>
        <w:tc>
          <w:tcPr>
            <w:tcW w:type="dxa" w:w="3200"/>
            <w:shd w:fill="F3F5FA" w:val="clear"/>
            <w:tcMar>
              <w:top w:type="dxa" w:w="100"/>
              <w:left w:type="dxa" w:w="120"/>
              <w:bottom w:type="dxa" w:w="100"/>
              <w:right w:type="dxa" w:w="120"/>
            </w:tcMar>
          </w:tcPr>
          <w:p>
            <w:r>
              <w:rPr>
                <w:b w:val="false"/>
                <w:bCs w:val="false"/>
                <w:color w:val="222222"/>
                <w:sz w:val="19"/>
                <w:szCs w:val="19"/>
              </w:rPr>
              <w:t xml:space="preserve">Forma de ingestão: CSV mensal, não API</w:t>
            </w:r>
          </w:p>
        </w:tc>
        <w:tc>
          <w:tcPr>
            <w:tcW w:type="dxa" w:w="5400"/>
            <w:shd w:fill="F3F5FA" w:val="clear"/>
            <w:tcMar>
              <w:top w:type="dxa" w:w="100"/>
              <w:left w:type="dxa" w:w="120"/>
              <w:bottom w:type="dxa" w:w="100"/>
              <w:right w:type="dxa" w:w="120"/>
            </w:tcMar>
          </w:tcPr>
          <w:p>
            <w:r>
              <w:rPr>
                <w:b w:val="false"/>
                <w:bCs w:val="false"/>
                <w:color w:val="222222"/>
                <w:sz w:val="19"/>
                <w:szCs w:val="19"/>
              </w:rPr>
              <w:t xml:space="preserve">API REST testada e descartada por não garantir ordenação estável entre requisições.</w:t>
            </w:r>
          </w:p>
        </w:tc>
      </w:tr>
      <w:tr>
        <w:trPr>
          <w:tblHeader w:val="false"/>
        </w:trPr>
        <w:tc>
          <w:tcPr>
            <w:tcW w:type="dxa" w:w="900"/>
            <w:tcMar>
              <w:top w:type="dxa" w:w="100"/>
              <w:left w:type="dxa" w:w="120"/>
              <w:bottom w:type="dxa" w:w="100"/>
              <w:right w:type="dxa" w:w="120"/>
            </w:tcMar>
          </w:tcPr>
          <w:p>
            <w:r>
              <w:rPr>
                <w:b w:val="false"/>
                <w:bCs w:val="false"/>
                <w:color w:val="222222"/>
                <w:sz w:val="19"/>
                <w:szCs w:val="19"/>
              </w:rPr>
              <w:t xml:space="preserve">0003</w:t>
            </w:r>
          </w:p>
        </w:tc>
        <w:tc>
          <w:tcPr>
            <w:tcW w:type="dxa" w:w="3200"/>
            <w:tcMar>
              <w:top w:type="dxa" w:w="100"/>
              <w:left w:type="dxa" w:w="120"/>
              <w:bottom w:type="dxa" w:w="100"/>
              <w:right w:type="dxa" w:w="120"/>
            </w:tcMar>
          </w:tcPr>
          <w:p>
            <w:r>
              <w:rPr>
                <w:b w:val="false"/>
                <w:bCs w:val="false"/>
                <w:color w:val="222222"/>
                <w:sz w:val="19"/>
                <w:szCs w:val="19"/>
              </w:rPr>
              <w:t xml:space="preserve">Plataforma (BigQuery) e controle de custo</w:t>
            </w:r>
          </w:p>
        </w:tc>
        <w:tc>
          <w:tcPr>
            <w:tcW w:type="dxa" w:w="5400"/>
            <w:tcMar>
              <w:top w:type="dxa" w:w="100"/>
              <w:left w:type="dxa" w:w="120"/>
              <w:bottom w:type="dxa" w:w="100"/>
              <w:right w:type="dxa" w:w="120"/>
            </w:tcMar>
          </w:tcPr>
          <w:p>
            <w:r>
              <w:rPr>
                <w:b w:val="false"/>
                <w:bCs w:val="false"/>
                <w:color w:val="222222"/>
                <w:sz w:val="19"/>
                <w:szCs w:val="19"/>
              </w:rPr>
              <w:t xml:space="preserve">8 alternativas avaliadas e descartadas por motivo concreto; 4 camadas de proteção contra cobrança (cota diária, maximum_bytes_billed, always-free, alertas).</w:t>
            </w:r>
          </w:p>
        </w:tc>
      </w:tr>
      <w:tr>
        <w:trPr>
          <w:tblHeader w:val="false"/>
        </w:trPr>
        <w:tc>
          <w:tcPr>
            <w:tcW w:type="dxa" w:w="900"/>
            <w:shd w:fill="F3F5FA" w:val="clear"/>
            <w:tcMar>
              <w:top w:type="dxa" w:w="100"/>
              <w:left w:type="dxa" w:w="120"/>
              <w:bottom w:type="dxa" w:w="100"/>
              <w:right w:type="dxa" w:w="120"/>
            </w:tcMar>
          </w:tcPr>
          <w:p>
            <w:r>
              <w:rPr>
                <w:b w:val="false"/>
                <w:bCs w:val="false"/>
                <w:color w:val="222222"/>
                <w:sz w:val="19"/>
                <w:szCs w:val="19"/>
              </w:rPr>
              <w:t xml:space="preserve">0004</w:t>
            </w:r>
          </w:p>
        </w:tc>
        <w:tc>
          <w:tcPr>
            <w:tcW w:type="dxa" w:w="3200"/>
            <w:shd w:fill="F3F5FA" w:val="clear"/>
            <w:tcMar>
              <w:top w:type="dxa" w:w="100"/>
              <w:left w:type="dxa" w:w="120"/>
              <w:bottom w:type="dxa" w:w="100"/>
              <w:right w:type="dxa" w:w="120"/>
            </w:tcMar>
          </w:tcPr>
          <w:p>
            <w:r>
              <w:rPr>
                <w:b w:val="false"/>
                <w:bCs w:val="false"/>
                <w:color w:val="222222"/>
                <w:sz w:val="19"/>
                <w:szCs w:val="19"/>
              </w:rPr>
              <w:t xml:space="preserve">Arquitetura medalhão (bronze/silver/gold)</w:t>
            </w:r>
          </w:p>
        </w:tc>
        <w:tc>
          <w:tcPr>
            <w:tcW w:type="dxa" w:w="5400"/>
            <w:shd w:fill="F3F5FA" w:val="clear"/>
            <w:tcMar>
              <w:top w:type="dxa" w:w="100"/>
              <w:left w:type="dxa" w:w="120"/>
              <w:bottom w:type="dxa" w:w="100"/>
              <w:right w:type="dxa" w:w="120"/>
            </w:tcMar>
          </w:tcPr>
          <w:p>
            <w:r>
              <w:rPr>
                <w:b w:val="false"/>
                <w:bCs w:val="false"/>
                <w:color w:val="222222"/>
                <w:sz w:val="19"/>
                <w:szCs w:val="19"/>
              </w:rPr>
              <w:t xml:space="preserve">Separa responsabilidade de reprocessamento: mudança de regra reprocessa a partir da bronze; mudança de schema na fonte fica isolada na silver.</w:t>
            </w:r>
          </w:p>
        </w:tc>
      </w:tr>
      <w:tr>
        <w:trPr>
          <w:tblHeader w:val="false"/>
        </w:trPr>
        <w:tc>
          <w:tcPr>
            <w:tcW w:type="dxa" w:w="900"/>
            <w:tcMar>
              <w:top w:type="dxa" w:w="100"/>
              <w:left w:type="dxa" w:w="120"/>
              <w:bottom w:type="dxa" w:w="100"/>
              <w:right w:type="dxa" w:w="120"/>
            </w:tcMar>
          </w:tcPr>
          <w:p>
            <w:r>
              <w:rPr>
                <w:b w:val="false"/>
                <w:bCs w:val="false"/>
                <w:color w:val="222222"/>
                <w:sz w:val="19"/>
                <w:szCs w:val="19"/>
              </w:rPr>
              <w:t xml:space="preserve">0005</w:t>
            </w:r>
          </w:p>
        </w:tc>
        <w:tc>
          <w:tcPr>
            <w:tcW w:type="dxa" w:w="3200"/>
            <w:tcMar>
              <w:top w:type="dxa" w:w="100"/>
              <w:left w:type="dxa" w:w="120"/>
              <w:bottom w:type="dxa" w:w="100"/>
              <w:right w:type="dxa" w:w="120"/>
            </w:tcMar>
          </w:tcPr>
          <w:p>
            <w:r>
              <w:rPr>
                <w:b w:val="false"/>
                <w:bCs w:val="false"/>
                <w:color w:val="222222"/>
                <w:sz w:val="19"/>
                <w:szCs w:val="19"/>
              </w:rPr>
              <w:t xml:space="preserve">LGPD por design</w:t>
            </w:r>
          </w:p>
        </w:tc>
        <w:tc>
          <w:tcPr>
            <w:tcW w:type="dxa" w:w="5400"/>
            <w:tcMar>
              <w:top w:type="dxa" w:w="100"/>
              <w:left w:type="dxa" w:w="120"/>
              <w:bottom w:type="dxa" w:w="100"/>
              <w:right w:type="dxa" w:w="120"/>
            </w:tcMar>
          </w:tcPr>
          <w:p>
            <w:r>
              <w:rPr>
                <w:b w:val="false"/>
                <w:bCs w:val="false"/>
                <w:color w:val="222222"/>
                <w:sz w:val="19"/>
                <w:szCs w:val="19"/>
              </w:rPr>
              <w:t xml:space="preserve">CEP e código de paciente não avançam além da silver; toda agregação é por município/faixa etária, nunca por indivíduo.</w:t>
            </w:r>
          </w:p>
        </w:tc>
      </w:tr>
      <w:tr>
        <w:trPr>
          <w:tblHeader w:val="false"/>
        </w:trPr>
        <w:tc>
          <w:tcPr>
            <w:tcW w:type="dxa" w:w="900"/>
            <w:shd w:fill="F3F5FA" w:val="clear"/>
            <w:tcMar>
              <w:top w:type="dxa" w:w="100"/>
              <w:left w:type="dxa" w:w="120"/>
              <w:bottom w:type="dxa" w:w="100"/>
              <w:right w:type="dxa" w:w="120"/>
            </w:tcMar>
          </w:tcPr>
          <w:p>
            <w:r>
              <w:rPr>
                <w:b w:val="false"/>
                <w:bCs w:val="false"/>
                <w:color w:val="222222"/>
                <w:sz w:val="19"/>
                <w:szCs w:val="19"/>
              </w:rPr>
              <w:t xml:space="preserve">0006</w:t>
            </w:r>
          </w:p>
        </w:tc>
        <w:tc>
          <w:tcPr>
            <w:tcW w:type="dxa" w:w="3200"/>
            <w:shd w:fill="F3F5FA" w:val="clear"/>
            <w:tcMar>
              <w:top w:type="dxa" w:w="100"/>
              <w:left w:type="dxa" w:w="120"/>
              <w:bottom w:type="dxa" w:w="100"/>
              <w:right w:type="dxa" w:w="120"/>
            </w:tcMar>
          </w:tcPr>
          <w:p>
            <w:r>
              <w:rPr>
                <w:b w:val="false"/>
                <w:bCs w:val="false"/>
                <w:color w:val="222222"/>
                <w:sz w:val="19"/>
                <w:szCs w:val="19"/>
              </w:rPr>
              <w:t xml:space="preserve">Isolamento por schema (dev_&lt;nome&gt; / CI)</w:t>
            </w:r>
          </w:p>
        </w:tc>
        <w:tc>
          <w:tcPr>
            <w:tcW w:type="dxa" w:w="5400"/>
            <w:shd w:fill="F3F5FA" w:val="clear"/>
            <w:tcMar>
              <w:top w:type="dxa" w:w="100"/>
              <w:left w:type="dxa" w:w="120"/>
              <w:bottom w:type="dxa" w:w="100"/>
              <w:right w:type="dxa" w:w="120"/>
            </w:tcMar>
          </w:tcPr>
          <w:p>
            <w:r>
              <w:rPr>
                <w:b w:val="false"/>
                <w:bCs w:val="false"/>
                <w:color w:val="222222"/>
                <w:sz w:val="19"/>
                <w:szCs w:val="19"/>
              </w:rPr>
              <w:t xml:space="preserve">Cada integrante materializa só no próprio schema de desenvolvimento; só a service account do CI escreve em silver/gold.</w:t>
            </w:r>
          </w:p>
        </w:tc>
      </w:tr>
      <w:tr>
        <w:trPr>
          <w:tblHeader w:val="false"/>
        </w:trPr>
        <w:tc>
          <w:tcPr>
            <w:tcW w:type="dxa" w:w="900"/>
            <w:tcMar>
              <w:top w:type="dxa" w:w="100"/>
              <w:left w:type="dxa" w:w="120"/>
              <w:bottom w:type="dxa" w:w="100"/>
              <w:right w:type="dxa" w:w="120"/>
            </w:tcMar>
          </w:tcPr>
          <w:p>
            <w:r>
              <w:rPr>
                <w:b w:val="false"/>
                <w:bCs w:val="false"/>
                <w:color w:val="222222"/>
                <w:sz w:val="19"/>
                <w:szCs w:val="19"/>
              </w:rPr>
              <w:t xml:space="preserve">0007</w:t>
            </w:r>
          </w:p>
        </w:tc>
        <w:tc>
          <w:tcPr>
            <w:tcW w:type="dxa" w:w="3200"/>
            <w:tcMar>
              <w:top w:type="dxa" w:w="100"/>
              <w:left w:type="dxa" w:w="120"/>
              <w:bottom w:type="dxa" w:w="100"/>
              <w:right w:type="dxa" w:w="120"/>
            </w:tcMar>
          </w:tcPr>
          <w:p>
            <w:r>
              <w:rPr>
                <w:b w:val="false"/>
                <w:bCs w:val="false"/>
                <w:color w:val="222222"/>
                <w:sz w:val="19"/>
                <w:szCs w:val="19"/>
              </w:rPr>
              <w:t xml:space="preserve">Geografia de cobertura com fallback</w:t>
            </w:r>
          </w:p>
        </w:tc>
        <w:tc>
          <w:tcPr>
            <w:tcW w:type="dxa" w:w="5400"/>
            <w:tcMar>
              <w:top w:type="dxa" w:w="100"/>
              <w:left w:type="dxa" w:w="120"/>
              <w:bottom w:type="dxa" w:w="100"/>
              <w:right w:type="dxa" w:w="120"/>
            </w:tcMar>
          </w:tcPr>
          <w:p>
            <w:r>
              <w:rPr>
                <w:b w:val="false"/>
                <w:bCs w:val="false"/>
                <w:color w:val="222222"/>
                <w:sz w:val="19"/>
                <w:szCs w:val="19"/>
              </w:rPr>
              <w:t xml:space="preserve">Sentinelas de "ignorado" (999999/XX) tratadas como nulo; join de município sempre por código, nunca por nome.</w:t>
            </w:r>
          </w:p>
        </w:tc>
      </w:tr>
      <w:tr>
        <w:trPr>
          <w:tblHeader w:val="false"/>
        </w:trPr>
        <w:tc>
          <w:tcPr>
            <w:tcW w:type="dxa" w:w="900"/>
            <w:shd w:fill="F3F5FA" w:val="clear"/>
            <w:tcMar>
              <w:top w:type="dxa" w:w="100"/>
              <w:left w:type="dxa" w:w="120"/>
              <w:bottom w:type="dxa" w:w="100"/>
              <w:right w:type="dxa" w:w="120"/>
            </w:tcMar>
          </w:tcPr>
          <w:p>
            <w:r>
              <w:rPr>
                <w:b w:val="false"/>
                <w:bCs w:val="false"/>
                <w:color w:val="222222"/>
                <w:sz w:val="19"/>
                <w:szCs w:val="19"/>
              </w:rPr>
              <w:t xml:space="preserve">0008</w:t>
            </w:r>
          </w:p>
        </w:tc>
        <w:tc>
          <w:tcPr>
            <w:tcW w:type="dxa" w:w="3200"/>
            <w:shd w:fill="F3F5FA" w:val="clear"/>
            <w:tcMar>
              <w:top w:type="dxa" w:w="100"/>
              <w:left w:type="dxa" w:w="120"/>
              <w:bottom w:type="dxa" w:w="100"/>
              <w:right w:type="dxa" w:w="120"/>
            </w:tcMar>
          </w:tcPr>
          <w:p>
            <w:r>
              <w:rPr>
                <w:b w:val="false"/>
                <w:bCs w:val="false"/>
                <w:color w:val="222222"/>
                <w:sz w:val="19"/>
                <w:szCs w:val="19"/>
              </w:rPr>
              <w:t xml:space="preserve">Modelo estrela gold + grão mensal</w:t>
            </w:r>
          </w:p>
        </w:tc>
        <w:tc>
          <w:tcPr>
            <w:tcW w:type="dxa" w:w="5400"/>
            <w:shd w:fill="F3F5FA" w:val="clear"/>
            <w:tcMar>
              <w:top w:type="dxa" w:w="100"/>
              <w:left w:type="dxa" w:w="120"/>
              <w:bottom w:type="dxa" w:w="100"/>
              <w:right w:type="dxa" w:w="120"/>
            </w:tcMar>
          </w:tcPr>
          <w:p>
            <w:r>
              <w:rPr>
                <w:b w:val="false"/>
                <w:bCs w:val="false"/>
                <w:color w:val="222222"/>
                <w:sz w:val="19"/>
                <w:szCs w:val="19"/>
              </w:rPr>
              <w:t xml:space="preserve">Fato + 5 dimensões; grão mudou de diário para mensal (49M→16,2M linhas) porque cobertura vacinal é sempre reportada por mês, nunca por dia; nomes de vacina/dose/estratégia resolvidos direto da fonte.</w:t>
            </w:r>
          </w:p>
        </w:tc>
      </w:tr>
      <w:tr>
        <w:trPr>
          <w:tblHeader w:val="false"/>
        </w:trPr>
        <w:tc>
          <w:tcPr>
            <w:tcW w:type="dxa" w:w="900"/>
            <w:tcMar>
              <w:top w:type="dxa" w:w="100"/>
              <w:left w:type="dxa" w:w="120"/>
              <w:bottom w:type="dxa" w:w="100"/>
              <w:right w:type="dxa" w:w="120"/>
            </w:tcMar>
          </w:tcPr>
          <w:p>
            <w:r>
              <w:rPr>
                <w:b w:val="false"/>
                <w:bCs w:val="false"/>
                <w:color w:val="222222"/>
                <w:sz w:val="19"/>
                <w:szCs w:val="19"/>
              </w:rPr>
              <w:t xml:space="preserve">0009</w:t>
            </w:r>
          </w:p>
        </w:tc>
        <w:tc>
          <w:tcPr>
            <w:tcW w:type="dxa" w:w="3200"/>
            <w:tcMar>
              <w:top w:type="dxa" w:w="100"/>
              <w:left w:type="dxa" w:w="120"/>
              <w:bottom w:type="dxa" w:w="100"/>
              <w:right w:type="dxa" w:w="120"/>
            </w:tcMar>
          </w:tcPr>
          <w:p>
            <w:r>
              <w:rPr>
                <w:b w:val="false"/>
                <w:bCs w:val="false"/>
                <w:color w:val="222222"/>
                <w:sz w:val="19"/>
                <w:szCs w:val="19"/>
              </w:rPr>
              <w:t xml:space="preserve">Enriquecimento de município via IBGE</w:t>
            </w:r>
          </w:p>
        </w:tc>
        <w:tc>
          <w:tcPr>
            <w:tcW w:type="dxa" w:w="5400"/>
            <w:tcMar>
              <w:top w:type="dxa" w:w="100"/>
              <w:left w:type="dxa" w:w="120"/>
              <w:bottom w:type="dxa" w:w="100"/>
              <w:right w:type="dxa" w:w="120"/>
            </w:tcMar>
          </w:tcPr>
          <w:p>
            <w:r>
              <w:rPr>
                <w:b w:val="false"/>
                <w:bCs w:val="false"/>
                <w:color w:val="222222"/>
                <w:sz w:val="19"/>
                <w:szCs w:val="19"/>
              </w:rPr>
              <w:t xml:space="preserve">Consulta via source() sem copiar dado; correção do join por 6 dígitos (DATASUS) vs 7 dígitos (IBGE); tratamento das Regiões Administrativas do DF e sentinelas "UF+0000".</w:t>
            </w:r>
          </w:p>
        </w:tc>
      </w:tr>
      <w:tr>
        <w:trPr>
          <w:tblHeader w:val="false"/>
        </w:trPr>
        <w:tc>
          <w:tcPr>
            <w:tcW w:type="dxa" w:w="900"/>
            <w:shd w:fill="F3F5FA" w:val="clear"/>
            <w:tcMar>
              <w:top w:type="dxa" w:w="100"/>
              <w:left w:type="dxa" w:w="120"/>
              <w:bottom w:type="dxa" w:w="100"/>
              <w:right w:type="dxa" w:w="120"/>
            </w:tcMar>
          </w:tcPr>
          <w:p>
            <w:r>
              <w:rPr>
                <w:b w:val="false"/>
                <w:bCs w:val="false"/>
                <w:color w:val="222222"/>
                <w:sz w:val="19"/>
                <w:szCs w:val="19"/>
              </w:rPr>
              <w:t xml:space="preserve">0010</w:t>
            </w:r>
          </w:p>
        </w:tc>
        <w:tc>
          <w:tcPr>
            <w:tcW w:type="dxa" w:w="3200"/>
            <w:shd w:fill="F3F5FA" w:val="clear"/>
            <w:tcMar>
              <w:top w:type="dxa" w:w="100"/>
              <w:left w:type="dxa" w:w="120"/>
              <w:bottom w:type="dxa" w:w="100"/>
              <w:right w:type="dxa" w:w="120"/>
            </w:tcMar>
          </w:tcPr>
          <w:p>
            <w:r>
              <w:rPr>
                <w:b w:val="false"/>
                <w:bCs w:val="false"/>
                <w:color w:val="222222"/>
                <w:sz w:val="19"/>
                <w:szCs w:val="19"/>
              </w:rPr>
              <w:t xml:space="preserve">Seed de metas oficiais (meta_vacinal)</w:t>
            </w:r>
          </w:p>
        </w:tc>
        <w:tc>
          <w:tcPr>
            <w:tcW w:type="dxa" w:w="5400"/>
            <w:shd w:fill="F3F5FA" w:val="clear"/>
            <w:tcMar>
              <w:top w:type="dxa" w:w="100"/>
              <w:left w:type="dxa" w:w="120"/>
              <w:bottom w:type="dxa" w:w="100"/>
              <w:right w:type="dxa" w:w="120"/>
            </w:tcMar>
          </w:tcPr>
          <w:p>
            <w:r>
              <w:rPr>
                <w:b w:val="false"/>
                <w:bCs w:val="false"/>
                <w:color w:val="222222"/>
                <w:sz w:val="19"/>
                <w:szCs w:val="19"/>
              </w:rPr>
              <w:t xml:space="preserve">19 vacinas oficiais como referência de meta — de-para contra os ~90 nomes reais em dim_vacina ainda é pendência aberta.</w:t>
            </w:r>
          </w:p>
        </w:tc>
      </w:tr>
    </w:tbl>
    <w:p>
      <w:pPr>
        <w:pStyle w:val="Heading1"/>
        <w:pageBreakBefore/>
        <w:pBdr>
          <w:bottom w:val="single" w:color="1E2761" w:sz="12" w:space="4"/>
        </w:pBdr>
        <w:spacing w:after="200" w:before="420"/>
      </w:pPr>
      <w:r>
        <w:rPr>
          <w:b/>
          <w:bCs/>
          <w:color w:val="1E2761"/>
          <w:sz w:val="30"/>
          <w:szCs w:val="30"/>
        </w:rPr>
        <w:t xml:space="preserve">ABERTURA</w:t>
      </w:r>
    </w:p>
    <w:p>
      <w:pPr>
        <w:shd w:fill="1E2761" w:val="clear"/>
        <w:spacing w:after="40" w:before="380"/>
      </w:pPr>
      <w:r>
        <w:rPr>
          <w:b/>
          <w:bCs/>
          <w:color w:val="FFFFFF"/>
          <w:sz w:val="19"/>
          <w:szCs w:val="19"/>
        </w:rPr>
        <w:t xml:space="preserve">  SLIDE 1  </w:t>
      </w:r>
    </w:p>
    <w:p>
      <w:pPr>
        <w:spacing w:after="60" w:before="0"/>
      </w:pPr>
      <w:r>
        <w:rPr>
          <w:b/>
          <w:bCs/>
          <w:color w:val="B85042"/>
          <w:spacing w:val="20"/>
          <w:sz w:val="18"/>
          <w:szCs w:val="18"/>
        </w:rPr>
        <w:t xml:space="preserve">CAPA</w:t>
      </w:r>
    </w:p>
    <w:p>
      <w:pPr>
        <w:spacing w:after="140"/>
      </w:pPr>
      <w:r>
        <w:rPr>
          <w:b/>
          <w:bCs/>
          <w:color w:val="222222"/>
          <w:sz w:val="26"/>
          <w:szCs w:val="26"/>
        </w:rPr>
        <w:t xml:space="preserve">Capa — Plataforma de Dados: Cobertura Vacinal (PNI/DataSUS)</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Título e subtítulo do projeto</w:t>
      </w:r>
    </w:p>
    <w:p>
      <w:pPr>
        <w:pStyle w:val="ListParagraph"/>
        <w:numPr>
          <w:ilvl w:val="0"/>
          <w:numId w:val="1"/>
        </w:numPr>
        <w:spacing w:after="60"/>
      </w:pPr>
      <w:r>
        <w:rPr>
          <w:color w:val="222222"/>
          <w:sz w:val="20"/>
          <w:szCs w:val="20"/>
        </w:rPr>
        <w:t xml:space="preserve">Equipe: Andressa, Ellen, Giovanna</w:t>
      </w:r>
    </w:p>
    <w:p>
      <w:pPr>
        <w:pStyle w:val="ListParagraph"/>
        <w:numPr>
          <w:ilvl w:val="0"/>
          <w:numId w:val="1"/>
        </w:numPr>
        <w:spacing w:after="60"/>
      </w:pPr>
      <w:r>
        <w:rPr>
          <w:color w:val="222222"/>
          <w:sz w:val="20"/>
          <w:szCs w:val="20"/>
        </w:rPr>
        <w:t xml:space="preserve">Link do repositório: github.com/gioalvarino/Projeto-MBA-Uniesp</w:t>
      </w:r>
    </w:p>
    <w:p>
      <w:pPr>
        <w:pStyle w:val="ListParagraph"/>
        <w:numPr>
          <w:ilvl w:val="0"/>
          <w:numId w:val="1"/>
        </w:numPr>
        <w:spacing w:after="60"/>
      </w:pPr>
      <w:r>
        <w:rPr>
          <w:color w:val="222222"/>
          <w:sz w:val="20"/>
          <w:szCs w:val="20"/>
        </w:rPr>
        <w:t xml:space="preserve">Identificação: Pós-graduação em Engenharia de Dados aplicada à saúde pública</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Essa é a abertura institucional: apresentar o trio, o tema — uma plataforma de dados de cobertura vacinal construída sobre a base pública do PNI/DataSUS — e situar o projeto dentro da pós-graduação em Engenharia de Dados aplicada à saúde pública.</w:t>
      </w:r>
    </w:p>
    <w:p>
      <w:pPr>
        <w:spacing w:after="160" w:line="280"/>
        <w:jc w:val="both"/>
      </w:pPr>
      <w:r>
        <w:rPr>
          <w:color w:val="222222"/>
          <w:sz w:val="21"/>
          <w:szCs w:val="21"/>
        </w:rPr>
        <w:t xml:space="preserve">Vale já citar, logo na abertura, que o repositório do projeto é público e está linkado desde o primeiro slide — isso planta, antes mesmo de entrar em qualquer conteúdo técnico, a ideia de transparência total que vai se repetir ao longo de toda a apresentação: cada decisão que será mostrada tem lastro documentado e verificável no Git.</w:t>
      </w:r>
    </w:p>
    <w:p>
      <w:pPr>
        <w:shd w:fill="1E2761" w:val="clear"/>
        <w:spacing w:after="40" w:before="380"/>
      </w:pPr>
      <w:r>
        <w:rPr>
          <w:b/>
          <w:bCs/>
          <w:color w:val="FFFFFF"/>
          <w:sz w:val="19"/>
          <w:szCs w:val="19"/>
        </w:rPr>
        <w:t xml:space="preserve">  SLIDE 2  </w:t>
      </w:r>
    </w:p>
    <w:p>
      <w:pPr>
        <w:spacing w:after="60" w:before="0"/>
      </w:pPr>
      <w:r>
        <w:rPr>
          <w:b/>
          <w:bCs/>
          <w:color w:val="B85042"/>
          <w:spacing w:val="20"/>
          <w:sz w:val="18"/>
          <w:szCs w:val="18"/>
        </w:rPr>
        <w:t xml:space="preserve">AGENDA</w:t>
      </w:r>
    </w:p>
    <w:p>
      <w:pPr>
        <w:spacing w:after="140"/>
      </w:pPr>
      <w:r>
        <w:rPr>
          <w:b/>
          <w:bCs/>
          <w:color w:val="222222"/>
          <w:sz w:val="26"/>
          <w:szCs w:val="26"/>
        </w:rPr>
        <w:t xml:space="preserve">Roteiro — o que este material cobre</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6 blocos numerados: 01 Contexto, 02 Arquitetura, 03 Dado real em escala, 04 Qualidade, 05 Controle de custo, 06 Status atual</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Aqui vale explicar rapidamente a lógica do próprio roteiro, porque ela também é uma decisão deliberada: a apresentação caminha da pergunta de negócio (por que este projeto existe) para a arquitetura (como foi construído), depois prova que o volume é real e não simulado, expõe os achados de qualidade encontrados em produção — que é o bloco mais denso e, na nossa visão, o que mais demonstra raciocínio de engenharia — e fecha com controle de custo e status atual.</w:t>
      </w:r>
    </w:p>
    <w:p>
      <w:pPr>
        <w:spacing w:after="160" w:line="280"/>
        <w:jc w:val="both"/>
      </w:pPr>
      <w:r>
        <w:rPr>
          <w:color w:val="222222"/>
          <w:sz w:val="21"/>
          <w:szCs w:val="21"/>
        </w:rPr>
        <w:t xml:space="preserve">Vale avisar à banca, em uma frase, que a apresentação segue exatamente essa ordem, para que ela já saiba onde encontrar cada assunto se quiser interromper com uma pergunta no meio.</w:t>
      </w:r>
    </w:p>
    <w:p>
      <w:r>
        <w:br w:type="page"/>
      </w:r>
    </w:p>
    <w:p>
      <w:pPr>
        <w:pStyle w:val="Heading1"/>
        <w:pBdr>
          <w:bottom w:val="single" w:color="1E2761" w:sz="12" w:space="4"/>
        </w:pBdr>
        <w:spacing w:after="200" w:before="420"/>
      </w:pPr>
      <w:r>
        <w:rPr>
          <w:b/>
          <w:bCs/>
          <w:color w:val="1E2761"/>
          <w:sz w:val="30"/>
          <w:szCs w:val="30"/>
        </w:rPr>
        <w:t xml:space="preserve">BLOCO 01 — Contexto e pergunta de negócio</w:t>
      </w:r>
    </w:p>
    <w:p>
      <w:pPr>
        <w:spacing w:after="200"/>
      </w:pPr>
      <w:r>
        <w:rPr>
          <w:i/>
          <w:iCs/>
          <w:color w:val="5A5A5A"/>
          <w:sz w:val="21"/>
          <w:szCs w:val="21"/>
        </w:rPr>
        <w:t xml:space="preserve">Por que escolhemos cobertura vacinal e a base do PNI, e qual pergunta de negócio a arquitetura inteira foi desenhada para responder.</w:t>
      </w:r>
    </w:p>
    <w:p>
      <w:pPr>
        <w:shd w:fill="1E2761" w:val="clear"/>
        <w:spacing w:after="40" w:before="380"/>
      </w:pPr>
      <w:r>
        <w:rPr>
          <w:b/>
          <w:bCs/>
          <w:color w:val="FFFFFF"/>
          <w:sz w:val="19"/>
          <w:szCs w:val="19"/>
        </w:rPr>
        <w:t xml:space="preserve">  SLIDE 3  </w:t>
      </w:r>
    </w:p>
    <w:p>
      <w:pPr>
        <w:spacing w:after="60" w:before="0"/>
      </w:pPr>
      <w:r>
        <w:rPr>
          <w:b/>
          <w:bCs/>
          <w:color w:val="B85042"/>
          <w:spacing w:val="20"/>
          <w:sz w:val="18"/>
          <w:szCs w:val="18"/>
        </w:rPr>
        <w:t xml:space="preserve">CONTEXTO · ADR 0001</w:t>
      </w:r>
    </w:p>
    <w:p>
      <w:pPr>
        <w:spacing w:after="140"/>
      </w:pPr>
      <w:r>
        <w:rPr>
          <w:b/>
          <w:bCs/>
          <w:color w:val="222222"/>
          <w:sz w:val="26"/>
          <w:szCs w:val="26"/>
        </w:rPr>
        <w:t xml:space="preserve">Por que cobertura vacinal, por que o PNI</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Insight alvo: cobertura vacinal por município contra a meta, cruzando com população do IBGE</w:t>
      </w:r>
    </w:p>
    <w:p>
      <w:pPr>
        <w:pStyle w:val="ListParagraph"/>
        <w:numPr>
          <w:ilvl w:val="0"/>
          <w:numId w:val="1"/>
        </w:numPr>
        <w:spacing w:after="60"/>
      </w:pPr>
      <w:r>
        <w:rPr>
          <w:color w:val="222222"/>
          <w:sz w:val="20"/>
          <w:szCs w:val="20"/>
        </w:rPr>
        <w:t xml:space="preserve">Critério de escolha: fonte pública e real; volume real com atualização semanal; dado "sujo" de verdade; pergunta de negócio óbvia</w:t>
      </w:r>
    </w:p>
    <w:p>
      <w:pPr>
        <w:pStyle w:val="ListParagraph"/>
        <w:numPr>
          <w:ilvl w:val="0"/>
          <w:numId w:val="1"/>
        </w:numPr>
        <w:spacing w:after="60"/>
      </w:pPr>
      <w:r>
        <w:rPr>
          <w:color w:val="222222"/>
          <w:sz w:val="20"/>
          <w:szCs w:val="20"/>
        </w:rPr>
        <w:t xml:space="preserve">Pergunta final: onde há queda de cobertura e desigualdade regional</w:t>
      </w:r>
    </w:p>
    <w:p>
      <w:pPr>
        <w:pStyle w:val="ListParagraph"/>
        <w:numPr>
          <w:ilvl w:val="0"/>
          <w:numId w:val="1"/>
        </w:numPr>
        <w:spacing w:after="60"/>
      </w:pPr>
      <w:r>
        <w:rPr>
          <w:color w:val="222222"/>
          <w:sz w:val="20"/>
          <w:szCs w:val="20"/>
        </w:rPr>
        <w:t xml:space="preserve">Fonte citada: dadosabertos.saude.gov.br</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Antes de qualquer decisão técnica, vale explicar por que escolhemos justamente cobertura vacinal e a base do PNI — essa escolha está documentada na ADR 0001 e não foi arbitrária, foi feita contra cinco critérios definidos antes de escolher a fonte, exatamente para evitar escolher "porque era a mais fácil de achar".</w:t>
      </w:r>
    </w:p>
    <w:p>
      <w:pPr>
        <w:spacing w:after="160" w:line="280"/>
        <w:jc w:val="both"/>
      </w:pPr>
      <w:r>
        <w:rPr>
          <w:color w:val="222222"/>
          <w:sz w:val="21"/>
          <w:szCs w:val="21"/>
        </w:rPr>
        <w:t xml:space="preserve">Primeiro, tinha que ser uma fonte pública e oficial — dado aberto do Ministério da Saúde, sem necessidade de acordo de uso ou API paga. Segundo, tinha que ter volume real e atualização frequente — o PNI atualiza semanalmente, então não estávamos trabalhando com uma fotografia estática, e sim com um fluxo real de dados, o que testa de verdade a arquitetura de ingestão incremental.</w:t>
      </w:r>
    </w:p>
    <w:p>
      <w:pPr>
        <w:spacing w:after="160" w:line="280"/>
        <w:jc w:val="both"/>
      </w:pPr>
      <w:r>
        <w:rPr>
          <w:color w:val="222222"/>
          <w:sz w:val="21"/>
          <w:szCs w:val="21"/>
        </w:rPr>
        <w:t xml:space="preserve">Terceiro — e esse foi decisivo — tinha que ser um dado "sujo" de verdade, com os problemas reais que qualquer pipeline de produção enfrenta. Se tivéssemos escolhido um dataset didático já limpo, a camada de qualidade que vamos mostrar no bloco 4 não teria propósito nenhum — seria teatro.</w:t>
      </w:r>
    </w:p>
    <w:p>
      <w:pPr>
        <w:spacing w:after="160" w:line="280"/>
        <w:jc w:val="both"/>
      </w:pPr>
      <w:r>
        <w:rPr>
          <w:color w:val="222222"/>
          <w:sz w:val="21"/>
          <w:szCs w:val="21"/>
        </w:rPr>
        <w:t xml:space="preserve">Quarto, o volume tinha que ser grande o suficiente para estressar decisões de custo e performance, o que se confirma nos ~70 GB e ~115 milhões de linhas que mostramos no bloco 3. E quinto, e talvez o mais importante para a nota: tinha que sustentar uma pergunta de negócio real, não só um exercício técnico.</w:t>
      </w:r>
    </w:p>
    <w:p>
      <w:pPr>
        <w:spacing w:after="160" w:line="280"/>
        <w:jc w:val="both"/>
      </w:pPr>
      <w:r>
        <w:rPr>
          <w:color w:val="222222"/>
          <w:sz w:val="21"/>
          <w:szCs w:val="21"/>
        </w:rPr>
        <w:t xml:space="preserve">A pergunta que definimos foi: onde há queda de cobertura vacinal e desigualdade regional no Brasil? Essa pergunta é o fio condutor de toda a arquitetura — cada decisão técnica que veremos daqui para frente, da escolha do BigQuery até o grão da tabela fato, foi tomada pensando em responder essa pergunta de forma confiável.</w:t>
      </w:r>
    </w:p>
    <w:p>
      <w:pPr>
        <w:spacing w:after="40" w:before="100"/>
      </w:pPr>
      <w:r>
        <w:rPr>
          <w:b/>
          <w:bCs/>
          <w:color w:val="B85042"/>
          <w:sz w:val="21"/>
          <w:szCs w:val="21"/>
        </w:rPr>
        <w:t xml:space="preserve">Se a banca perguntar: </w:t>
      </w:r>
      <w:r>
        <w:rPr>
          <w:i/>
          <w:iCs/>
          <w:color w:val="222222"/>
          <w:sz w:val="20"/>
          <w:szCs w:val="20"/>
        </w:rPr>
        <w:t xml:space="preserve">"Por que não usar um dataset já tratado, de algum catálogo de dados abertos já limpo?"</w:t>
      </w:r>
    </w:p>
    <w:p>
      <w:pPr>
        <w:spacing w:after="200" w:line="270"/>
        <w:jc w:val="both"/>
      </w:pPr>
      <w:r>
        <w:rPr>
          <w:b/>
          <w:bCs/>
          <w:color w:val="5A5A5A"/>
          <w:sz w:val="21"/>
          <w:szCs w:val="21"/>
        </w:rPr>
        <w:t xml:space="preserve">Resposta:  </w:t>
      </w:r>
      <w:r>
        <w:rPr>
          <w:color w:val="222222"/>
          <w:sz w:val="20"/>
          <w:szCs w:val="20"/>
        </w:rPr>
        <w:t xml:space="preserve">Porque um dataset já limpo não teria os problemas reais (sentinelas disfarçadas de código, joins que não batem, granularidade excessiva) que a nossa camada de qualidade foi desenhada para pegar — usar dado sujo de verdade era um critério deliberado, não um acidente.</w:t>
      </w:r>
    </w:p>
    <w:p>
      <w:r>
        <w:br w:type="page"/>
      </w:r>
    </w:p>
    <w:p>
      <w:pPr>
        <w:pStyle w:val="Heading1"/>
        <w:pBdr>
          <w:bottom w:val="single" w:color="1E2761" w:sz="12" w:space="4"/>
        </w:pBdr>
        <w:spacing w:after="200" w:before="420"/>
      </w:pPr>
      <w:r>
        <w:rPr>
          <w:b/>
          <w:bCs/>
          <w:color w:val="1E2761"/>
          <w:sz w:val="30"/>
          <w:szCs w:val="30"/>
        </w:rPr>
        <w:t xml:space="preserve">BLOCO 02 — Arquitetura e decisões técnicas</w:t>
      </w:r>
    </w:p>
    <w:p>
      <w:pPr>
        <w:spacing w:after="200"/>
      </w:pPr>
      <w:r>
        <w:rPr>
          <w:i/>
          <w:iCs/>
          <w:color w:val="5A5A5A"/>
          <w:sz w:val="21"/>
          <w:szCs w:val="21"/>
        </w:rPr>
        <w:t xml:space="preserve">Medalhão, o que existe em cada camada, ingestão, onde o dado mora, e os três pilares de governança.</w:t>
      </w:r>
    </w:p>
    <w:p>
      <w:pPr>
        <w:shd w:fill="1E2761" w:val="clear"/>
        <w:spacing w:after="40" w:before="380"/>
      </w:pPr>
      <w:r>
        <w:rPr>
          <w:b/>
          <w:bCs/>
          <w:color w:val="FFFFFF"/>
          <w:sz w:val="19"/>
          <w:szCs w:val="19"/>
        </w:rPr>
        <w:t xml:space="preserve">  SLIDE 4  </w:t>
      </w:r>
    </w:p>
    <w:p>
      <w:pPr>
        <w:spacing w:after="60" w:before="0"/>
      </w:pPr>
      <w:r>
        <w:rPr>
          <w:b/>
          <w:bCs/>
          <w:color w:val="B85042"/>
          <w:spacing w:val="20"/>
          <w:sz w:val="18"/>
          <w:szCs w:val="18"/>
        </w:rPr>
        <w:t xml:space="preserve">ARQUITETURA · ADR 0004</w:t>
      </w:r>
    </w:p>
    <w:p>
      <w:pPr>
        <w:spacing w:after="140"/>
      </w:pPr>
      <w:r>
        <w:rPr>
          <w:b/>
          <w:bCs/>
          <w:color w:val="222222"/>
          <w:sz w:val="26"/>
          <w:szCs w:val="26"/>
        </w:rPr>
        <w:t xml:space="preserve">Pipeline: da fonte ao dashboard</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Fonte → Ingestão (load job sempre grátis) → Bronze (STRING cru + _carga_log) → Silver (tipagem/dedup/enriquecimento) → Gold (modelo estrela) → Power BI</w:t>
      </w:r>
    </w:p>
    <w:p>
      <w:pPr>
        <w:pStyle w:val="ListParagraph"/>
        <w:numPr>
          <w:ilvl w:val="0"/>
          <w:numId w:val="1"/>
        </w:numPr>
        <w:spacing w:after="60"/>
      </w:pPr>
      <w:r>
        <w:rPr>
          <w:color w:val="222222"/>
          <w:sz w:val="20"/>
          <w:szCs w:val="20"/>
        </w:rPr>
        <w:t xml:space="preserve">Enriquecimento IBGE acontece na silver, sem custo de armazenamento</w:t>
      </w:r>
    </w:p>
    <w:p>
      <w:pPr>
        <w:pStyle w:val="ListParagraph"/>
        <w:numPr>
          <w:ilvl w:val="0"/>
          <w:numId w:val="1"/>
        </w:numPr>
        <w:spacing w:after="60"/>
      </w:pPr>
      <w:r>
        <w:rPr>
          <w:color w:val="222222"/>
          <w:sz w:val="20"/>
          <w:szCs w:val="20"/>
        </w:rPr>
        <w:t xml:space="preserve">dbt-bigquery orquestra bronze→silver→gold · GitHub Actions orquestra o dbt</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Este slide mostra o pipeline de ponta a ponta, e a ideia central é justificar por que escolhemos o padrão de arquitetura medalhão — bronze, silver, gold — em vez de transformar tudo em uma única etapa. A justificativa é separação de responsabilidade de reprocessamento.</w:t>
      </w:r>
    </w:p>
    <w:p>
      <w:pPr>
        <w:spacing w:after="160" w:line="280"/>
        <w:jc w:val="both"/>
      </w:pPr>
      <w:r>
        <w:rPr>
          <w:color w:val="222222"/>
          <w:sz w:val="21"/>
          <w:szCs w:val="21"/>
        </w:rPr>
        <w:t xml:space="preserve">Se uma regra de negócio muda — por exemplo, como classificamos idade ou como resolvemos município — reprocessamos a partir da bronze, sem tocar na fonte original nem rebaixar nada do Ministério da Saúde. Se, por outro lado, a fonte mudar de schema — adicionar ou remover uma coluna no CSV mensal — o impacto fica isolado na silver, e a gold e o Power BI nem percebem.</w:t>
      </w:r>
    </w:p>
    <w:p>
      <w:pPr>
        <w:spacing w:after="160" w:line="280"/>
        <w:jc w:val="both"/>
      </w:pPr>
      <w:r>
        <w:rPr>
          <w:color w:val="222222"/>
          <w:sz w:val="21"/>
          <w:szCs w:val="21"/>
        </w:rPr>
        <w:t xml:space="preserve">O enriquecimento com dados do IBGE — nome e população de município — acontece já na silver, via consulta direta à Base dos Dados, sem copiar o dado para dentro do nosso projeto, o que significa zero custo de armazenamento adicional.</w:t>
      </w:r>
    </w:p>
    <w:p>
      <w:pPr>
        <w:spacing w:after="160" w:line="280"/>
        <w:jc w:val="both"/>
      </w:pPr>
      <w:r>
        <w:rPr>
          <w:color w:val="222222"/>
          <w:sz w:val="21"/>
          <w:szCs w:val="21"/>
        </w:rPr>
        <w:t xml:space="preserve">Por fim, quem orquestra essa cadeia toda é o dbt-bigquery, e quem orquestra o próprio dbt — quem dispara o build automaticamente a cada mudança de código — é o GitHub Actions. Isso fecha o ciclo de versionamento: todo o histórico de transformação está no Git, não só no BigQuery.</w:t>
      </w:r>
    </w:p>
    <w:p>
      <w:pPr>
        <w:spacing w:after="40" w:before="100"/>
      </w:pPr>
      <w:r>
        <w:rPr>
          <w:b/>
          <w:bCs/>
          <w:color w:val="B85042"/>
          <w:sz w:val="21"/>
          <w:szCs w:val="21"/>
        </w:rPr>
        <w:t xml:space="preserve">Se a banca perguntar: </w:t>
      </w:r>
      <w:r>
        <w:rPr>
          <w:i/>
          <w:iCs/>
          <w:color w:val="222222"/>
          <w:sz w:val="20"/>
          <w:szCs w:val="20"/>
        </w:rPr>
        <w:t xml:space="preserve">"O que aconteceria se vocês tivessem feito tudo numa camada só?"</w:t>
      </w:r>
    </w:p>
    <w:p>
      <w:pPr>
        <w:spacing w:after="200" w:line="270"/>
        <w:jc w:val="both"/>
      </w:pPr>
      <w:r>
        <w:rPr>
          <w:b/>
          <w:bCs/>
          <w:color w:val="5A5A5A"/>
          <w:sz w:val="21"/>
          <w:szCs w:val="21"/>
        </w:rPr>
        <w:t xml:space="preserve">Resposta:  </w:t>
      </w:r>
      <w:r>
        <w:rPr>
          <w:color w:val="222222"/>
          <w:sz w:val="20"/>
          <w:szCs w:val="20"/>
        </w:rPr>
        <w:t xml:space="preserve">Qualquer mudança de regra de negócio exigiria reprocessar a ingestão inteira, e qualquer mudança na fonte quebraria diretamente o consumo no Power BI — o medalhão isola essas duas frentes de risco uma da outra.</w:t>
      </w:r>
    </w:p>
    <w:p>
      <w:pPr>
        <w:shd w:fill="1E2761" w:val="clear"/>
        <w:spacing w:after="40" w:before="380"/>
      </w:pPr>
      <w:r>
        <w:rPr>
          <w:b/>
          <w:bCs/>
          <w:color w:val="FFFFFF"/>
          <w:sz w:val="19"/>
          <w:szCs w:val="19"/>
        </w:rPr>
        <w:t xml:space="preserve">  SLIDE 5  </w:t>
      </w:r>
    </w:p>
    <w:p>
      <w:pPr>
        <w:spacing w:after="60" w:before="0"/>
      </w:pPr>
      <w:r>
        <w:rPr>
          <w:b/>
          <w:bCs/>
          <w:color w:val="B85042"/>
          <w:spacing w:val="20"/>
          <w:sz w:val="18"/>
          <w:szCs w:val="18"/>
        </w:rPr>
        <w:t xml:space="preserve">ARQUITETURA · ADR 0004</w:t>
      </w:r>
    </w:p>
    <w:p>
      <w:pPr>
        <w:spacing w:after="140"/>
      </w:pPr>
      <w:r>
        <w:rPr>
          <w:b/>
          <w:bCs/>
          <w:color w:val="222222"/>
          <w:sz w:val="26"/>
          <w:szCs w:val="26"/>
        </w:rPr>
        <w:t xml:space="preserve">O que tem em cada camada</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BRONZE: ~56 colunas cruas, 7 meses, partição $AAAAMM WRITE_TRUNCATE, + _carga_log, ~70 GB</w:t>
      </w:r>
    </w:p>
    <w:p>
      <w:pPr>
        <w:pStyle w:val="ListParagraph"/>
        <w:numPr>
          <w:ilvl w:val="0"/>
          <w:numId w:val="1"/>
        </w:numPr>
        <w:spacing w:after="60"/>
      </w:pPr>
      <w:r>
        <w:rPr>
          <w:color w:val="222222"/>
          <w:sz w:val="20"/>
          <w:szCs w:val="20"/>
        </w:rPr>
        <w:t xml:space="preserve">SILVER: stg_pni__doses_aplicadas dedup/tipada; geografia com fallback (ADR 0007); nome de vacina/dose/estratégia direto da fonte; perfil demográfico padronizado; stg_ibge__municipios; ~115 M linhas</w:t>
      </w:r>
    </w:p>
    <w:p>
      <w:pPr>
        <w:pStyle w:val="ListParagraph"/>
        <w:numPr>
          <w:ilvl w:val="0"/>
          <w:numId w:val="1"/>
        </w:numPr>
        <w:spacing w:after="60"/>
      </w:pPr>
      <w:r>
        <w:rPr>
          <w:color w:val="222222"/>
          <w:sz w:val="20"/>
          <w:szCs w:val="20"/>
        </w:rPr>
        <w:t xml:space="preserve">GOLD: fct_cobertura_vacinal grão mensal (16,2 M linhas); 5 dimensões; seeds faixa_etaria/uf_ibge/meta_vacinal; tudo agregado, sem CEP/paciente (LGPD, ADR 0005)</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Esse slide foi incluído especificamente porque a banca precisa ver, concretamente, o que existe dentro de cada camada — não basta mostrar o diagrama abstrato do slide anterior.</w:t>
      </w:r>
    </w:p>
    <w:p>
      <w:pPr>
        <w:spacing w:after="160" w:line="280"/>
        <w:jc w:val="both"/>
      </w:pPr>
      <w:r>
        <w:rPr>
          <w:color w:val="222222"/>
          <w:sz w:val="21"/>
          <w:szCs w:val="21"/>
        </w:rPr>
        <w:t xml:space="preserve">Começando pela bronze: o dado entra exatamente como veio do CSV do PNI, como STRING, sem nenhuma transformação — nem tipo, nem nome, nem limpeza. É uma decisão deliberada: a bronze existe para ser uma cópia fiel e auditável da fonte, então se algum dia precisarmos provar que um número bate com o arquivo original do Ministério da Saúde, a bronze mais a _carga_log permitem isso — ela guarda quantas linhas foram carregadas versus quantas existiam no arquivo original. São sete meses de dado, cerca de 56 colunas cruas, particionado por mês no formato AAAAMM, usando WRITE_TRUNCATE, o que significa que reprocessar um mês substitui o mês inteiro sem risco de duplicar linha. No total, cerca de 70 gigabytes brutos.</w:t>
      </w:r>
    </w:p>
    <w:p>
      <w:pPr>
        <w:spacing w:after="160" w:line="280"/>
        <w:jc w:val="both"/>
      </w:pPr>
      <w:r>
        <w:rPr>
          <w:color w:val="222222"/>
          <w:sz w:val="21"/>
          <w:szCs w:val="21"/>
        </w:rPr>
        <w:t xml:space="preserve">Na silver, a história muda: o dado já está deduplicado, tipado corretamente, e os nomes já vêm por extenso em vez de código. A geografia de cobertura — o município e a UF de residência do paciente — é resolvida com um mecanismo de fallback que detalhamos no bloco 4, referenciado na ADR 0007. O nome da vacina, da dose e da estratégia de vacinação também já vêm resolvidos direto da própria fonte, sem tabela de-para externa. O perfil demográfico, raça/cor e sexo, já está padronizado. É aqui também que entra o enriquecimento com IBGE, através da stg_ibge__municipios, trazendo nome, população e região. No total, a silver consolidada chega a cerca de 115 milhões de linhas.</w:t>
      </w:r>
    </w:p>
    <w:p>
      <w:pPr>
        <w:spacing w:after="160" w:line="280"/>
        <w:jc w:val="both"/>
      </w:pPr>
      <w:r>
        <w:rPr>
          <w:color w:val="222222"/>
          <w:sz w:val="21"/>
          <w:szCs w:val="21"/>
        </w:rPr>
        <w:t xml:space="preserve">Já a gold é o modelo estrela pronto para consumo: a fato fct_cobertura_vacinal, com grão mensal, cerca de 16,2 milhões de linhas — justificamos essa escolha de grão no slide 11 — e cinco dimensões: tempo, município (já com região e população do IBGE), vacina, perfil do paciente e estratégia de vacinação. Além disso, três seeds de referência: faixa etária, UF do IBGE e as metas oficiais de vacinação. E o ponto mais importante do ponto de vista de conformidade: tudo está agregado, não existe CEP nem código de paciente individual — formalizado na ADR 0005.</w:t>
      </w:r>
    </w:p>
    <w:p>
      <w:pPr>
        <w:spacing w:after="160" w:line="280"/>
        <w:jc w:val="both"/>
      </w:pPr>
      <w:r>
        <w:rPr>
          <w:color w:val="222222"/>
          <w:sz w:val="21"/>
          <w:szCs w:val="21"/>
        </w:rPr>
        <w:t xml:space="preserve">Fechando: como cada camada é materializada como um model separado no dbt, reprocessar uma não obriga recriar as outras — o que economiza tempo de build e, por consequência, custo de consulta no BigQuery.</w:t>
      </w:r>
    </w:p>
    <w:p>
      <w:pPr>
        <w:pBdr>
          <w:left w:val="single" w:color="1C7293" w:sz="18" w:space="8"/>
        </w:pBdr>
        <w:shd w:fill="F3F5FA" w:val="clear"/>
        <w:spacing w:after="200" w:line="270"/>
        <w:ind w:left="200" w:right="200"/>
        <w:jc w:val="both"/>
      </w:pPr>
      <w:r>
        <w:rPr>
          <w:b/>
          <w:bCs/>
          <w:i/>
          <w:iCs/>
          <w:color w:val="1C7293"/>
          <w:sz w:val="20"/>
          <w:szCs w:val="20"/>
        </w:rPr>
        <w:t xml:space="preserve">Detalhe extra (bom ter na manga, mesmo não estando literal no slide):  </w:t>
      </w:r>
      <w:r>
        <w:rPr>
          <w:i/>
          <w:iCs/>
          <w:color w:val="5A5A5A"/>
          <w:sz w:val="20"/>
          <w:szCs w:val="20"/>
        </w:rPr>
        <w:t xml:space="preserve">Se a banca pedir pra abrir o dicionário de dados (docs/dicionario_dados.md) ou o lineage (dbt docs generate), ambos estão versionados no repositório e refletem exatamente essas três camadas.</w:t>
      </w:r>
    </w:p>
    <w:p>
      <w:pPr>
        <w:spacing w:after="40" w:before="100"/>
      </w:pPr>
      <w:r>
        <w:rPr>
          <w:b/>
          <w:bCs/>
          <w:color w:val="B85042"/>
          <w:sz w:val="21"/>
          <w:szCs w:val="21"/>
        </w:rPr>
        <w:t xml:space="preserve">Se a banca perguntar: </w:t>
      </w:r>
      <w:r>
        <w:rPr>
          <w:i/>
          <w:iCs/>
          <w:color w:val="222222"/>
          <w:sz w:val="20"/>
          <w:szCs w:val="20"/>
        </w:rPr>
        <w:t xml:space="preserve">"Por que manter a bronze como STRING em vez de já tipar direto na carga?"</w:t>
      </w:r>
    </w:p>
    <w:p>
      <w:pPr>
        <w:spacing w:after="200" w:line="270"/>
        <w:jc w:val="both"/>
      </w:pPr>
      <w:r>
        <w:rPr>
          <w:b/>
          <w:bCs/>
          <w:color w:val="5A5A5A"/>
          <w:sz w:val="21"/>
          <w:szCs w:val="21"/>
        </w:rPr>
        <w:t xml:space="preserve">Resposta:  </w:t>
      </w:r>
      <w:r>
        <w:rPr>
          <w:color w:val="222222"/>
          <w:sz w:val="20"/>
          <w:szCs w:val="20"/>
        </w:rPr>
        <w:t xml:space="preserve">Porque tipar na carga significa que um erro de formato pode derrubar a ingestão inteira antes mesmo de o dado estar seguro no BigQuery. Deixando cru como STRING, a carga nunca falha por causa de tipo, e a responsabilidade de tipar — e de lidar com valor inesperado — fica isolada e visível na silver, onde ela pertence.</w:t>
      </w:r>
    </w:p>
    <w:p>
      <w:pPr>
        <w:shd w:fill="1E2761" w:val="clear"/>
        <w:spacing w:after="40" w:before="380"/>
      </w:pPr>
      <w:r>
        <w:rPr>
          <w:b/>
          <w:bCs/>
          <w:color w:val="FFFFFF"/>
          <w:sz w:val="19"/>
          <w:szCs w:val="19"/>
        </w:rPr>
        <w:t xml:space="preserve">  SLIDE 6  </w:t>
      </w:r>
    </w:p>
    <w:p>
      <w:pPr>
        <w:spacing w:after="60" w:before="0"/>
      </w:pPr>
      <w:r>
        <w:rPr>
          <w:b/>
          <w:bCs/>
          <w:color w:val="B85042"/>
          <w:spacing w:val="20"/>
          <w:sz w:val="18"/>
          <w:szCs w:val="18"/>
        </w:rPr>
        <w:t xml:space="preserve">DECISÕES · ADR 0002 E 0003</w:t>
      </w:r>
    </w:p>
    <w:p>
      <w:pPr>
        <w:spacing w:after="140"/>
      </w:pPr>
      <w:r>
        <w:rPr>
          <w:b/>
          <w:bCs/>
          <w:color w:val="222222"/>
          <w:sz w:val="26"/>
          <w:szCs w:val="26"/>
        </w:rPr>
        <w:t xml:space="preserve">Ingestão e onde os dados moram</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API REST testada e descartada — ordenação instável entre requisições</w:t>
      </w:r>
    </w:p>
    <w:p>
      <w:pPr>
        <w:pStyle w:val="ListParagraph"/>
        <w:numPr>
          <w:ilvl w:val="0"/>
          <w:numId w:val="1"/>
        </w:numPr>
        <w:spacing w:after="60"/>
      </w:pPr>
      <w:r>
        <w:rPr>
          <w:color w:val="222222"/>
          <w:sz w:val="20"/>
          <w:szCs w:val="20"/>
        </w:rPr>
        <w:t xml:space="preserve">CSV mensal + load job (sempre grátis) + partição $AAAAMM WRITE_TRUNCATE</w:t>
      </w:r>
    </w:p>
    <w:p>
      <w:pPr>
        <w:pStyle w:val="ListParagraph"/>
        <w:numPr>
          <w:ilvl w:val="0"/>
          <w:numId w:val="1"/>
        </w:numPr>
        <w:spacing w:after="60"/>
      </w:pPr>
      <w:r>
        <w:rPr>
          <w:color w:val="222222"/>
          <w:sz w:val="20"/>
          <w:szCs w:val="20"/>
        </w:rPr>
        <w:t xml:space="preserve">8 alternativas avaliadas e descartadas (Apache Hop, Postgres free, Fabric, Databricks, MotherDuck, dbt Cloud, DuckDB, sandbox BigQuery)</w:t>
      </w:r>
    </w:p>
    <w:p>
      <w:pPr>
        <w:pStyle w:val="ListParagraph"/>
        <w:numPr>
          <w:ilvl w:val="0"/>
          <w:numId w:val="1"/>
        </w:numPr>
        <w:spacing w:after="60"/>
      </w:pPr>
      <w:r>
        <w:rPr>
          <w:color w:val="222222"/>
          <w:sz w:val="20"/>
          <w:szCs w:val="20"/>
        </w:rPr>
        <w:t xml:space="preserve">R$ 0 custo de ingestão · 10 GiB + 1 TiB always-free permanente</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Este slide cobre duas decisões de infraestrutura documentadas — ADR 0002, sobre a forma de ingestão, e ADR 0003, sobre onde o dado mora.</w:t>
      </w:r>
    </w:p>
    <w:p>
      <w:pPr>
        <w:spacing w:after="160" w:line="280"/>
        <w:jc w:val="both"/>
      </w:pPr>
      <w:r>
        <w:rPr>
          <w:color w:val="222222"/>
          <w:sz w:val="21"/>
          <w:szCs w:val="21"/>
        </w:rPr>
        <w:t xml:space="preserve">Primeiro, a ingestão: testamos de fato a API REST do PNI antes de descartá-la, e o motivo do descarte foi concreto — ela não garante ordenação estável entre requisições, o que é um problema sério quando se precisa de reprodutibilidade em cargas incrementais. Optamos então por CSV mensal, carregado via load job do BigQuery, sempre gratuito independente do volume, organizado por partição no formato AAAAMM, com WRITE_TRUNCATE — se algo der errado num mês, recarregamos só aquele mês.</w:t>
      </w:r>
    </w:p>
    <w:p>
      <w:pPr>
        <w:spacing w:after="160" w:line="280"/>
        <w:jc w:val="both"/>
      </w:pPr>
      <w:r>
        <w:rPr>
          <w:color w:val="222222"/>
          <w:sz w:val="21"/>
          <w:szCs w:val="21"/>
        </w:rPr>
        <w:t xml:space="preserve">Segundo, e talvez a parte mais forte para a defesa: onde o projeto roda. Avaliamos oito alternativas antes de fechar com o BigQuery — Apache Hop, um tier gratuito de Postgres, Microsoft Fabric, Databricks, MotherDuck, dbt Cloud, DuckDB, e até o sandbox do próprio BigQuery. Cada uma foi descartada por um motivo específico, não por preferência. O sandbox do BigQuery, por exemplo, que seria a opção mais óbvia, foi descartado porque expira em 60 dias e não suporta comandos DML — o que inviabilizaria completamente o uso do dbt, que depende de DML para materializar tabelas.</w:t>
      </w:r>
    </w:p>
    <w:p>
      <w:pPr>
        <w:spacing w:after="160" w:line="280"/>
        <w:jc w:val="both"/>
      </w:pPr>
      <w:r>
        <w:rPr>
          <w:color w:val="222222"/>
          <w:sz w:val="21"/>
          <w:szCs w:val="21"/>
        </w:rPr>
        <w:t xml:space="preserve">O resultado final: o custo da camada de ingestão é zero, resultado direto do nível always-free do BigQuery, que cobre permanentemente 10 gibibytes de armazenamento e 1 tebibyte de consulta por mês — patamar que o nosso projeto, mesmo em escala real, ainda não ultrapassa de forma significativa, como veremos no bloco de custo.</w:t>
      </w:r>
    </w:p>
    <w:p>
      <w:pPr>
        <w:spacing w:after="40" w:before="100"/>
      </w:pPr>
      <w:r>
        <w:rPr>
          <w:b/>
          <w:bCs/>
          <w:color w:val="B85042"/>
          <w:sz w:val="21"/>
          <w:szCs w:val="21"/>
        </w:rPr>
        <w:t xml:space="preserve">Se a banca perguntar: </w:t>
      </w:r>
      <w:r>
        <w:rPr>
          <w:i/>
          <w:iCs/>
          <w:color w:val="222222"/>
          <w:sz w:val="20"/>
          <w:szCs w:val="20"/>
        </w:rPr>
        <w:t xml:space="preserve">"Por que não usar Postgres gratuito, que é open source e mais familiar?"</w:t>
      </w:r>
    </w:p>
    <w:p>
      <w:pPr>
        <w:spacing w:after="200" w:line="270"/>
        <w:jc w:val="both"/>
      </w:pPr>
      <w:r>
        <w:rPr>
          <w:b/>
          <w:bCs/>
          <w:color w:val="5A5A5A"/>
          <w:sz w:val="21"/>
          <w:szCs w:val="21"/>
        </w:rPr>
        <w:t xml:space="preserve">Resposta:  </w:t>
      </w:r>
      <w:r>
        <w:rPr>
          <w:color w:val="222222"/>
          <w:sz w:val="20"/>
          <w:szCs w:val="20"/>
        </w:rPr>
        <w:t xml:space="preserve">Porque um tier gratuito de Postgres não teria a mesma capacidade de consulta analítica em escala de dezenas de gigabytes sem custo, nem a integração nativa que o dbt-bigquery oferece — e o teto de armazenamento gratuito seria estourado rapidamente pelos ~70 GB de dado bruto.</w:t>
      </w:r>
    </w:p>
    <w:p>
      <w:pPr>
        <w:shd w:fill="1E2761" w:val="clear"/>
        <w:spacing w:after="40" w:before="380"/>
      </w:pPr>
      <w:r>
        <w:rPr>
          <w:b/>
          <w:bCs/>
          <w:color w:val="FFFFFF"/>
          <w:sz w:val="19"/>
          <w:szCs w:val="19"/>
        </w:rPr>
        <w:t xml:space="preserve">  SLIDE 7  </w:t>
      </w:r>
    </w:p>
    <w:p>
      <w:pPr>
        <w:spacing w:after="60" w:before="0"/>
      </w:pPr>
      <w:r>
        <w:rPr>
          <w:b/>
          <w:bCs/>
          <w:color w:val="B85042"/>
          <w:spacing w:val="20"/>
          <w:sz w:val="18"/>
          <w:szCs w:val="18"/>
        </w:rPr>
        <w:t xml:space="preserve">GOVERNANÇA · ADR 0004 · 0005 · 0006</w:t>
      </w:r>
    </w:p>
    <w:p>
      <w:pPr>
        <w:spacing w:after="140"/>
      </w:pPr>
      <w:r>
        <w:rPr>
          <w:b/>
          <w:bCs/>
          <w:color w:val="222222"/>
          <w:sz w:val="26"/>
          <w:szCs w:val="26"/>
        </w:rPr>
        <w:t xml:space="preserve">Qualidade e conformidade, desde a primeira linha de código</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M — Medalhão: reprocessamento isolado por camada, lineage automático via dbt docs</w:t>
      </w:r>
    </w:p>
    <w:p>
      <w:pPr>
        <w:pStyle w:val="ListParagraph"/>
        <w:numPr>
          <w:ilvl w:val="0"/>
          <w:numId w:val="1"/>
        </w:numPr>
        <w:spacing w:after="60"/>
      </w:pPr>
      <w:r>
        <w:rPr>
          <w:color w:val="222222"/>
          <w:sz w:val="20"/>
          <w:szCs w:val="20"/>
        </w:rPr>
        <w:t xml:space="preserve">L — LGPD por design: CEP e código de paciente não avançam além da silver; agregação por município/faixa etária</w:t>
      </w:r>
    </w:p>
    <w:p>
      <w:pPr>
        <w:pStyle w:val="ListParagraph"/>
        <w:numPr>
          <w:ilvl w:val="0"/>
          <w:numId w:val="1"/>
        </w:numPr>
        <w:spacing w:after="60"/>
      </w:pPr>
      <w:r>
        <w:rPr>
          <w:color w:val="222222"/>
          <w:sz w:val="20"/>
          <w:szCs w:val="20"/>
        </w:rPr>
        <w:t xml:space="preserve">S — Isolamento por schema: cada integrante materializa no próprio dev_&lt;nome&gt;; só a service account do CI escreve em silver/gold</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Esse slide junta três pilares de governança sob um acrônimo fácil de lembrar — M, L, S. O M é o medalhão já explicado, com um benefício adicional: o lineage automático. Como usamos dbt, cada model documenta suas próprias dependências, e o dbt docs generate, que roda automaticamente no CI, produz um grafo de linhagem completo mostrando de onde cada coluna da gold veio, camada por camada.</w:t>
      </w:r>
    </w:p>
    <w:p>
      <w:pPr>
        <w:spacing w:after="160" w:line="280"/>
        <w:jc w:val="both"/>
      </w:pPr>
      <w:r>
        <w:rPr>
          <w:color w:val="222222"/>
          <w:sz w:val="21"/>
          <w:szCs w:val="21"/>
        </w:rPr>
        <w:t xml:space="preserve">O L é LGPD por design — e a palavra-chave é "por design", não "por adição posterior". CEP e código de paciente simplesmente não avançam além da silver; a agregação sempre acontece por município e faixa etária, nunca por indivíduo. Estruturalmente, é impossível a gold ou o Power BI exporem um dado pessoal identificável — não é política de uso, é restrição arquitetural.</w:t>
      </w:r>
    </w:p>
    <w:p>
      <w:pPr>
        <w:spacing w:after="160" w:line="280"/>
        <w:jc w:val="both"/>
      </w:pPr>
      <w:r>
        <w:rPr>
          <w:color w:val="222222"/>
          <w:sz w:val="21"/>
          <w:szCs w:val="21"/>
        </w:rPr>
        <w:t xml:space="preserve">O S é isolamento por schema: cada integrante materializa seus models de desenvolvimento no próprio schema, dev_giovanna, dev_ellen, dev_andressa, e só a service account do pipeline de CI tem permissão de escrever nas camadas compartilhadas, silver e gold. Isso amarra diretamente com a regra de equipe estabelecida desde o início: ninguém do trio faz merge de código que não sabe explicar — porque é o merge, via GitHub Actions, que efetivamente promove uma mudança para o ambiente compartilhado, então cada merge passa por revisão.</w:t>
      </w:r>
    </w:p>
    <w:p>
      <w:pPr>
        <w:spacing w:after="40" w:before="100"/>
      </w:pPr>
      <w:r>
        <w:rPr>
          <w:b/>
          <w:bCs/>
          <w:color w:val="B85042"/>
          <w:sz w:val="21"/>
          <w:szCs w:val="21"/>
        </w:rPr>
        <w:t xml:space="preserve">Se a banca perguntar: </w:t>
      </w:r>
      <w:r>
        <w:rPr>
          <w:i/>
          <w:iCs/>
          <w:color w:val="222222"/>
          <w:sz w:val="20"/>
          <w:szCs w:val="20"/>
        </w:rPr>
        <w:t xml:space="preserve">"Como vocês garantem que ninguém escreve direto na gold sem passar pelo processo?"</w:t>
      </w:r>
    </w:p>
    <w:p>
      <w:pPr>
        <w:spacing w:after="200" w:line="270"/>
        <w:jc w:val="both"/>
      </w:pPr>
      <w:r>
        <w:rPr>
          <w:b/>
          <w:bCs/>
          <w:color w:val="5A5A5A"/>
          <w:sz w:val="21"/>
          <w:szCs w:val="21"/>
        </w:rPr>
        <w:t xml:space="preserve">Resposta:  </w:t>
      </w:r>
      <w:r>
        <w:rPr>
          <w:color w:val="222222"/>
          <w:sz w:val="20"/>
          <w:szCs w:val="20"/>
        </w:rPr>
        <w:t xml:space="preserve">Por permissão de IAM no próprio BigQuery — só a service account do GitHub Actions tem permissão de escrita em silver e gold; cada desenvolvedor individualmente só tem permissão no próprio schema de desenvolvimento.</w:t>
      </w:r>
    </w:p>
    <w:p>
      <w:r>
        <w:br w:type="page"/>
      </w:r>
    </w:p>
    <w:p>
      <w:pPr>
        <w:pStyle w:val="Heading1"/>
        <w:pBdr>
          <w:bottom w:val="single" w:color="1E2761" w:sz="12" w:space="4"/>
        </w:pBdr>
        <w:spacing w:after="200" w:before="420"/>
      </w:pPr>
      <w:r>
        <w:rPr>
          <w:b/>
          <w:bCs/>
          <w:color w:val="1E2761"/>
          <w:sz w:val="30"/>
          <w:szCs w:val="30"/>
        </w:rPr>
        <w:t xml:space="preserve">BLOCO 03 — Dado real, em escala real</w:t>
      </w:r>
    </w:p>
    <w:p>
      <w:pPr>
        <w:spacing w:after="200"/>
      </w:pPr>
      <w:r>
        <w:rPr>
          <w:i/>
          <w:iCs/>
          <w:color w:val="5A5A5A"/>
          <w:sz w:val="21"/>
          <w:szCs w:val="21"/>
        </w:rPr>
        <w:t xml:space="preserve">A prova de que o projeto processa volume de produção de verdade, não uma amostra didática.</w:t>
      </w:r>
    </w:p>
    <w:p>
      <w:pPr>
        <w:shd w:fill="1E2761" w:val="clear"/>
        <w:spacing w:after="40" w:before="380"/>
      </w:pPr>
      <w:r>
        <w:rPr>
          <w:b/>
          <w:bCs/>
          <w:color w:val="FFFFFF"/>
          <w:sz w:val="19"/>
          <w:szCs w:val="19"/>
        </w:rPr>
        <w:t xml:space="preserve">  SLIDE 8  </w:t>
      </w:r>
    </w:p>
    <w:p>
      <w:pPr>
        <w:spacing w:after="60" w:before="0"/>
      </w:pPr>
      <w:r>
        <w:rPr>
          <w:b/>
          <w:bCs/>
          <w:color w:val="B85042"/>
          <w:spacing w:val="20"/>
          <w:sz w:val="18"/>
          <w:szCs w:val="18"/>
        </w:rPr>
        <w:t xml:space="preserve">ESCALA REAL</w:t>
      </w:r>
    </w:p>
    <w:p>
      <w:pPr>
        <w:spacing w:after="140"/>
      </w:pPr>
      <w:r>
        <w:rPr>
          <w:b/>
          <w:bCs/>
          <w:color w:val="222222"/>
          <w:sz w:val="26"/>
          <w:szCs w:val="26"/>
        </w:rPr>
        <w:t xml:space="preserve">7 meses de dado real carregado (jan-jul/2026)</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Gráfico GB por mês: jan 7,3 · fev 5,4 · mar 9,7 · abr 16,7 · mai 12,8 · jun 10,5 · jul 7,7</w:t>
      </w:r>
    </w:p>
    <w:p>
      <w:pPr>
        <w:pStyle w:val="ListParagraph"/>
        <w:numPr>
          <w:ilvl w:val="0"/>
          <w:numId w:val="1"/>
        </w:numPr>
        <w:spacing w:after="60"/>
      </w:pPr>
      <w:r>
        <w:rPr>
          <w:color w:val="222222"/>
          <w:sz w:val="20"/>
          <w:szCs w:val="20"/>
        </w:rPr>
        <w:t xml:space="preserve">~70 GB total de CSV descompactado</w:t>
      </w:r>
    </w:p>
    <w:p>
      <w:pPr>
        <w:pStyle w:val="ListParagraph"/>
        <w:numPr>
          <w:ilvl w:val="0"/>
          <w:numId w:val="1"/>
        </w:numPr>
        <w:spacing w:after="60"/>
      </w:pPr>
      <w:r>
        <w:rPr>
          <w:color w:val="222222"/>
          <w:sz w:val="20"/>
          <w:szCs w:val="20"/>
        </w:rPr>
        <w:t xml:space="preserve">~115 M linhas na silver (deduplicadas)</w:t>
      </w:r>
    </w:p>
    <w:p>
      <w:pPr>
        <w:pStyle w:val="ListParagraph"/>
        <w:numPr>
          <w:ilvl w:val="0"/>
          <w:numId w:val="1"/>
        </w:numPr>
        <w:spacing w:after="60"/>
      </w:pPr>
      <w:r>
        <w:rPr>
          <w:color w:val="222222"/>
          <w:sz w:val="20"/>
          <w:szCs w:val="20"/>
        </w:rPr>
        <w:t xml:space="preserve">5.570 municípios cobertos (IBGE)</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Esse é o slide "prova de vida" do projeto — ele existe para deixar claro que não estamos falando de uma amostra pequena ou de um exercício de sala de aula, e sim de sete meses inteiros de dado real do SUS, de janeiro a julho de 2026.</w:t>
      </w:r>
    </w:p>
    <w:p>
      <w:pPr>
        <w:spacing w:after="160" w:line="280"/>
        <w:jc w:val="both"/>
      </w:pPr>
      <w:r>
        <w:rPr>
          <w:color w:val="222222"/>
          <w:sz w:val="21"/>
          <w:szCs w:val="21"/>
        </w:rPr>
        <w:t xml:space="preserve">Reparem na variação mês a mês: fevereiro tem só 5,4 gigabytes, enquanto abril chega a 16,7 — quase o triplo. Essa variação real, que não controlamos nem simulamos, é justamente o tipo de coisa que testa se a arquitetura aguenta picos de volume sem quebrar ou explodir de custo, e é uma das razões pelas quais o particionamento por mês foi importante — cada mês é tratado independentemente.</w:t>
      </w:r>
    </w:p>
    <w:p>
      <w:pPr>
        <w:spacing w:after="160" w:line="280"/>
        <w:jc w:val="both"/>
      </w:pPr>
      <w:r>
        <w:rPr>
          <w:color w:val="222222"/>
          <w:sz w:val="21"/>
          <w:szCs w:val="21"/>
        </w:rPr>
        <w:t xml:space="preserve">No total, cerca de 70 gigabytes de CSV descompactado viraram, depois da deduplicação na silver, cerca de 115 milhões de linhas. E o número que mais impressiona: 5.570 municípios cobertos, do total de 5.570 municípios que existem oficialmente no Brasil segundo o IBGE — ou seja, praticamente cobertura total do território nacional, o que dá robustez estatística real ao indicador de cobertura vacinal que é o objetivo final do projeto.</w:t>
      </w:r>
    </w:p>
    <w:p>
      <w:pPr>
        <w:spacing w:after="40" w:before="100"/>
      </w:pPr>
      <w:r>
        <w:rPr>
          <w:b/>
          <w:bCs/>
          <w:color w:val="B85042"/>
          <w:sz w:val="21"/>
          <w:szCs w:val="21"/>
        </w:rPr>
        <w:t xml:space="preserve">Se a banca perguntar: </w:t>
      </w:r>
      <w:r>
        <w:rPr>
          <w:i/>
          <w:iCs/>
          <w:color w:val="222222"/>
          <w:sz w:val="20"/>
          <w:szCs w:val="20"/>
        </w:rPr>
        <w:t xml:space="preserve">"Como sabem que são exatamente 5.570 municípios, e não uma aproximação?"</w:t>
      </w:r>
    </w:p>
    <w:p>
      <w:pPr>
        <w:spacing w:after="200" w:line="270"/>
        <w:jc w:val="both"/>
      </w:pPr>
      <w:r>
        <w:rPr>
          <w:b/>
          <w:bCs/>
          <w:color w:val="5A5A5A"/>
          <w:sz w:val="21"/>
          <w:szCs w:val="21"/>
        </w:rPr>
        <w:t xml:space="preserve">Resposta:  </w:t>
      </w:r>
      <w:r>
        <w:rPr>
          <w:color w:val="222222"/>
          <w:sz w:val="20"/>
          <w:szCs w:val="20"/>
        </w:rPr>
        <w:t xml:space="preserve">Porque cruzamos contra a base oficial do IBGE via Base dos Dados, que é a fonte de verdade de município no Brasil — é o número de municípios efetivamente presentes na cobertura, contra o total nacional; detalhamos no slide 12 que apenas 1 município ficou sem estimativa populacional, mas isso não afeta essa contagem de cobertura.</w:t>
      </w:r>
    </w:p>
    <w:p>
      <w:r>
        <w:br w:type="page"/>
      </w:r>
    </w:p>
    <w:p>
      <w:pPr>
        <w:pStyle w:val="Heading1"/>
        <w:pBdr>
          <w:bottom w:val="single" w:color="1E2761" w:sz="12" w:space="4"/>
        </w:pBdr>
        <w:spacing w:after="200" w:before="420"/>
      </w:pPr>
      <w:r>
        <w:rPr>
          <w:b/>
          <w:bCs/>
          <w:color w:val="1E2761"/>
          <w:sz w:val="30"/>
          <w:szCs w:val="30"/>
        </w:rPr>
        <w:t xml:space="preserve">BLOCO 04 — Qualidade: achados e correções</w:t>
      </w:r>
    </w:p>
    <w:p>
      <w:pPr>
        <w:spacing w:after="200"/>
      </w:pPr>
      <w:r>
        <w:rPr>
          <w:i/>
          <w:iCs/>
          <w:color w:val="5A5A5A"/>
          <w:sz w:val="21"/>
          <w:szCs w:val="21"/>
        </w:rPr>
        <w:t xml:space="preserve">O bloco mais denso e o que mais demonstra raciocínio de engenharia: bugs reais, encontrados em produção, com causa raiz investigada e corrigida.</w:t>
      </w:r>
    </w:p>
    <w:p>
      <w:pPr>
        <w:shd w:fill="1E2761" w:val="clear"/>
        <w:spacing w:after="40" w:before="380"/>
      </w:pPr>
      <w:r>
        <w:rPr>
          <w:b/>
          <w:bCs/>
          <w:color w:val="FFFFFF"/>
          <w:sz w:val="19"/>
          <w:szCs w:val="19"/>
        </w:rPr>
        <w:t xml:space="preserve">  SLIDE 9  </w:t>
      </w:r>
    </w:p>
    <w:p>
      <w:pPr>
        <w:spacing w:after="60" w:before="0"/>
      </w:pPr>
      <w:r>
        <w:rPr>
          <w:b/>
          <w:bCs/>
          <w:color w:val="B85042"/>
          <w:spacing w:val="20"/>
          <w:sz w:val="18"/>
          <w:szCs w:val="18"/>
        </w:rPr>
        <w:t xml:space="preserve">QUALIDADE DE DADOS</w:t>
      </w:r>
    </w:p>
    <w:p>
      <w:pPr>
        <w:spacing w:after="140"/>
      </w:pPr>
      <w:r>
        <w:rPr>
          <w:b/>
          <w:bCs/>
          <w:color w:val="222222"/>
          <w:sz w:val="26"/>
          <w:szCs w:val="26"/>
        </w:rPr>
        <w:t xml:space="preserve">Achados reais — só aparecem em escala de produção</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999999/XX: sentinelas de "ignorado" disfarçadas de código IBGE/UF real; tratadas como nulo (ADR 0007); regra fixa: juntar sempre pelo código, nunca pelo nome (ex.: "AREZ" vs "ARES")</w:t>
      </w:r>
    </w:p>
    <w:p>
      <w:pPr>
        <w:pStyle w:val="ListParagraph"/>
        <w:numPr>
          <w:ilvl w:val="0"/>
          <w:numId w:val="1"/>
        </w:numPr>
        <w:spacing w:after="60"/>
      </w:pPr>
      <w:r>
        <w:rPr>
          <w:color w:val="222222"/>
          <w:sz w:val="20"/>
          <w:szCs w:val="20"/>
        </w:rPr>
        <w:t xml:space="preserve">idade=0: é bebê com menos de 1 ano, não idade faltante; UF derivada dos 2 primeiros dígitos do código do município (1.162 de 8,9 M linhas em fev/2026)</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Esse slide é o coração da nossa camada de qualidade, e vale contar essas duas histórias com detalhe, porque são achados reais, encontrados olhando o dado de produção, não hipóteses de curso.</w:t>
      </w:r>
    </w:p>
    <w:p>
      <w:pPr>
        <w:spacing w:after="160" w:line="280"/>
        <w:jc w:val="both"/>
      </w:pPr>
      <w:r>
        <w:rPr>
          <w:color w:val="222222"/>
          <w:sz w:val="21"/>
          <w:szCs w:val="21"/>
        </w:rPr>
        <w:t xml:space="preserve">O primeiro achado: encontramos valores como 999999 e XX aparecendo em campos que deveriam ser código IBGE ou sigla de UF válidos. Investigando, percebemos que são sentinelas da própria fonte para indicar "informação ignorada ou não preenchida" — só que disfarçadas de código real, o que é perigoso, porque, se não soubermos disso, elas quebram a chave única de município, gerando uma linha "fantasma". A decisão, documentada na ADR 0007, foi tratar essas sentinelas explicitamente como nulo, em vez de deixá-las contaminar a dimensão. De brinde, encontramos também um problema de nome: por exemplo, o município aparece grafado como "AREZ" em um lugar e "ARES" em outro, mas com o mesmo código IBGE — o que confirma a regra fixada: joins de município sempre pelo código, nunca pelo nome, porque o nome não é confiável.</w:t>
      </w:r>
    </w:p>
    <w:p>
      <w:pPr>
        <w:spacing w:after="160" w:line="280"/>
        <w:jc w:val="both"/>
      </w:pPr>
      <w:r>
        <w:rPr>
          <w:color w:val="222222"/>
          <w:sz w:val="21"/>
          <w:szCs w:val="21"/>
        </w:rPr>
        <w:t xml:space="preserve">O segundo achado é mais sutil: encontramos registros com idade igual a zero e investigamos se era erro de preenchimento — e não era. É um bebê com menos de um ano, que ainda não completou um ano de idade, então zero é um valor válido e esperado, não um dado faltando. Isso importa porque, se filtrássemos idade zero como sujeira, estaríamos removendo justamente parte do público-alvo mais importante do programa de imunização infantil.</w:t>
      </w:r>
    </w:p>
    <w:p>
      <w:pPr>
        <w:spacing w:after="160" w:line="280"/>
        <w:jc w:val="both"/>
      </w:pPr>
      <w:r>
        <w:rPr>
          <w:color w:val="222222"/>
          <w:sz w:val="21"/>
          <w:szCs w:val="21"/>
        </w:rPr>
        <w:t xml:space="preserve">Relacionado a isso, encontramos 1.162 linhas de um total de 8,9 milhões, especificamente em fevereiro de 2026, onde a UF de residência estava vazia mas o código do município estava preenchido — em vez de descartar essas linhas, decidimos derivar a UF a partir dos dois primeiros dígitos do próprio código do município, que no Brasil identificam a UF de forma determinística. Foi uma decisão de recuperar informação em vez de simplesmente descartar dado.</w:t>
      </w:r>
    </w:p>
    <w:p>
      <w:pPr>
        <w:spacing w:after="40" w:before="100"/>
      </w:pPr>
      <w:r>
        <w:rPr>
          <w:b/>
          <w:bCs/>
          <w:color w:val="B85042"/>
          <w:sz w:val="21"/>
          <w:szCs w:val="21"/>
        </w:rPr>
        <w:t xml:space="preserve">Se a banca perguntar: </w:t>
      </w:r>
      <w:r>
        <w:rPr>
          <w:i/>
          <w:iCs/>
          <w:color w:val="222222"/>
          <w:sz w:val="20"/>
          <w:szCs w:val="20"/>
        </w:rPr>
        <w:t xml:space="preserve">"Por que não simplesmente filtrar/descartar os registros com sentinela ou com idade zero?"</w:t>
      </w:r>
    </w:p>
    <w:p>
      <w:pPr>
        <w:spacing w:after="200" w:line="270"/>
        <w:jc w:val="both"/>
      </w:pPr>
      <w:r>
        <w:rPr>
          <w:b/>
          <w:bCs/>
          <w:color w:val="5A5A5A"/>
          <w:sz w:val="21"/>
          <w:szCs w:val="21"/>
        </w:rPr>
        <w:t xml:space="preserve">Resposta:  </w:t>
      </w:r>
      <w:r>
        <w:rPr>
          <w:color w:val="222222"/>
          <w:sz w:val="20"/>
          <w:szCs w:val="20"/>
        </w:rPr>
        <w:t xml:space="preserve">Descartar sentinela sem entender o significado esconderia um problema estrutural de join; e descartar idade zero eliminaria justamente os registros de bebês, público-alvo central do programa. Em ambos os casos, investigar e tratar explicitamente preserva informação real e evita viés no indicador final.</w:t>
      </w:r>
    </w:p>
    <w:p>
      <w:pPr>
        <w:shd w:fill="1E2761" w:val="clear"/>
        <w:spacing w:after="40" w:before="380"/>
      </w:pPr>
      <w:r>
        <w:rPr>
          <w:b/>
          <w:bCs/>
          <w:color w:val="FFFFFF"/>
          <w:sz w:val="19"/>
          <w:szCs w:val="19"/>
        </w:rPr>
        <w:t xml:space="preserve">  SLIDE 10  </w:t>
      </w:r>
    </w:p>
    <w:p>
      <w:pPr>
        <w:spacing w:after="60" w:before="0"/>
      </w:pPr>
      <w:r>
        <w:rPr>
          <w:b/>
          <w:bCs/>
          <w:color w:val="B85042"/>
          <w:spacing w:val="20"/>
          <w:sz w:val="18"/>
          <w:szCs w:val="18"/>
        </w:rPr>
        <w:t xml:space="preserve">MODELO DE DADOS · ADR 0008</w:t>
      </w:r>
    </w:p>
    <w:p>
      <w:pPr>
        <w:spacing w:after="140"/>
      </w:pPr>
      <w:r>
        <w:rPr>
          <w:b/>
          <w:bCs/>
          <w:color w:val="222222"/>
          <w:sz w:val="26"/>
          <w:szCs w:val="26"/>
        </w:rPr>
        <w:t xml:space="preserve">Gold: modelo estrela, grão agregado</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Fato central: fct_cobertura_vacinal (qtd_doses, grão mês)</w:t>
      </w:r>
    </w:p>
    <w:p>
      <w:pPr>
        <w:pStyle w:val="ListParagraph"/>
        <w:numPr>
          <w:ilvl w:val="0"/>
          <w:numId w:val="1"/>
        </w:numPr>
        <w:spacing w:after="60"/>
      </w:pPr>
      <w:r>
        <w:rPr>
          <w:color w:val="222222"/>
          <w:sz w:val="20"/>
          <w:szCs w:val="20"/>
        </w:rPr>
        <w:t xml:space="preserve">5 dimensões: dim_tempo, dim_municipio (+região/pop. IBGE), dim_vacina, dim_perfil_paciente, dim_estrategia_vacinacao</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Este slide apresenta formalmente o modelo dimensional da gold, documentado na ADR 0008. A escolha de um modelo estrela — uma fato central cercada de dimensões — não é só convenção de mercado: relações um-para-muitos simples e diretas entre fato e dimensão tornam as medidas DAX previsíveis e o desempenho de consulta mais rápido, porque o motor do Power BI é otimizado justamente para esse padrão.</w:t>
      </w:r>
    </w:p>
    <w:p>
      <w:pPr>
        <w:spacing w:after="160" w:line="280"/>
        <w:jc w:val="both"/>
      </w:pPr>
      <w:r>
        <w:rPr>
          <w:color w:val="222222"/>
          <w:sz w:val="21"/>
          <w:szCs w:val="21"/>
        </w:rPr>
        <w:t xml:space="preserve">A fato, fct_cobertura_vacinal, guarda a métrica qtd_doses, e o grão — o que cada linha representa — é mês, não dia e não dose individual; justificamos essa mudança de grão com detalhe no próximo slide. Cada linha representa uma combinação única de dimensões, não uma dose aplicada isoladamente.</w:t>
      </w:r>
    </w:p>
    <w:p>
      <w:pPr>
        <w:spacing w:after="160" w:line="280"/>
        <w:jc w:val="both"/>
      </w:pPr>
      <w:r>
        <w:rPr>
          <w:color w:val="222222"/>
          <w:sz w:val="21"/>
          <w:szCs w:val="21"/>
        </w:rPr>
        <w:t xml:space="preserve">As cinco dimensões carregam apenas os atributos derivados e enriquecidos que pertencem àquele contexto: dim_tempo representa o mês, embora originalmente pensada em grão diário; dim_municipio já vem com nome e população reais do IBGE, detalhado no slide 12; dim_vacina e dim_estrategia_vacinacao carregam o nome já resolvido direto da fonte, sem tabela de-para externa; e dim_perfil_paciente combina raça/cor e sexo já padronizados. Manter a fato enxuta, com só chaves e a métrica, e empurrar toda a complexidade descritiva para as dimensões, é o que torna o modelo fácil de manter e de consumir.</w:t>
      </w:r>
    </w:p>
    <w:p>
      <w:pPr>
        <w:spacing w:after="40" w:before="100"/>
      </w:pPr>
      <w:r>
        <w:rPr>
          <w:b/>
          <w:bCs/>
          <w:color w:val="B85042"/>
          <w:sz w:val="21"/>
          <w:szCs w:val="21"/>
        </w:rPr>
        <w:t xml:space="preserve">Se a banca perguntar: </w:t>
      </w:r>
      <w:r>
        <w:rPr>
          <w:i/>
          <w:iCs/>
          <w:color w:val="222222"/>
          <w:sz w:val="20"/>
          <w:szCs w:val="20"/>
        </w:rPr>
        <w:t xml:space="preserve">"Por que modelo estrela e não um modelo mais normalizado, tipo floco de neve?"</w:t>
      </w:r>
    </w:p>
    <w:p>
      <w:pPr>
        <w:spacing w:after="200" w:line="270"/>
        <w:jc w:val="both"/>
      </w:pPr>
      <w:r>
        <w:rPr>
          <w:b/>
          <w:bCs/>
          <w:color w:val="5A5A5A"/>
          <w:sz w:val="21"/>
          <w:szCs w:val="21"/>
        </w:rPr>
        <w:t xml:space="preserve">Resposta:  </w:t>
      </w:r>
      <w:r>
        <w:rPr>
          <w:color w:val="222222"/>
          <w:sz w:val="20"/>
          <w:szCs w:val="20"/>
        </w:rPr>
        <w:t xml:space="preserve">Porque o volume e a complexidade do projeto não justificam a complexidade adicional de um floco de neve, e o Power BI, ferramenta de consumo final, é otimizado especificamente para relações estrela simples — isso simplifica tanto a modelagem quanto a construção das medidas.</w:t>
      </w:r>
    </w:p>
    <w:p>
      <w:pPr>
        <w:shd w:fill="1E2761" w:val="clear"/>
        <w:spacing w:after="40" w:before="380"/>
      </w:pPr>
      <w:r>
        <w:rPr>
          <w:b/>
          <w:bCs/>
          <w:color w:val="FFFFFF"/>
          <w:sz w:val="19"/>
          <w:szCs w:val="19"/>
        </w:rPr>
        <w:t xml:space="preserve">  SLIDE 11  </w:t>
      </w:r>
    </w:p>
    <w:p>
      <w:pPr>
        <w:spacing w:after="60" w:before="0"/>
      </w:pPr>
      <w:r>
        <w:rPr>
          <w:b/>
          <w:bCs/>
          <w:color w:val="B85042"/>
          <w:spacing w:val="20"/>
          <w:sz w:val="18"/>
          <w:szCs w:val="18"/>
        </w:rPr>
        <w:t xml:space="preserve">ACHADO REAL · ADENDO ADR 0008</w:t>
      </w:r>
    </w:p>
    <w:p>
      <w:pPr>
        <w:spacing w:after="140"/>
      </w:pPr>
      <w:r>
        <w:rPr>
          <w:b/>
          <w:bCs/>
          <w:color w:val="222222"/>
          <w:sz w:val="26"/>
          <w:szCs w:val="26"/>
        </w:rPr>
        <w:t xml:space="preserve">49 milhões de linhas viraram 16,2 milhões</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Grão diário (data_vacina): 49,0 M linhas</w:t>
      </w:r>
    </w:p>
    <w:p>
      <w:pPr>
        <w:pStyle w:val="ListParagraph"/>
        <w:numPr>
          <w:ilvl w:val="0"/>
          <w:numId w:val="1"/>
        </w:numPr>
        <w:spacing w:after="60"/>
      </w:pPr>
      <w:r>
        <w:rPr>
          <w:color w:val="222222"/>
          <w:sz w:val="20"/>
          <w:szCs w:val="20"/>
        </w:rPr>
        <w:t xml:space="preserve">Grão mensal (mes_vacina): 16,2 M linhas</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Esse slide conta uma decisão de modelagem que só ficou clara na prática, não no desenho inicial. Originalmente desenhamos a fato com grão diário — uma linha por dia, por município, por vacina, e assim por diante — e nesse desenho ela comprimia bem, porque muitas combinações de dimensão se repetiam.</w:t>
      </w:r>
    </w:p>
    <w:p>
      <w:pPr>
        <w:spacing w:after="160" w:line="280"/>
        <w:jc w:val="both"/>
      </w:pPr>
      <w:r>
        <w:rPr>
          <w:color w:val="222222"/>
          <w:sz w:val="21"/>
          <w:szCs w:val="21"/>
        </w:rPr>
        <w:t xml:space="preserve">Só que, quando adicionamos duas dimensões que faltavam — perfil demográfico do paciente e estratégia de vacinação — como novas chaves de granularidade, a combinatória explodiu: o grão diário parou de comprimir, e a fato cresceu para 49 milhões de linhas, dez vezes além do objetivo original de desenho, que era ficar na casa de milhares ou poucos milhões de linhas, não dezenas de milhões.</w:t>
      </w:r>
    </w:p>
    <w:p>
      <w:pPr>
        <w:spacing w:after="160" w:line="280"/>
        <w:jc w:val="both"/>
      </w:pPr>
      <w:r>
        <w:rPr>
          <w:color w:val="222222"/>
          <w:sz w:val="21"/>
          <w:szCs w:val="21"/>
        </w:rPr>
        <w:t xml:space="preserve">Diante disso, reavaliamos o grão e decidimos mudar de diário para mensal — usando mes_vacina em vez de data_vacina. A justificativa é direta: cobertura vacinal, como indicador de saúde pública, é sempre reportada e analisada por mês ou por ano, nunca por dia; a granularidade diária que perdemos não tinha uso analítico real, enquanto o ganho de tamanho foi enorme e concreto: de 49 milhões para 16,2 milhões de linhas, uma redução de mais de 65%.</w:t>
      </w:r>
    </w:p>
    <w:p>
      <w:pPr>
        <w:spacing w:after="160" w:line="280"/>
        <w:jc w:val="both"/>
      </w:pPr>
      <w:r>
        <w:rPr>
          <w:color w:val="222222"/>
          <w:sz w:val="21"/>
          <w:szCs w:val="21"/>
        </w:rPr>
        <w:t xml:space="preserve">É uma boa demonstração de que otimização de modelo de dados não é só sobre performance técnica — é sobre alinhar o grão da tabela com a pergunta de negócio que ela precisa responder.</w:t>
      </w:r>
    </w:p>
    <w:p>
      <w:pPr>
        <w:spacing w:after="40" w:before="100"/>
      </w:pPr>
      <w:r>
        <w:rPr>
          <w:b/>
          <w:bCs/>
          <w:color w:val="B85042"/>
          <w:sz w:val="21"/>
          <w:szCs w:val="21"/>
        </w:rPr>
        <w:t xml:space="preserve">Se a banca perguntar: </w:t>
      </w:r>
      <w:r>
        <w:rPr>
          <w:i/>
          <w:iCs/>
          <w:color w:val="222222"/>
          <w:sz w:val="20"/>
          <w:szCs w:val="20"/>
        </w:rPr>
        <w:t xml:space="preserve">"Vocês perderam a possibilidade de análise diária — isso não é um risco?"</w:t>
      </w:r>
    </w:p>
    <w:p>
      <w:pPr>
        <w:spacing w:after="200" w:line="270"/>
        <w:jc w:val="both"/>
      </w:pPr>
      <w:r>
        <w:rPr>
          <w:b/>
          <w:bCs/>
          <w:color w:val="5A5A5A"/>
          <w:sz w:val="21"/>
          <w:szCs w:val="21"/>
        </w:rPr>
        <w:t xml:space="preserve">Resposta:  </w:t>
      </w:r>
      <w:r>
        <w:rPr>
          <w:color w:val="222222"/>
          <w:sz w:val="20"/>
          <w:szCs w:val="20"/>
        </w:rPr>
        <w:t xml:space="preserve">Não, porque nenhum stakeholder de saúde pública analisa cobertura vacinal em grão diário — o indicador oficial e os relatórios do próprio Ministério da Saúde são mensais ou anuais, então a granularidade diária nunca teria sido consumida.</w:t>
      </w:r>
    </w:p>
    <w:p>
      <w:pPr>
        <w:shd w:fill="1E2761" w:val="clear"/>
        <w:spacing w:after="40" w:before="380"/>
      </w:pPr>
      <w:r>
        <w:rPr>
          <w:b/>
          <w:bCs/>
          <w:color w:val="FFFFFF"/>
          <w:sz w:val="19"/>
          <w:szCs w:val="19"/>
        </w:rPr>
        <w:t xml:space="preserve">  SLIDE 12  </w:t>
      </w:r>
    </w:p>
    <w:p>
      <w:pPr>
        <w:spacing w:after="60" w:before="0"/>
      </w:pPr>
      <w:r>
        <w:rPr>
          <w:b/>
          <w:bCs/>
          <w:color w:val="B85042"/>
          <w:spacing w:val="20"/>
          <w:sz w:val="18"/>
          <w:szCs w:val="18"/>
        </w:rPr>
        <w:t xml:space="preserve">ENRIQUECIMENTO · ADR 0004 + 0009</w:t>
      </w:r>
    </w:p>
    <w:p>
      <w:pPr>
        <w:spacing w:after="140"/>
      </w:pPr>
      <w:r>
        <w:rPr>
          <w:b/>
          <w:bCs/>
          <w:color w:val="222222"/>
          <w:sz w:val="26"/>
          <w:szCs w:val="26"/>
        </w:rPr>
        <w:t xml:space="preserve">Nome e população reais de município</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Fonte: Base dos Dados (BigQuery público) — br_bd_diretorios_brasil.municipio + br_ibge_populacao.municipio, via source() do dbt, sem copiar dado</w:t>
      </w:r>
    </w:p>
    <w:p>
      <w:pPr>
        <w:pStyle w:val="ListParagraph"/>
        <w:numPr>
          <w:ilvl w:val="0"/>
          <w:numId w:val="1"/>
        </w:numPr>
        <w:spacing w:after="60"/>
      </w:pPr>
      <w:r>
        <w:rPr>
          <w:color w:val="222222"/>
          <w:sz w:val="20"/>
          <w:szCs w:val="20"/>
        </w:rPr>
        <w:t xml:space="preserve">População: estimativa mais recente disponível (não trava em 2025)</w:t>
      </w:r>
    </w:p>
    <w:p>
      <w:pPr>
        <w:pStyle w:val="ListParagraph"/>
        <w:numPr>
          <w:ilvl w:val="0"/>
          <w:numId w:val="1"/>
        </w:numPr>
        <w:spacing w:after="60"/>
      </w:pPr>
      <w:r>
        <w:rPr>
          <w:color w:val="222222"/>
          <w:sz w:val="20"/>
          <w:szCs w:val="20"/>
        </w:rPr>
        <w:t xml:space="preserve">Cobertura: 5.569 de 5.570 municípios; 1 exceção (Boa Esperança do Norte/MT) aceita como warning</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Esse slide justifica por que investimos tempo enriquecendo a dimensão de município com dado externo do IBGE. Sem população, a nossa fato só permite contar quantas doses foram aplicadas — um número absoluto, sem contexto. O indicador central do projeto é taxa de cobertura, doses dividido por população elegível; sem o denominador, o indicador simplesmente não existe.</w:t>
      </w:r>
    </w:p>
    <w:p>
      <w:pPr>
        <w:spacing w:after="160" w:line="280"/>
        <w:jc w:val="both"/>
      </w:pPr>
      <w:r>
        <w:rPr>
          <w:color w:val="222222"/>
          <w:sz w:val="21"/>
          <w:szCs w:val="21"/>
        </w:rPr>
        <w:t xml:space="preserve">Buscamos essa informação na Base dos Dados, um projeto público que disponibiliza tabelas do IBGE já organizadas dentro do próprio BigQuery — br_bd_diretorios_brasil.municipio, para nome e código, e br_ibge_populacao.municipio, para a estimativa populacional. O ponto técnico importante: consultamos essas tabelas via source() do dbt, ou seja, referenciamos o dado onde ele já está, sem copiar nada para o nosso próprio projeto — zero custo de armazenamento adicional, e qualquer atualização que a Base dos Dados fizer na origem já reflete automaticamente para a gente.</w:t>
      </w:r>
    </w:p>
    <w:p>
      <w:pPr>
        <w:spacing w:after="160" w:line="280"/>
        <w:jc w:val="both"/>
      </w:pPr>
      <w:r>
        <w:rPr>
          <w:color w:val="222222"/>
          <w:sz w:val="21"/>
          <w:szCs w:val="21"/>
        </w:rPr>
        <w:t xml:space="preserve">Outra decisão relevante: em vez de travar a estimativa populacional no ano de 2025, usamos sempre o ano mais recente disponível por município individualmente — porque em alguns municípios o dado de um ano específico pode estar faltando, e usar o último ano disponível corrige essas lacunas pontuais sem descartar informação. Com isso, conseguimos cobertura de 5.569 dos 5.570 municípios do Brasil.</w:t>
      </w:r>
    </w:p>
    <w:p>
      <w:pPr>
        <w:spacing w:after="160" w:line="280"/>
        <w:jc w:val="both"/>
      </w:pPr>
      <w:r>
        <w:rPr>
          <w:color w:val="222222"/>
          <w:sz w:val="21"/>
          <w:szCs w:val="21"/>
        </w:rPr>
        <w:t xml:space="preserve">Só um município, Boa Esperança do Norte, no Mato Grosso, ficou sem nenhuma estimativa populacional em nenhum ano disponível na base — investigamos e confirmamos que é uma lacuna real da fonte pública, não um erro nosso. A decisão foi aceitar essa limitação, documentá-la explicitamente, e rebaixar o teste correspondente de erro para warning, em vez de travar o build inteiro por causa de um único município.</w:t>
      </w:r>
    </w:p>
    <w:p>
      <w:pPr>
        <w:spacing w:after="40" w:before="100"/>
      </w:pPr>
      <w:r>
        <w:rPr>
          <w:b/>
          <w:bCs/>
          <w:color w:val="B85042"/>
          <w:sz w:val="21"/>
          <w:szCs w:val="21"/>
        </w:rPr>
        <w:t xml:space="preserve">Se a banca perguntar: </w:t>
      </w:r>
      <w:r>
        <w:rPr>
          <w:i/>
          <w:iCs/>
          <w:color w:val="222222"/>
          <w:sz w:val="20"/>
          <w:szCs w:val="20"/>
        </w:rPr>
        <w:t xml:space="preserve">"Por que não simplesmente descartar esse 1 município ou preencher com uma média?"</w:t>
      </w:r>
    </w:p>
    <w:p>
      <w:pPr>
        <w:spacing w:after="200" w:line="270"/>
        <w:jc w:val="both"/>
      </w:pPr>
      <w:r>
        <w:rPr>
          <w:b/>
          <w:bCs/>
          <w:color w:val="5A5A5A"/>
          <w:sz w:val="21"/>
          <w:szCs w:val="21"/>
        </w:rPr>
        <w:t xml:space="preserve">Resposta:  </w:t>
      </w:r>
      <w:r>
        <w:rPr>
          <w:color w:val="222222"/>
          <w:sz w:val="20"/>
          <w:szCs w:val="20"/>
        </w:rPr>
        <w:t xml:space="preserve">Descartar esconderia a existência do município nos dados de cobertura, e preencher com uma média inventaria um número que não é real — a decisão mais honesta foi manter o município, deixar a população nula, documentar o motivo, e sinalizar isso como limitação conhecida em vez de mascará-la.</w:t>
      </w:r>
    </w:p>
    <w:p>
      <w:pPr>
        <w:shd w:fill="1E2761" w:val="clear"/>
        <w:spacing w:after="40" w:before="380"/>
      </w:pPr>
      <w:r>
        <w:rPr>
          <w:b/>
          <w:bCs/>
          <w:color w:val="FFFFFF"/>
          <w:sz w:val="19"/>
          <w:szCs w:val="19"/>
        </w:rPr>
        <w:t xml:space="preserve">  SLIDE 13  </w:t>
      </w:r>
    </w:p>
    <w:p>
      <w:pPr>
        <w:spacing w:after="60" w:before="0"/>
      </w:pPr>
      <w:r>
        <w:rPr>
          <w:b/>
          <w:bCs/>
          <w:color w:val="B85042"/>
          <w:spacing w:val="20"/>
          <w:sz w:val="18"/>
          <w:szCs w:val="18"/>
        </w:rPr>
        <w:t xml:space="preserve">ACHADO REAL · 2º REFINAMENTO ADR 0009</w:t>
      </w:r>
    </w:p>
    <w:p>
      <w:pPr>
        <w:spacing w:after="140"/>
      </w:pPr>
      <w:r>
        <w:rPr>
          <w:b/>
          <w:bCs/>
          <w:color w:val="222222"/>
          <w:sz w:val="26"/>
          <w:szCs w:val="26"/>
        </w:rPr>
        <w:t xml:space="preserve">O join de município não batia com nenhum município real</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Sintoma: nome_municipio, populacao e ano_populacao vieram vazios para TODOS os municípios ao conectar o Power BI</w:t>
      </w:r>
    </w:p>
    <w:p>
      <w:pPr>
        <w:pStyle w:val="ListParagraph"/>
        <w:numPr>
          <w:ilvl w:val="0"/>
          <w:numId w:val="1"/>
        </w:numPr>
        <w:spacing w:after="60"/>
      </w:pPr>
      <w:r>
        <w:rPr>
          <w:color w:val="222222"/>
          <w:sz w:val="20"/>
          <w:szCs w:val="20"/>
        </w:rPr>
        <w:t xml:space="preserve">Causa raiz: PNI usa código legado de 6 dígitos do DATASUS/SUS; Base dos Dados usa código IBGE de 7 dígitos (6 + dígito verificador)</w:t>
      </w:r>
    </w:p>
    <w:p>
      <w:pPr>
        <w:pStyle w:val="ListParagraph"/>
        <w:numPr>
          <w:ilvl w:val="0"/>
          <w:numId w:val="1"/>
        </w:numPr>
        <w:spacing w:after="60"/>
      </w:pPr>
      <w:r>
        <w:rPr>
          <w:color w:val="222222"/>
          <w:sz w:val="20"/>
          <w:szCs w:val="20"/>
        </w:rPr>
        <w:t xml:space="preserve">Por que passou despercebido: não existia teste not_null em nome_municipio/populacao na própria dim_municipio, só teste isolado na tabela de origem</w:t>
      </w:r>
    </w:p>
    <w:p>
      <w:pPr>
        <w:pStyle w:val="ListParagraph"/>
        <w:numPr>
          <w:ilvl w:val="0"/>
          <w:numId w:val="1"/>
        </w:numPr>
        <w:spacing w:after="60"/>
      </w:pPr>
      <w:r>
        <w:rPr>
          <w:color w:val="222222"/>
          <w:sz w:val="20"/>
          <w:szCs w:val="20"/>
        </w:rPr>
        <w:t xml:space="preserve">Correção: id_municipio_6d = substr(id_municipio, 1, 6), testado unique contra os 5.570 municípios reais; testes novos adicionados</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Esse é, na nossa opinião, o achado mais valioso para mostrar à banca, porque documenta um ciclo completo e honesto de sintoma, causa raiz, motivo de ter passado despercebido, e correção com prevenção futura — exatamente o raciocínio de engenharia que queremos demonstrar.</w:t>
      </w:r>
    </w:p>
    <w:p>
      <w:pPr>
        <w:spacing w:after="160" w:line="280"/>
        <w:jc w:val="both"/>
      </w:pPr>
      <w:r>
        <w:rPr>
          <w:color w:val="222222"/>
          <w:sz w:val="21"/>
          <w:szCs w:val="21"/>
        </w:rPr>
        <w:t xml:space="preserve">O sintoma: ao conectar o modelo no Power BI de verdade, percebemos que nome_municipio, populacao e ano_populacao vinham vazios para absolutamente todos os municípios, não só para o caso isolado já conhecido. Diferente de um bug pequeno — era um join que simplesmente não funcionava em escala nenhuma.</w:t>
      </w:r>
    </w:p>
    <w:p>
      <w:pPr>
        <w:spacing w:after="160" w:line="280"/>
        <w:jc w:val="both"/>
      </w:pPr>
      <w:r>
        <w:rPr>
          <w:color w:val="222222"/>
          <w:sz w:val="21"/>
          <w:szCs w:val="21"/>
        </w:rPr>
        <w:t xml:space="preserve">Investigando a causa raiz, descobrimos que o PNI usa o código legado de seis dígitos do DATASUS/SUS para identificar município, enquanto a Base dos Dados, seguindo o padrão IBGE, usa sete dígitos — os mesmos seis dígitos mais um dígito verificador. Como estávamos comparando os dois campos diretamente, o join nunca batia com nenhum município real, porque os valores nunca eram iguais.</w:t>
      </w:r>
    </w:p>
    <w:p>
      <w:pPr>
        <w:spacing w:after="160" w:line="280"/>
        <w:jc w:val="both"/>
      </w:pPr>
      <w:r>
        <w:rPr>
          <w:color w:val="222222"/>
          <w:sz w:val="21"/>
          <w:szCs w:val="21"/>
        </w:rPr>
        <w:t xml:space="preserve">A pergunta que toda banca vai fazer é: por que isso não foi pego antes? A resposta honesta: não existia um teste de not_null na própria dim_municipio cobrando que nome e população estivessem preenchidos — só havia um teste isolado na tabela de origem do IBGE, que continuava passando porque a tabela de origem, isoladamente, estava correta; o problema era só no join.</w:t>
      </w:r>
    </w:p>
    <w:p>
      <w:pPr>
        <w:spacing w:after="160" w:line="280"/>
        <w:jc w:val="both"/>
      </w:pPr>
      <w:r>
        <w:rPr>
          <w:color w:val="222222"/>
          <w:sz w:val="21"/>
          <w:szCs w:val="21"/>
        </w:rPr>
        <w:t xml:space="preserve">A correção foi extrair os seis primeiros dígitos do código de sete dígitos do IBGE — id_municipio_6d = substr(id_municipio, 1, 6) — e testamos essa extração como unique contra os 5.570 municípios reais, confirmando que não havia nenhuma colisão, ou seja, que a extração é segura e determinística. E, criticamente, adicionamos os testes novos de not_null diretamente na dim_municipio, que antes não existiam — para que, se algum join futuro quebrar de novo, ele seja pego automaticamente no próximo build, e não só quando alguém conectar manualmente o Power BI.</w:t>
      </w:r>
    </w:p>
    <w:p>
      <w:pPr>
        <w:pBdr>
          <w:left w:val="single" w:color="1C7293" w:sz="18" w:space="8"/>
        </w:pBdr>
        <w:shd w:fill="F3F5FA" w:val="clear"/>
        <w:spacing w:after="200" w:line="270"/>
        <w:ind w:left="200" w:right="200"/>
        <w:jc w:val="both"/>
      </w:pPr>
      <w:r>
        <w:rPr>
          <w:b/>
          <w:bCs/>
          <w:i/>
          <w:iCs/>
          <w:color w:val="1C7293"/>
          <w:sz w:val="20"/>
          <w:szCs w:val="20"/>
        </w:rPr>
        <w:t xml:space="preserve">Detalhe extra (bom ter na manga, mesmo não estando literal no slide):  </w:t>
      </w:r>
      <w:r>
        <w:rPr>
          <w:i/>
          <w:iCs/>
          <w:color w:val="5A5A5A"/>
          <w:sz w:val="20"/>
          <w:szCs w:val="20"/>
        </w:rPr>
        <w:t xml:space="preserve">Depois dessa correção, um refinamento adicional apareceu durante a carga completa dos 7 meses (5º refinamento, ADR 0009): mesmo com o join de 6 dígitos corrigido, 45 códigos de município continuaram sem nome/população. Investigando, encontramos dois padrões: 31 são Regiões Administrativas do Distrito Federal — o DATASUS trata cada uma (Taguatinga, Ceilândia etc.) como código próprio, mas para o IBGE o DF inteiro é 1 único município, Brasília; e 9 terminam em "0000" (ex.: 210000 = Maranhão), sentinela do DATASUS para "UF conhecida, município não informado". Para os 31 códigos do DF, aproximamos nome/região/população pelos de Brasília; para os 9 sentinelas, preenchemos ao menos a região a partir da UF. Isso resolveu 40 dos 45 casos. Os 5 códigos restantes (430145/RS e quatro códigos de GO) não bateram em nenhum padrão identificado — foram aceitos como limitação documentada, mesmo tratamento dado ao caso de Boa Esperança do Norte/MT, com o teste rebaixado para warning. Essa é exatamente a origem dos "2 WARN (aceitos)" que aparecem no slide 16.</w:t>
      </w:r>
    </w:p>
    <w:p>
      <w:pPr>
        <w:spacing w:after="40" w:before="100"/>
      </w:pPr>
      <w:r>
        <w:rPr>
          <w:b/>
          <w:bCs/>
          <w:color w:val="B85042"/>
          <w:sz w:val="21"/>
          <w:szCs w:val="21"/>
        </w:rPr>
        <w:t xml:space="preserve">Se a banca perguntar: </w:t>
      </w:r>
      <w:r>
        <w:rPr>
          <w:i/>
          <w:iCs/>
          <w:color w:val="222222"/>
          <w:sz w:val="20"/>
          <w:szCs w:val="20"/>
        </w:rPr>
        <w:t xml:space="preserve">"Como vocês descobriram a causa raiz — foi por tentativa e erro?"</w:t>
      </w:r>
    </w:p>
    <w:p>
      <w:pPr>
        <w:spacing w:after="200" w:line="270"/>
        <w:jc w:val="both"/>
      </w:pPr>
      <w:r>
        <w:rPr>
          <w:b/>
          <w:bCs/>
          <w:color w:val="5A5A5A"/>
          <w:sz w:val="21"/>
          <w:szCs w:val="21"/>
        </w:rPr>
        <w:t xml:space="preserve">Resposta:  </w:t>
      </w:r>
      <w:r>
        <w:rPr>
          <w:color w:val="222222"/>
          <w:sz w:val="20"/>
          <w:szCs w:val="20"/>
        </w:rPr>
        <w:t xml:space="preserve">Não, verificamos diretamente contra o INFORMATION_SCHEMA.COLUMNS do BigQuery e comparamos exemplos reais de código de município nas duas tabelas lado a lado — foi investigação baseada em evidência da própria estrutura dos dados, não suposição.</w:t>
      </w:r>
    </w:p>
    <w:p>
      <w:pPr>
        <w:spacing w:after="40" w:before="100"/>
      </w:pPr>
      <w:r>
        <w:rPr>
          <w:b/>
          <w:bCs/>
          <w:color w:val="B85042"/>
          <w:sz w:val="21"/>
          <w:szCs w:val="21"/>
        </w:rPr>
        <w:t xml:space="preserve">Se a banca perguntar: </w:t>
      </w:r>
      <w:r>
        <w:rPr>
          <w:i/>
          <w:iCs/>
          <w:color w:val="222222"/>
          <w:sz w:val="20"/>
          <w:szCs w:val="20"/>
        </w:rPr>
        <w:t xml:space="preserve">"Por que aceitar 5 códigos sem explicação em vez de investigar até o fim?"</w:t>
      </w:r>
    </w:p>
    <w:p>
      <w:pPr>
        <w:spacing w:after="200" w:line="270"/>
        <w:jc w:val="both"/>
      </w:pPr>
      <w:r>
        <w:rPr>
          <w:b/>
          <w:bCs/>
          <w:color w:val="5A5A5A"/>
          <w:sz w:val="21"/>
          <w:szCs w:val="21"/>
        </w:rPr>
        <w:t xml:space="preserve">Resposta:  </w:t>
      </w:r>
      <w:r>
        <w:rPr>
          <w:color w:val="222222"/>
          <w:sz w:val="20"/>
          <w:szCs w:val="20"/>
        </w:rPr>
        <w:t xml:space="preserve">Foi uma decisão consciente de prioridade e tempo, com precedente já estabelecido (o caso de Boa Esperança do Norte/MT): o teste foi rebaixado para warning, não apagado, e a limitação está documentada na ADR 0009 — ela fica visível para qualquer pessoa que continue o projeto depois, em vez de escondida.</w:t>
      </w:r>
    </w:p>
    <w:p>
      <w:pPr>
        <w:shd w:fill="1E2761" w:val="clear"/>
        <w:spacing w:after="40" w:before="380"/>
      </w:pPr>
      <w:r>
        <w:rPr>
          <w:b/>
          <w:bCs/>
          <w:color w:val="FFFFFF"/>
          <w:sz w:val="19"/>
          <w:szCs w:val="19"/>
        </w:rPr>
        <w:t xml:space="preserve">  SLIDE 14  </w:t>
      </w:r>
    </w:p>
    <w:p>
      <w:pPr>
        <w:spacing w:after="60" w:before="0"/>
      </w:pPr>
      <w:r>
        <w:rPr>
          <w:b/>
          <w:bCs/>
          <w:color w:val="B85042"/>
          <w:spacing w:val="20"/>
          <w:sz w:val="18"/>
          <w:szCs w:val="18"/>
        </w:rPr>
        <w:t xml:space="preserve">ACHADO REAL · ADENDO ADR 0008</w:t>
      </w:r>
    </w:p>
    <w:p>
      <w:pPr>
        <w:spacing w:after="140"/>
      </w:pPr>
      <w:r>
        <w:rPr>
          <w:b/>
          <w:bCs/>
          <w:color w:val="222222"/>
          <w:sz w:val="26"/>
          <w:szCs w:val="26"/>
        </w:rPr>
        <w:t xml:space="preserve">De-para de vacina, dose e estratégia — resolvido sem tabela externa</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Pesquisa por tabelas oficiais (RNDS, guias estaduais) não foi conclusiva</w:t>
      </w:r>
    </w:p>
    <w:p>
      <w:pPr>
        <w:pStyle w:val="ListParagraph"/>
        <w:numPr>
          <w:ilvl w:val="0"/>
          <w:numId w:val="1"/>
        </w:numPr>
        <w:spacing w:after="60"/>
      </w:pPr>
      <w:r>
        <w:rPr>
          <w:color w:val="222222"/>
          <w:sz w:val="20"/>
          <w:szCs w:val="20"/>
        </w:rPr>
        <w:t xml:space="preserve">co_vacina → ds_nome: 90 vacinas distintas (ex.: "vacina febre amarela (atenuada)")</w:t>
      </w:r>
    </w:p>
    <w:p>
      <w:pPr>
        <w:pStyle w:val="ListParagraph"/>
        <w:numPr>
          <w:ilvl w:val="0"/>
          <w:numId w:val="1"/>
        </w:numPr>
        <w:spacing w:after="60"/>
      </w:pPr>
      <w:r>
        <w:rPr>
          <w:color w:val="222222"/>
          <w:sz w:val="20"/>
          <w:szCs w:val="20"/>
        </w:rPr>
        <w:t xml:space="preserve">co_dose_vacina → ds_tipo_dose: ex. "1ª Dose", "Única", "Reforço"</w:t>
      </w:r>
    </w:p>
    <w:p>
      <w:pPr>
        <w:pStyle w:val="ListParagraph"/>
        <w:numPr>
          <w:ilvl w:val="0"/>
          <w:numId w:val="1"/>
        </w:numPr>
        <w:spacing w:after="60"/>
      </w:pPr>
      <w:r>
        <w:rPr>
          <w:color w:val="222222"/>
          <w:sz w:val="20"/>
          <w:szCs w:val="20"/>
        </w:rPr>
        <w:t xml:space="preserve">co_estrategia_vacinacao → no_estrategia: 16 códigos, inclusive 10 a 15, que a tabela do RNDS não cobria</w:t>
      </w:r>
    </w:p>
    <w:p>
      <w:pPr>
        <w:pStyle w:val="ListParagraph"/>
        <w:numPr>
          <w:ilvl w:val="0"/>
          <w:numId w:val="1"/>
        </w:numPr>
        <w:spacing w:after="60"/>
      </w:pPr>
      <w:r>
        <w:rPr>
          <w:color w:val="222222"/>
          <w:sz w:val="20"/>
          <w:szCs w:val="20"/>
        </w:rPr>
        <w:t xml:space="preserve">Validado 1-pra-1 contra os 7 meses reais: nenhum código com mais de um nome distinto</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Esse slide justifica uma decisão de não construir algo que parecia óbvio construir: uma tabela de-para externa para traduzir os códigos de vacina, dose e estratégia de vacinação em nomes legíveis.</w:t>
      </w:r>
    </w:p>
    <w:p>
      <w:pPr>
        <w:spacing w:after="160" w:line="280"/>
        <w:jc w:val="both"/>
      </w:pPr>
      <w:r>
        <w:rPr>
          <w:color w:val="222222"/>
          <w:sz w:val="21"/>
          <w:szCs w:val="21"/>
        </w:rPr>
        <w:t xml:space="preserve">Antes de decidir isso, fizemos uma pesquisa ativa por tabelas oficiais — olhamos a RNDS, a Rede Nacional de Dados em Saúde, e guias de referência de algumas secretarias estaduais — e essa pesquisa não foi conclusiva; as tabelas oficiais encontradas não cobriam todos os códigos que aparecem no dado real, por exemplo, a tabela do RNDS não cobria os códigos de estratégia de 10 a 15.</w:t>
      </w:r>
    </w:p>
    <w:p>
      <w:pPr>
        <w:spacing w:after="160" w:line="280"/>
        <w:jc w:val="both"/>
      </w:pPr>
      <w:r>
        <w:rPr>
          <w:color w:val="222222"/>
          <w:sz w:val="21"/>
          <w:szCs w:val="21"/>
        </w:rPr>
        <w:t xml:space="preserve">Só que, olhando com mais atenção para a própria fonte do PNI, percebemos que ela já trazia colunas de nome, só que não documentadas ou destacadas nos materiais consultados: co_vacina tem seu par ds_nome, com 90 vacinas distintas, como "vacina febre amarela (atenuada)"; co_dose_vacina tem ds_tipo_dose, com valores como "1ª Dose", "Única", "Reforço"; e co_estrategia_vacinacao tem no_estrategia, cobrindo os 16 códigos de estratégia, incluindo justamente os códigos de 10 a 15 que a tabela do RNDS não cobria.</w:t>
      </w:r>
    </w:p>
    <w:p>
      <w:pPr>
        <w:spacing w:after="160" w:line="280"/>
        <w:jc w:val="both"/>
      </w:pPr>
      <w:r>
        <w:rPr>
          <w:color w:val="222222"/>
          <w:sz w:val="21"/>
          <w:szCs w:val="21"/>
        </w:rPr>
        <w:t xml:space="preserve">A decisão final foi usar esses nomes que já vêm prontos da própria fonte, em vez de manter uma tabela de-para externa que precisaríamos atualizar manualmente. Antes de aplicar em produção, validamos 1 para 1 contra os sete meses reais de dado: confirmamos que nenhum código apareceu associado a mais de um nome distinto ao longo do tempo, o que dá segurança de que o de-para é estável e confiável.</w:t>
      </w:r>
    </w:p>
    <w:p>
      <w:pPr>
        <w:spacing w:after="40" w:before="100"/>
      </w:pPr>
      <w:r>
        <w:rPr>
          <w:b/>
          <w:bCs/>
          <w:color w:val="B85042"/>
          <w:sz w:val="21"/>
          <w:szCs w:val="21"/>
        </w:rPr>
        <w:t xml:space="preserve">Se a banca perguntar: </w:t>
      </w:r>
      <w:r>
        <w:rPr>
          <w:i/>
          <w:iCs/>
          <w:color w:val="222222"/>
          <w:sz w:val="20"/>
          <w:szCs w:val="20"/>
        </w:rPr>
        <w:t xml:space="preserve">"E se um código novo aparecer sem nome correspondente no futuro?"</w:t>
      </w:r>
    </w:p>
    <w:p>
      <w:pPr>
        <w:spacing w:after="200" w:line="270"/>
        <w:jc w:val="both"/>
      </w:pPr>
      <w:r>
        <w:rPr>
          <w:b/>
          <w:bCs/>
          <w:color w:val="5A5A5A"/>
          <w:sz w:val="21"/>
          <w:szCs w:val="21"/>
        </w:rPr>
        <w:t xml:space="preserve">Resposta:  </w:t>
      </w:r>
      <w:r>
        <w:rPr>
          <w:color w:val="222222"/>
          <w:sz w:val="20"/>
          <w:szCs w:val="20"/>
        </w:rPr>
        <w:t xml:space="preserve">Isso seria pego pelos testes de not_null que já existem em nome_vacina e nome_dose na dim_vacina — se aparecer um código sem par, o teste falha e o build para, alertando o time antes que o dado incompleto chegue ao Power BI.</w:t>
      </w:r>
    </w:p>
    <w:p>
      <w:r>
        <w:br w:type="page"/>
      </w:r>
    </w:p>
    <w:p>
      <w:pPr>
        <w:pStyle w:val="Heading1"/>
        <w:pBdr>
          <w:bottom w:val="single" w:color="1E2761" w:sz="12" w:space="4"/>
        </w:pBdr>
        <w:spacing w:after="200" w:before="420"/>
      </w:pPr>
      <w:r>
        <w:rPr>
          <w:b/>
          <w:bCs/>
          <w:color w:val="1E2761"/>
          <w:sz w:val="30"/>
          <w:szCs w:val="30"/>
        </w:rPr>
        <w:t xml:space="preserve">BLOCO 05 — Controle de custo</w:t>
      </w:r>
    </w:p>
    <w:p>
      <w:pPr>
        <w:spacing w:after="200"/>
      </w:pPr>
      <w:r>
        <w:rPr>
          <w:i/>
          <w:iCs/>
          <w:color w:val="5A5A5A"/>
          <w:sz w:val="21"/>
          <w:szCs w:val="21"/>
        </w:rPr>
        <w:t xml:space="preserve">Como o projeto se manteve abaixo de R$ 1,00 mesmo processando volume real, e como a mesma disciplina aparece na qualidade contínua do código.</w:t>
      </w:r>
    </w:p>
    <w:p>
      <w:pPr>
        <w:shd w:fill="1E2761" w:val="clear"/>
        <w:spacing w:after="40" w:before="380"/>
      </w:pPr>
      <w:r>
        <w:rPr>
          <w:b/>
          <w:bCs/>
          <w:color w:val="FFFFFF"/>
          <w:sz w:val="19"/>
          <w:szCs w:val="19"/>
        </w:rPr>
        <w:t xml:space="preserve">  SLIDE 15  </w:t>
      </w:r>
    </w:p>
    <w:p>
      <w:pPr>
        <w:spacing w:after="60" w:before="0"/>
      </w:pPr>
      <w:r>
        <w:rPr>
          <w:b/>
          <w:bCs/>
          <w:color w:val="B85042"/>
          <w:spacing w:val="20"/>
          <w:sz w:val="18"/>
          <w:szCs w:val="18"/>
        </w:rPr>
        <w:t xml:space="preserve">FINOPS · ADR 0003</w:t>
      </w:r>
    </w:p>
    <w:p>
      <w:pPr>
        <w:spacing w:after="140"/>
      </w:pPr>
      <w:r>
        <w:rPr>
          <w:b/>
          <w:bCs/>
          <w:color w:val="222222"/>
          <w:sz w:val="26"/>
          <w:szCs w:val="26"/>
        </w:rPr>
        <w:t xml:space="preserve">Escala real, custo real: R$ 0,62</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Cota diária de consulta: barreira dura, recusa a consulta antes dela rodar</w:t>
      </w:r>
    </w:p>
    <w:p>
      <w:pPr>
        <w:pStyle w:val="ListParagraph"/>
        <w:numPr>
          <w:ilvl w:val="0"/>
          <w:numId w:val="1"/>
        </w:numPr>
        <w:spacing w:after="60"/>
      </w:pPr>
      <w:r>
        <w:rPr>
          <w:color w:val="222222"/>
          <w:sz w:val="20"/>
          <w:szCs w:val="20"/>
        </w:rPr>
        <w:t xml:space="preserve">maximum_bytes_billed: limite no profiles.yml do dbt, elevado de 10 GB para 20 GB conforme o volume real cresceu</w:t>
      </w:r>
    </w:p>
    <w:p>
      <w:pPr>
        <w:pStyle w:val="ListParagraph"/>
        <w:numPr>
          <w:ilvl w:val="0"/>
          <w:numId w:val="1"/>
        </w:numPr>
        <w:spacing w:after="60"/>
      </w:pPr>
      <w:r>
        <w:rPr>
          <w:color w:val="222222"/>
          <w:sz w:val="20"/>
          <w:szCs w:val="20"/>
        </w:rPr>
        <w:t xml:space="preserve">Always-free permanente: 10 GiB de armazenamento + 1 TiB de consulta por mês, sem cartão de crédito acionado</w:t>
      </w:r>
    </w:p>
    <w:p>
      <w:pPr>
        <w:pStyle w:val="ListParagraph"/>
        <w:numPr>
          <w:ilvl w:val="0"/>
          <w:numId w:val="1"/>
        </w:numPr>
        <w:spacing w:after="60"/>
      </w:pPr>
      <w:r>
        <w:rPr>
          <w:color w:val="222222"/>
          <w:sz w:val="20"/>
          <w:szCs w:val="20"/>
        </w:rPr>
        <w:t xml:space="preserve">Alertas de orçamento: segunda camada de aviso, em paralelo à cota técnica</w:t>
      </w:r>
    </w:p>
    <w:p>
      <w:pPr>
        <w:pStyle w:val="ListParagraph"/>
        <w:numPr>
          <w:ilvl w:val="0"/>
          <w:numId w:val="1"/>
        </w:numPr>
        <w:spacing w:after="60"/>
      </w:pPr>
      <w:r>
        <w:rPr>
          <w:color w:val="222222"/>
          <w:sz w:val="20"/>
          <w:szCs w:val="20"/>
        </w:rPr>
        <w:t xml:space="preserve">Custo real: R$ 0,62 confirmado no relatório de faturamento do Google Cloud (100% BigQuery, SKU Analysis)</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Esse slide é a resposta prática à regra que a própria equipe estabeleceu desde o início: reduzir ao máximo consultas que possam gerar cobrança. O resultado: R$ 0,62 de custo real, acumulado no mês inteiro, confirmado diretamente no relatório de faturamento do Google Cloud, com 100% desse valor vindo de processamento de consulta no BigQuery, categoria "Analysis" — nenhum custo de armazenamento, só de consulta.</w:t>
      </w:r>
    </w:p>
    <w:p>
      <w:pPr>
        <w:spacing w:after="160" w:line="280"/>
        <w:jc w:val="both"/>
      </w:pPr>
      <w:r>
        <w:rPr>
          <w:color w:val="222222"/>
          <w:sz w:val="21"/>
          <w:szCs w:val="21"/>
        </w:rPr>
        <w:t xml:space="preserve">Isso não aconteceu por sorte, aconteceu porque construímos quatro camadas de proteção, cada uma com um papel diferente. A primeira é a cota diária de consulta, barreira dura configurada no próprio BigQuery: recusa a consulta antes mesmo dela rodar, se o limite diário for ultrapassado — protege contra cobrança antes do fato, não depois. A segunda é o maximum_bytes_billed, configurado no profiles.yml do dbt — limite de segurança que qualquer query do dbt respeita, elevado de 10 gigabytes para 20 gigabytes conforme o volume real do projeto cresceu ao longo dos meses; mostra que ajustamos o limite com base em evidência real de uso, não deixamos um valor arbitrário travado desde o início.</w:t>
      </w:r>
    </w:p>
    <w:p>
      <w:pPr>
        <w:spacing w:after="160" w:line="280"/>
        <w:jc w:val="both"/>
      </w:pPr>
      <w:r>
        <w:rPr>
          <w:color w:val="222222"/>
          <w:sz w:val="21"/>
          <w:szCs w:val="21"/>
        </w:rPr>
        <w:t xml:space="preserve">A terceira camada é o nível always-free permanente do próprio Google Cloud: 10 gibibytes de armazenamento e 1 tebibyte de consulta por mês, sem nunca acionar cartão de crédito. E a quarta é o alerta de orçamento, configurado em paralelo às camadas técnicas, como notificação independente — inclusive foi um alerta desse tipo que nos avisou, ainda em agosto, que já tínhamos atingido metade do orçamento simbólico de R$ 1 configurado como sentinela.</w:t>
      </w:r>
    </w:p>
    <w:p>
      <w:pPr>
        <w:spacing w:after="160" w:line="280"/>
        <w:jc w:val="both"/>
      </w:pPr>
      <w:r>
        <w:rPr>
          <w:color w:val="222222"/>
          <w:sz w:val="21"/>
          <w:szCs w:val="21"/>
        </w:rPr>
        <w:t xml:space="preserve">O ponto final que vale reforçar: R$ 0,62 para processar sete meses de dado real, ~70 gigabytes brutos, é a prova concreta de que essa arquitetura seria sustentável em um cenário de produção real, não só dentro de um exercício acadêmico protegido.</w:t>
      </w:r>
    </w:p>
    <w:p>
      <w:pPr>
        <w:spacing w:after="40" w:before="100"/>
      </w:pPr>
      <w:r>
        <w:rPr>
          <w:b/>
          <w:bCs/>
          <w:color w:val="B85042"/>
          <w:sz w:val="21"/>
          <w:szCs w:val="21"/>
        </w:rPr>
        <w:t xml:space="preserve">Se a banca perguntar: </w:t>
      </w:r>
      <w:r>
        <w:rPr>
          <w:i/>
          <w:iCs/>
          <w:color w:val="222222"/>
          <w:sz w:val="20"/>
          <w:szCs w:val="20"/>
        </w:rPr>
        <w:t xml:space="preserve">"O que acontece se vocês ultrapassarem o limite de bytes faturados no meio de uma consulta?"</w:t>
      </w:r>
    </w:p>
    <w:p>
      <w:pPr>
        <w:spacing w:after="200" w:line="270"/>
        <w:jc w:val="both"/>
      </w:pPr>
      <w:r>
        <w:rPr>
          <w:b/>
          <w:bCs/>
          <w:color w:val="5A5A5A"/>
          <w:sz w:val="21"/>
          <w:szCs w:val="21"/>
        </w:rPr>
        <w:t xml:space="preserve">Resposta:  </w:t>
      </w:r>
      <w:r>
        <w:rPr>
          <w:color w:val="222222"/>
          <w:sz w:val="20"/>
          <w:szCs w:val="20"/>
        </w:rPr>
        <w:t xml:space="preserve">A query simplesmente falha antes de rodar e retorna um erro do BigQuery — não há cobrança parcial nem execução parcial; é uma barreira preventiva, não um limite que corta no meio da execução.</w:t>
      </w:r>
    </w:p>
    <w:p>
      <w:pPr>
        <w:shd w:fill="1E2761" w:val="clear"/>
        <w:spacing w:after="40" w:before="380"/>
      </w:pPr>
      <w:r>
        <w:rPr>
          <w:b/>
          <w:bCs/>
          <w:color w:val="FFFFFF"/>
          <w:sz w:val="19"/>
          <w:szCs w:val="19"/>
        </w:rPr>
        <w:t xml:space="preserve">  SLIDE 16  </w:t>
      </w:r>
    </w:p>
    <w:p>
      <w:pPr>
        <w:spacing w:after="60" w:before="0"/>
      </w:pPr>
      <w:r>
        <w:rPr>
          <w:b/>
          <w:bCs/>
          <w:color w:val="B85042"/>
          <w:spacing w:val="20"/>
          <w:sz w:val="18"/>
          <w:szCs w:val="18"/>
        </w:rPr>
        <w:t xml:space="preserve">QUALIDADE CONTÍNUA</w:t>
      </w:r>
    </w:p>
    <w:p>
      <w:pPr>
        <w:spacing w:after="140"/>
      </w:pPr>
      <w:r>
        <w:rPr>
          <w:b/>
          <w:bCs/>
          <w:color w:val="222222"/>
          <w:sz w:val="26"/>
          <w:szCs w:val="26"/>
        </w:rPr>
        <w:t xml:space="preserve">Testes automatizados a cada mudança</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58 testes dbt · 56 PASS · 2 WARN (aceitos)</w:t>
      </w:r>
    </w:p>
    <w:p>
      <w:pPr>
        <w:pStyle w:val="ListParagraph"/>
        <w:numPr>
          <w:ilvl w:val="0"/>
          <w:numId w:val="1"/>
        </w:numPr>
        <w:spacing w:after="60"/>
      </w:pPr>
      <w:r>
        <w:rPr>
          <w:color w:val="222222"/>
          <w:sz w:val="20"/>
          <w:szCs w:val="20"/>
        </w:rPr>
        <w:t xml:space="preserve">not_null, unique, accepted_values, relationships entre fato e dimensões</w:t>
      </w:r>
    </w:p>
    <w:p>
      <w:pPr>
        <w:pStyle w:val="ListParagraph"/>
        <w:numPr>
          <w:ilvl w:val="0"/>
          <w:numId w:val="1"/>
        </w:numPr>
        <w:spacing w:after="60"/>
      </w:pPr>
      <w:r>
        <w:rPr>
          <w:color w:val="222222"/>
          <w:sz w:val="20"/>
          <w:szCs w:val="20"/>
        </w:rPr>
        <w:t xml:space="preserve">GitHub Actions roda dbt build / dbt docs generate a cada alteração</w:t>
      </w:r>
    </w:p>
    <w:p>
      <w:pPr>
        <w:pStyle w:val="ListParagraph"/>
        <w:numPr>
          <w:ilvl w:val="0"/>
          <w:numId w:val="1"/>
        </w:numPr>
        <w:spacing w:after="60"/>
      </w:pPr>
      <w:r>
        <w:rPr>
          <w:color w:val="222222"/>
          <w:sz w:val="20"/>
          <w:szCs w:val="20"/>
        </w:rPr>
        <w:t xml:space="preserve">10 ADRs registrados até aqui</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Esse slide amarra dois temas que, à primeira vista, parecem separados — controle de custo e qualidade de dados — mas que na prática vêm do mesmo princípio: disciplina de processo. Temos hoje 58 testes automatizados de dbt rodando a cada alteração, cobrindo not_null, unique, accepted_values, e relationships entre a fato e as cinco dimensões. Na última validação completa, contra os sete meses reais de dado, 56 desses testes passaram, e 2 ficaram em warning — não em erro.</w:t>
      </w:r>
    </w:p>
    <w:p>
      <w:pPr>
        <w:spacing w:after="160" w:line="280"/>
        <w:jc w:val="both"/>
      </w:pPr>
      <w:r>
        <w:rPr>
          <w:color w:val="222222"/>
          <w:sz w:val="21"/>
          <w:szCs w:val="21"/>
        </w:rPr>
        <w:t xml:space="preserve">É importante explicar por que 2 warnings é o resultado certo, não uma falha escondida: eles representam limitações reais e conhecidas — os poucos municípios sem nome ou população disponível na fonte pública, incluindo os casos residuais do slide 13 — que decidimos conscientemente aceitar como documentadas, em vez de mascarar ou travar o build inteiro por causa de casos residuais e isolados.</w:t>
      </w:r>
    </w:p>
    <w:p>
      <w:pPr>
        <w:spacing w:after="160" w:line="280"/>
        <w:jc w:val="both"/>
      </w:pPr>
      <w:r>
        <w:rPr>
          <w:color w:val="222222"/>
          <w:sz w:val="21"/>
          <w:szCs w:val="21"/>
        </w:rPr>
        <w:t xml:space="preserve">Quem dispara esses testes automaticamente é o GitHub Actions, rodando dbt build e dbt docs generate a cada mudança de código — nenhuma mudança chega no ambiente compartilhado sem passar primeiro por essa validação. Isso se conecta diretamente com a regra de equipe estabelecida desde o início: ninguém do trio faz merge de código que não sabe explicar. A automação garante que o código funciona tecnicamente, e a regra garante que pelo menos uma pessoa do time entende o porquê de cada mudança.</w:t>
      </w:r>
    </w:p>
    <w:p>
      <w:pPr>
        <w:spacing w:after="160" w:line="280"/>
        <w:jc w:val="both"/>
      </w:pPr>
      <w:r>
        <w:rPr>
          <w:color w:val="222222"/>
          <w:sz w:val="21"/>
          <w:szCs w:val="21"/>
        </w:rPr>
        <w:t xml:space="preserve">Por fim, o número de ADRs registrados: 10 até agora, incluindo os achados e correções apresentados aqui hoje. Esse número resume, na prática, o critério que mais valorizamos internamente: toda decisão relevante do projeto foi documentada no momento em que foi tomada, não reconstruída depois de memória.</w:t>
      </w:r>
    </w:p>
    <w:p>
      <w:pPr>
        <w:spacing w:after="40" w:before="100"/>
      </w:pPr>
      <w:r>
        <w:rPr>
          <w:b/>
          <w:bCs/>
          <w:color w:val="B85042"/>
          <w:sz w:val="21"/>
          <w:szCs w:val="21"/>
        </w:rPr>
        <w:t xml:space="preserve">Se a banca perguntar: </w:t>
      </w:r>
      <w:r>
        <w:rPr>
          <w:i/>
          <w:iCs/>
          <w:color w:val="222222"/>
          <w:sz w:val="20"/>
          <w:szCs w:val="20"/>
        </w:rPr>
        <w:t xml:space="preserve">"Por que aceitar warnings em vez de corrigir tudo até chegar em 100% PASS?"</w:t>
      </w:r>
    </w:p>
    <w:p>
      <w:pPr>
        <w:spacing w:after="200" w:line="270"/>
        <w:jc w:val="both"/>
      </w:pPr>
      <w:r>
        <w:rPr>
          <w:b/>
          <w:bCs/>
          <w:color w:val="5A5A5A"/>
          <w:sz w:val="21"/>
          <w:szCs w:val="21"/>
        </w:rPr>
        <w:t xml:space="preserve">Resposta:  </w:t>
      </w:r>
      <w:r>
        <w:rPr>
          <w:color w:val="222222"/>
          <w:sz w:val="20"/>
          <w:szCs w:val="20"/>
        </w:rPr>
        <w:t xml:space="preserve">Porque alguns dos casos residuais não têm correção real disponível na fonte pública — forçar 100% PASS significaria inventar um dado que não existe ou esconder a limitação; preferimos manter a limitação visível, testada e documentada, o que é mais honesto e mais útil para quem for dar manutenção no projeto depois.</w:t>
      </w:r>
    </w:p>
    <w:p>
      <w:r>
        <w:br w:type="page"/>
      </w:r>
    </w:p>
    <w:p>
      <w:pPr>
        <w:pStyle w:val="Heading1"/>
        <w:pBdr>
          <w:bottom w:val="single" w:color="1E2761" w:sz="12" w:space="4"/>
        </w:pBdr>
        <w:spacing w:after="200" w:before="420"/>
      </w:pPr>
      <w:r>
        <w:rPr>
          <w:b/>
          <w:bCs/>
          <w:color w:val="1E2761"/>
          <w:sz w:val="30"/>
          <w:szCs w:val="30"/>
        </w:rPr>
        <w:t xml:space="preserve">BLOCO 06 — Status atual e próximos passos</w:t>
      </w:r>
    </w:p>
    <w:p>
      <w:pPr>
        <w:spacing w:after="200"/>
      </w:pPr>
      <w:r>
        <w:rPr>
          <w:i/>
          <w:iCs/>
          <w:color w:val="5A5A5A"/>
          <w:sz w:val="21"/>
          <w:szCs w:val="21"/>
        </w:rPr>
        <w:t xml:space="preserve">O que já fecha e o que ainda falta — de forma transparente, como parte da nota e não como risco a ela.</w:t>
      </w:r>
    </w:p>
    <w:p>
      <w:pPr>
        <w:shd w:fill="1E2761" w:val="clear"/>
        <w:spacing w:after="40" w:before="380"/>
      </w:pPr>
      <w:r>
        <w:rPr>
          <w:b/>
          <w:bCs/>
          <w:color w:val="FFFFFF"/>
          <w:sz w:val="19"/>
          <w:szCs w:val="19"/>
        </w:rPr>
        <w:t xml:space="preserve">  SLIDE 17  </w:t>
      </w:r>
    </w:p>
    <w:p>
      <w:pPr>
        <w:spacing w:after="60" w:before="0"/>
      </w:pPr>
      <w:r>
        <w:rPr>
          <w:b/>
          <w:bCs/>
          <w:color w:val="B85042"/>
          <w:spacing w:val="20"/>
          <w:sz w:val="18"/>
          <w:szCs w:val="18"/>
        </w:rPr>
        <w:t xml:space="preserve">STATUS ATUAL</w:t>
      </w:r>
    </w:p>
    <w:p>
      <w:pPr>
        <w:spacing w:after="140"/>
      </w:pPr>
      <w:r>
        <w:rPr>
          <w:b/>
          <w:bCs/>
          <w:color w:val="222222"/>
          <w:sz w:val="26"/>
          <w:szCs w:val="26"/>
        </w:rPr>
        <w:t xml:space="preserve">O que já fecha, e o que ainda falta</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Concluído: modelo estrela completo revalidado (7 meses); enriquecimento IBGE; de-para vacina/dose/estratégia; correção do join (6 vs 7 dígitos + Regiões Administrativas do DF); grão mensal (49M→16,2M); relação faixa_etaria criada no Power BI</w:t>
      </w:r>
    </w:p>
    <w:p>
      <w:pPr>
        <w:pStyle w:val="ListParagraph"/>
        <w:numPr>
          <w:ilvl w:val="0"/>
          <w:numId w:val="1"/>
        </w:numPr>
        <w:spacing w:after="60"/>
      </w:pPr>
      <w:r>
        <w:rPr>
          <w:color w:val="222222"/>
          <w:sz w:val="20"/>
          <w:szCs w:val="20"/>
        </w:rPr>
        <w:t xml:space="preserve">Próximos passos: confirmar atualização das 5 tabelas afetadas no Power BI; de-para 19 vacinas oficiais x ~90 nomes reais; materialização incremental; dimensões de estabelecimento/lote-fabricante adiadas (risco de cardinalidade); narrativa e visualizações finais (Ellen e Andressa)</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Esse slide é onde escolhemos ser transparentes sobre o que já está fechado e o que ainda está em aberto — e isso, na nossa visão, é parte da nota, não um risco para ela.</w:t>
      </w:r>
    </w:p>
    <w:p>
      <w:pPr>
        <w:spacing w:after="160" w:line="280"/>
        <w:jc w:val="both"/>
      </w:pPr>
      <w:r>
        <w:rPr>
          <w:color w:val="222222"/>
          <w:sz w:val="21"/>
          <w:szCs w:val="21"/>
        </w:rPr>
        <w:t xml:space="preserve">Do lado do que está concluído e validado: o modelo estrela completo, com a fato e as cinco dimensões, revalidado contra os sete meses completos de dado; o enriquecimento com IBGE, trazendo nome, população e região de município; o de-para de vacina, dose e estratégia, resolvido sem tabela externa; a correção do join de município, tanto o problema de 6 versus 7 dígitos quanto o refinamento mais fino das Regiões Administrativas do Distrito Federal; a mudança de grão da fato, de 49 milhões para 16,2 milhões de linhas; e a criação da relação de faixa_etaria já dentro do modelo do Power BI.</w:t>
      </w:r>
    </w:p>
    <w:p>
      <w:pPr>
        <w:spacing w:after="160" w:line="280"/>
        <w:jc w:val="both"/>
      </w:pPr>
      <w:r>
        <w:rPr>
          <w:color w:val="222222"/>
          <w:sz w:val="21"/>
          <w:szCs w:val="21"/>
        </w:rPr>
        <w:t xml:space="preserve">Do lado dos próximos passos, o primeiro é confirmar que as cinco tabelas afetadas por essas correções — dim_vacina, dim_perfil_paciente, dim_estrategia_vacinacao, dim_municipio e fct_cobertura_vacinal — foram de fato atualizadas no Power BI, seja por atualização direta ou reimportação. O segundo é um de-para ainda pendente: existem 19 vacinas oficiais na meta_vacinal, representando as metas do programa, contra cerca de 90 nomes reais distintos em dim_vacina — necessário para calcular cobertura contra meta oficial por vacina específica, e ainda não resolvido.</w:t>
      </w:r>
    </w:p>
    <w:p>
      <w:pPr>
        <w:spacing w:after="160" w:line="280"/>
        <w:jc w:val="both"/>
      </w:pPr>
      <w:r>
        <w:rPr>
          <w:color w:val="222222"/>
          <w:sz w:val="21"/>
          <w:szCs w:val="21"/>
        </w:rPr>
        <w:t xml:space="preserve">O terceiro é continuidade direta do que mostramos no bloco de custo: migrar a fato para materialização incremental no dbt, reduzindo os bytes escaneados a cada rodada de build, em vez de reprocessar tudo do zero sempre. O quarto é uma decisão consciente de escopo: dimensões adicionais, de estabelecimento de saúde e de lote/fabricante da vacina, foram avaliadas e adiadas deliberadamente por risco de cardinalidade — o volume de valores distintos poderia explodir o tamanho do modelo sem benefício analítico proporcional. E o último item é a narrativa final e as visualizações do Power BI, sob responsabilidade da Ellen e da Andressa, fechando a ponte entre a engenharia de dados construída aqui e o dashboard final apresentado.</w:t>
      </w:r>
    </w:p>
    <w:p>
      <w:pPr>
        <w:spacing w:after="40" w:before="100"/>
      </w:pPr>
      <w:r>
        <w:rPr>
          <w:b/>
          <w:bCs/>
          <w:color w:val="B85042"/>
          <w:sz w:val="21"/>
          <w:szCs w:val="21"/>
        </w:rPr>
        <w:t xml:space="preserve">Se a banca perguntar: </w:t>
      </w:r>
      <w:r>
        <w:rPr>
          <w:i/>
          <w:iCs/>
          <w:color w:val="222222"/>
          <w:sz w:val="20"/>
          <w:szCs w:val="20"/>
        </w:rPr>
        <w:t xml:space="preserve">"Por que adiar as dimensões de estabelecimento e lote/fabricante em vez de simplesmente incluir?"</w:t>
      </w:r>
    </w:p>
    <w:p>
      <w:pPr>
        <w:spacing w:after="200" w:line="270"/>
        <w:jc w:val="both"/>
      </w:pPr>
      <w:r>
        <w:rPr>
          <w:b/>
          <w:bCs/>
          <w:color w:val="5A5A5A"/>
          <w:sz w:val="21"/>
          <w:szCs w:val="21"/>
        </w:rPr>
        <w:t xml:space="preserve">Resposta:  </w:t>
      </w:r>
      <w:r>
        <w:rPr>
          <w:color w:val="222222"/>
          <w:sz w:val="20"/>
          <w:szCs w:val="20"/>
        </w:rPr>
        <w:t xml:space="preserve">Porque avaliamos previamente que a cardinalidade dessas dimensões — muitos estabelecimentos e muitos lotes distintos — poderia inflar desproporcionalmente o modelo sem agregar valor direto à pergunta de negócio central, que é cobertura por município; foi decisão de escopo consciente, não uma limitação técnica que não soubemos resolver.</w:t>
      </w:r>
    </w:p>
    <w:p>
      <w:pPr>
        <w:shd w:fill="1E2761" w:val="clear"/>
        <w:spacing w:after="40" w:before="380"/>
      </w:pPr>
      <w:r>
        <w:rPr>
          <w:b/>
          <w:bCs/>
          <w:color w:val="FFFFFF"/>
          <w:sz w:val="19"/>
          <w:szCs w:val="19"/>
        </w:rPr>
        <w:t xml:space="preserve">  SLIDE 18  </w:t>
      </w:r>
    </w:p>
    <w:p>
      <w:pPr>
        <w:spacing w:after="60" w:before="0"/>
      </w:pPr>
      <w:r>
        <w:rPr>
          <w:b/>
          <w:bCs/>
          <w:color w:val="B85042"/>
          <w:spacing w:val="20"/>
          <w:sz w:val="18"/>
          <w:szCs w:val="18"/>
        </w:rPr>
        <w:t xml:space="preserve">ENCERRAMENTO</w:t>
      </w:r>
    </w:p>
    <w:p>
      <w:pPr>
        <w:spacing w:after="140"/>
      </w:pPr>
      <w:r>
        <w:rPr>
          <w:b/>
          <w:bCs/>
          <w:color w:val="222222"/>
          <w:sz w:val="26"/>
          <w:szCs w:val="26"/>
        </w:rPr>
        <w:t xml:space="preserve">Obrigada</w:t>
      </w:r>
    </w:p>
    <w:p>
      <w:pPr>
        <w:spacing w:after="60"/>
      </w:pPr>
      <w:r>
        <w:rPr>
          <w:b/>
          <w:bCs/>
          <w:color w:val="1C7293"/>
          <w:sz w:val="21"/>
          <w:szCs w:val="21"/>
        </w:rPr>
        <w:t xml:space="preserve">Na tela:</w:t>
      </w:r>
    </w:p>
    <w:p>
      <w:pPr>
        <w:pStyle w:val="ListParagraph"/>
        <w:numPr>
          <w:ilvl w:val="0"/>
          <w:numId w:val="1"/>
        </w:numPr>
        <w:spacing w:after="60"/>
      </w:pPr>
      <w:r>
        <w:rPr>
          <w:color w:val="222222"/>
          <w:sz w:val="20"/>
          <w:szCs w:val="20"/>
        </w:rPr>
        <w:t xml:space="preserve">Agradecimento</w:t>
      </w:r>
    </w:p>
    <w:p>
      <w:pPr>
        <w:pStyle w:val="ListParagraph"/>
        <w:numPr>
          <w:ilvl w:val="0"/>
          <w:numId w:val="1"/>
        </w:numPr>
        <w:spacing w:after="60"/>
      </w:pPr>
      <w:r>
        <w:rPr>
          <w:color w:val="222222"/>
          <w:sz w:val="20"/>
          <w:szCs w:val="20"/>
        </w:rPr>
        <w:t xml:space="preserve">github.com/gioalvarino/Projeto-MBA-Uniesp</w:t>
      </w:r>
    </w:p>
    <w:p>
      <w:pPr>
        <w:pStyle w:val="ListParagraph"/>
        <w:numPr>
          <w:ilvl w:val="0"/>
          <w:numId w:val="1"/>
        </w:numPr>
        <w:spacing w:after="60"/>
      </w:pPr>
      <w:r>
        <w:rPr>
          <w:color w:val="222222"/>
          <w:sz w:val="20"/>
          <w:szCs w:val="20"/>
        </w:rPr>
        <w:t xml:space="preserve">Créditos: Giovanna Alvarino, Andressa, Ellen</w:t>
      </w:r>
    </w:p>
    <w:p>
      <w:pPr>
        <w:spacing w:after="60" w:before="140"/>
      </w:pPr>
      <w:r>
        <w:rPr>
          <w:b/>
          <w:bCs/>
          <w:color w:val="1E2761"/>
          <w:sz w:val="21"/>
          <w:szCs w:val="21"/>
        </w:rPr>
        <w:t xml:space="preserve">Fala sugerida:</w:t>
      </w:r>
    </w:p>
    <w:p>
      <w:pPr>
        <w:spacing w:after="160" w:line="280"/>
        <w:jc w:val="both"/>
      </w:pPr>
      <w:r>
        <w:rPr>
          <w:color w:val="222222"/>
          <w:sz w:val="21"/>
          <w:szCs w:val="21"/>
        </w:rPr>
        <w:t xml:space="preserve">Para fechar, reforçamos o ponto de transparência total que atravessou a apresentação inteira: todo o código, todos os ADRs, o dicionário de dados e o histórico completo de decisões estão públicos no repositório, cujo link está na tela. Qualquer afirmação feita aqui hoje pode ser verificada diretamente no histórico do Git, não é uma alegação sem lastro.</w:t>
      </w:r>
    </w:p>
    <w:p>
      <w:pPr>
        <w:spacing w:after="160" w:line="280"/>
        <w:jc w:val="both"/>
      </w:pPr>
      <w:r>
        <w:rPr>
          <w:color w:val="222222"/>
          <w:sz w:val="21"/>
          <w:szCs w:val="21"/>
        </w:rPr>
        <w:t xml:space="preserve">Agradecemos a atenção da banca e ficamos à disposição para perguntas.</w:t>
      </w:r>
    </w:p>
    <w:p>
      <w:r>
        <w:br w:type="page"/>
      </w:r>
    </w:p>
    <w:p>
      <w:pPr>
        <w:pStyle w:val="Heading1"/>
        <w:pBdr>
          <w:bottom w:val="single" w:color="1E2761" w:sz="12" w:space="4"/>
        </w:pBdr>
        <w:spacing w:after="200" w:before="420"/>
      </w:pPr>
      <w:r>
        <w:rPr>
          <w:b/>
          <w:bCs/>
          <w:color w:val="1E2761"/>
          <w:sz w:val="30"/>
          <w:szCs w:val="30"/>
        </w:rPr>
        <w:t xml:space="preserve">PERGUNTAS GERAIS PROVÁVEIS DA BANCA</w:t>
      </w:r>
    </w:p>
    <w:p>
      <w:pPr>
        <w:spacing w:after="160" w:line="280"/>
        <w:jc w:val="both"/>
      </w:pPr>
      <w:r>
        <w:rPr>
          <w:color w:val="222222"/>
          <w:sz w:val="21"/>
          <w:szCs w:val="21"/>
        </w:rPr>
        <w:t xml:space="preserve">Além das perguntas específicas já listadas em cada slide, estas são perguntas transversais, que podem vir a qualquer momento da apresentação e testam a compreensão do projeto como um todo.</w:t>
      </w:r>
    </w:p>
    <w:p>
      <w:pPr>
        <w:spacing w:after="40" w:before="100"/>
      </w:pPr>
      <w:r>
        <w:rPr>
          <w:b/>
          <w:bCs/>
          <w:color w:val="B85042"/>
          <w:sz w:val="21"/>
          <w:szCs w:val="21"/>
        </w:rPr>
        <w:t xml:space="preserve">Se a banca perguntar: </w:t>
      </w:r>
      <w:r>
        <w:rPr>
          <w:i/>
          <w:iCs/>
          <w:color w:val="222222"/>
          <w:sz w:val="20"/>
          <w:szCs w:val="20"/>
        </w:rPr>
        <w:t xml:space="preserve">"Por que dbt e não só SQL puro rodando direto no BigQuery?"</w:t>
      </w:r>
    </w:p>
    <w:p>
      <w:pPr>
        <w:spacing w:after="200" w:line="270"/>
        <w:jc w:val="both"/>
      </w:pPr>
      <w:r>
        <w:rPr>
          <w:b/>
          <w:bCs/>
          <w:color w:val="5A5A5A"/>
          <w:sz w:val="21"/>
          <w:szCs w:val="21"/>
        </w:rPr>
        <w:t xml:space="preserve">Resposta:  </w:t>
      </w:r>
      <w:r>
        <w:rPr>
          <w:color w:val="222222"/>
          <w:sz w:val="20"/>
          <w:szCs w:val="20"/>
        </w:rPr>
        <w:t xml:space="preserve">Porque o dbt traz testes automatizados versionados junto com o código de transformação, documentação e lineage gerados automaticamente, materialização declarativa (a mesma sintaxe define view, table ou incremental), e integração nativa com o CI via GitHub Actions — tudo isso teria que ser construído manualmente em cima de SQL puro.</w:t>
      </w:r>
    </w:p>
    <w:p>
      <w:pPr>
        <w:spacing w:after="40" w:before="100"/>
      </w:pPr>
      <w:r>
        <w:rPr>
          <w:b/>
          <w:bCs/>
          <w:color w:val="B85042"/>
          <w:sz w:val="21"/>
          <w:szCs w:val="21"/>
        </w:rPr>
        <w:t xml:space="preserve">Se a banca perguntar: </w:t>
      </w:r>
      <w:r>
        <w:rPr>
          <w:i/>
          <w:iCs/>
          <w:color w:val="222222"/>
          <w:sz w:val="20"/>
          <w:szCs w:val="20"/>
        </w:rPr>
        <w:t xml:space="preserve">"O que aconteceria se a fonte do PNI mudasse de schema amanhã?"</w:t>
      </w:r>
    </w:p>
    <w:p>
      <w:pPr>
        <w:spacing w:after="200" w:line="270"/>
        <w:jc w:val="both"/>
      </w:pPr>
      <w:r>
        <w:rPr>
          <w:b/>
          <w:bCs/>
          <w:color w:val="5A5A5A"/>
          <w:sz w:val="21"/>
          <w:szCs w:val="21"/>
        </w:rPr>
        <w:t xml:space="preserve">Resposta:  </w:t>
      </w:r>
      <w:r>
        <w:rPr>
          <w:color w:val="222222"/>
          <w:sz w:val="20"/>
          <w:szCs w:val="20"/>
        </w:rPr>
        <w:t xml:space="preserve">O impacto ficaria isolado na silver, que é a camada responsável por interpretar a estrutura da fonte; a gold e o Power BI não quebrariam, porque consomem a interface estável que a silver expõe, não a fonte diretamente — essa é a justificativa central da arquitetura medalhão.</w:t>
      </w:r>
    </w:p>
    <w:p>
      <w:pPr>
        <w:spacing w:after="40" w:before="100"/>
      </w:pPr>
      <w:r>
        <w:rPr>
          <w:b/>
          <w:bCs/>
          <w:color w:val="B85042"/>
          <w:sz w:val="21"/>
          <w:szCs w:val="21"/>
        </w:rPr>
        <w:t xml:space="preserve">Se a banca perguntar: </w:t>
      </w:r>
      <w:r>
        <w:rPr>
          <w:i/>
          <w:iCs/>
          <w:color w:val="222222"/>
          <w:sz w:val="20"/>
          <w:szCs w:val="20"/>
        </w:rPr>
        <w:t xml:space="preserve">"Como garantem conformidade com a LGPD de ponta a ponta, não só na gold?"</w:t>
      </w:r>
    </w:p>
    <w:p>
      <w:pPr>
        <w:spacing w:after="200" w:line="270"/>
        <w:jc w:val="both"/>
      </w:pPr>
      <w:r>
        <w:rPr>
          <w:b/>
          <w:bCs/>
          <w:color w:val="5A5A5A"/>
          <w:sz w:val="21"/>
          <w:szCs w:val="21"/>
        </w:rPr>
        <w:t xml:space="preserve">Resposta:  </w:t>
      </w:r>
      <w:r>
        <w:rPr>
          <w:color w:val="222222"/>
          <w:sz w:val="20"/>
          <w:szCs w:val="20"/>
        </w:rPr>
        <w:t xml:space="preserve">CEP e código de paciente já não avançam além da silver — a decisão de não propagar esses campos é tomada antes da gold existir. Na gold, toda métrica é agregada por município e faixa etária, nunca por indivíduo, o que é estruturalmente impossível de reverter para um dado pessoal identificável.</w:t>
      </w:r>
    </w:p>
    <w:p>
      <w:pPr>
        <w:spacing w:after="40" w:before="100"/>
      </w:pPr>
      <w:r>
        <w:rPr>
          <w:b/>
          <w:bCs/>
          <w:color w:val="B85042"/>
          <w:sz w:val="21"/>
          <w:szCs w:val="21"/>
        </w:rPr>
        <w:t xml:space="preserve">Se a banca perguntar: </w:t>
      </w:r>
      <w:r>
        <w:rPr>
          <w:i/>
          <w:iCs/>
          <w:color w:val="222222"/>
          <w:sz w:val="20"/>
          <w:szCs w:val="20"/>
        </w:rPr>
        <w:t xml:space="preserve">"Por que usar a Base dos Dados em vez de baixar os dados do IBGE diretamente?"</w:t>
      </w:r>
    </w:p>
    <w:p>
      <w:pPr>
        <w:spacing w:after="200" w:line="270"/>
        <w:jc w:val="both"/>
      </w:pPr>
      <w:r>
        <w:rPr>
          <w:b/>
          <w:bCs/>
          <w:color w:val="5A5A5A"/>
          <w:sz w:val="21"/>
          <w:szCs w:val="21"/>
        </w:rPr>
        <w:t xml:space="preserve">Resposta:  </w:t>
      </w:r>
      <w:r>
        <w:rPr>
          <w:color w:val="222222"/>
          <w:sz w:val="20"/>
          <w:szCs w:val="20"/>
        </w:rPr>
        <w:t xml:space="preserve">Porque a Base dos Dados já disponibiliza as tabelas do IBGE dentro do próprio BigQuery, prontas para consulta via source() do dbt, sem exigir pipeline de ingestão próprio para o IBGE nem cópia de dado — reduz custo de armazenamento e de manutenção.</w:t>
      </w:r>
    </w:p>
    <w:p>
      <w:pPr>
        <w:spacing w:after="40" w:before="100"/>
      </w:pPr>
      <w:r>
        <w:rPr>
          <w:b/>
          <w:bCs/>
          <w:color w:val="B85042"/>
          <w:sz w:val="21"/>
          <w:szCs w:val="21"/>
        </w:rPr>
        <w:t xml:space="preserve">Se a banca perguntar: </w:t>
      </w:r>
      <w:r>
        <w:rPr>
          <w:i/>
          <w:iCs/>
          <w:color w:val="222222"/>
          <w:sz w:val="20"/>
          <w:szCs w:val="20"/>
        </w:rPr>
        <w:t xml:space="preserve">"Qual foi o critério para decidir o que vira ADR e o que não vira?"</w:t>
      </w:r>
    </w:p>
    <w:p>
      <w:pPr>
        <w:spacing w:after="200" w:line="270"/>
        <w:jc w:val="both"/>
      </w:pPr>
      <w:r>
        <w:rPr>
          <w:b/>
          <w:bCs/>
          <w:color w:val="5A5A5A"/>
          <w:sz w:val="21"/>
          <w:szCs w:val="21"/>
        </w:rPr>
        <w:t xml:space="preserve">Resposta:  </w:t>
      </w:r>
      <w:r>
        <w:rPr>
          <w:color w:val="222222"/>
          <w:sz w:val="20"/>
          <w:szCs w:val="20"/>
        </w:rPr>
        <w:t xml:space="preserve">Toda decisão que teve alternativas reais avaliadas, ou que corrigiu um comportamento inesperado encontrado em produção, vira ADR no momento em que é tomada — é a regra de equipe estabelecida desde o início do projeto, e por isso hoje existem 10 ADRs, cobrindo desde a escolha da fonte até os achados mais recentes de join de município.</w:t>
      </w:r>
    </w:p>
    <w:p>
      <w:pPr>
        <w:spacing w:after="40" w:before="100"/>
      </w:pPr>
      <w:r>
        <w:rPr>
          <w:b/>
          <w:bCs/>
          <w:color w:val="B85042"/>
          <w:sz w:val="21"/>
          <w:szCs w:val="21"/>
        </w:rPr>
        <w:t xml:space="preserve">Se a banca perguntar: </w:t>
      </w:r>
      <w:r>
        <w:rPr>
          <w:i/>
          <w:iCs/>
          <w:color w:val="222222"/>
          <w:sz w:val="20"/>
          <w:szCs w:val="20"/>
        </w:rPr>
        <w:t xml:space="preserve">"O projeto seria viável em escala de produção real, fora do ambiente acadêmico?"</w:t>
      </w:r>
    </w:p>
    <w:p>
      <w:pPr>
        <w:spacing w:after="200" w:line="270"/>
        <w:jc w:val="both"/>
      </w:pPr>
      <w:r>
        <w:rPr>
          <w:b/>
          <w:bCs/>
          <w:color w:val="5A5A5A"/>
          <w:sz w:val="21"/>
          <w:szCs w:val="21"/>
        </w:rPr>
        <w:t xml:space="preserve">Resposta:  </w:t>
      </w:r>
      <w:r>
        <w:rPr>
          <w:color w:val="222222"/>
          <w:sz w:val="20"/>
          <w:szCs w:val="20"/>
        </w:rPr>
        <w:t xml:space="preserve">Os números sugerem que sim: R$ 0,62 de custo real para processar sete meses de dado (~70 GB, ~115 milhões de linhas), com camadas de proteção de custo já implementadas e testadas, e uma arquitetura que isola reprocessamento por camada — o próximo passo natural, já identificado no slide 17, é migrar a fato para materialização incremental, o que reduziria ainda mais o custo de consulta em escala de produção contínua.</w:t>
      </w:r>
    </w:p>
    <w:p>
      <w:pPr>
        <w:spacing w:after="40" w:before="100"/>
      </w:pPr>
      <w:r>
        <w:rPr>
          <w:b/>
          <w:bCs/>
          <w:color w:val="B85042"/>
          <w:sz w:val="21"/>
          <w:szCs w:val="21"/>
        </w:rPr>
        <w:t xml:space="preserve">Se a banca perguntar: </w:t>
      </w:r>
      <w:r>
        <w:rPr>
          <w:i/>
          <w:iCs/>
          <w:color w:val="222222"/>
          <w:sz w:val="20"/>
          <w:szCs w:val="20"/>
        </w:rPr>
        <w:t xml:space="preserve">"Quem pode explicar qualquer parte do projeto, ou só quem escreveu aquele código específico?"</w:t>
      </w:r>
    </w:p>
    <w:p>
      <w:pPr>
        <w:spacing w:after="200" w:line="270"/>
        <w:jc w:val="both"/>
      </w:pPr>
      <w:r>
        <w:rPr>
          <w:b/>
          <w:bCs/>
          <w:color w:val="5A5A5A"/>
          <w:sz w:val="21"/>
          <w:szCs w:val="21"/>
        </w:rPr>
        <w:t xml:space="preserve">Resposta:  </w:t>
      </w:r>
      <w:r>
        <w:rPr>
          <w:color w:val="222222"/>
          <w:sz w:val="20"/>
          <w:szCs w:val="20"/>
        </w:rPr>
        <w:t xml:space="preserve">Essa é justamente a regra que a equipe se impôs desde o início — ninguém faz merge de código que não sabe explicar — então qualquer um dos três consegue justificar qualquer decisão do projeto, mesmo que não tenha sido quem escreveu a linha de código originalmente.</w:t>
      </w:r>
    </w:p>
    <w:p>
      <w:r>
        <w:br w:type="page"/>
      </w:r>
    </w:p>
    <w:p>
      <w:pPr>
        <w:pStyle w:val="Heading1"/>
        <w:pBdr>
          <w:bottom w:val="single" w:color="1E2761" w:sz="12" w:space="4"/>
        </w:pBdr>
        <w:spacing w:after="200" w:before="420"/>
      </w:pPr>
      <w:r>
        <w:rPr>
          <w:b/>
          <w:bCs/>
          <w:color w:val="1E2761"/>
          <w:sz w:val="30"/>
          <w:szCs w:val="30"/>
        </w:rPr>
        <w:t xml:space="preserve">CHECKLIST ANTES DE APRESENTAR</w:t>
      </w:r>
    </w:p>
    <w:p>
      <w:pPr>
        <w:pStyle w:val="ListParagraph"/>
        <w:numPr>
          <w:ilvl w:val="0"/>
          <w:numId w:val="1"/>
        </w:numPr>
        <w:spacing w:after="60"/>
      </w:pPr>
      <w:r>
        <w:rPr>
          <w:color w:val="222222"/>
          <w:sz w:val="20"/>
          <w:szCs w:val="20"/>
        </w:rPr>
        <w:t xml:space="preserve">Confirmar que as 5 tabelas afetadas (dim_vacina, dim_perfil_paciente, dim_estrategia_vacinacao, dim_municipio, fct_cobertura_vacinal) foram atualizadas no Power BI.</w:t>
      </w:r>
    </w:p>
    <w:p>
      <w:pPr>
        <w:pStyle w:val="ListParagraph"/>
        <w:numPr>
          <w:ilvl w:val="0"/>
          <w:numId w:val="1"/>
        </w:numPr>
        <w:spacing w:after="60"/>
      </w:pPr>
      <w:r>
        <w:rPr>
          <w:color w:val="222222"/>
          <w:sz w:val="20"/>
          <w:szCs w:val="20"/>
        </w:rPr>
        <w:t xml:space="preserve">Abrir o repositório do GitHub numa aba, pronta para mostrar código, ADRs ou o dicionário de dados se a banca pedir para ver algo ao vivo.</w:t>
      </w:r>
    </w:p>
    <w:p>
      <w:pPr>
        <w:pStyle w:val="ListParagraph"/>
        <w:numPr>
          <w:ilvl w:val="0"/>
          <w:numId w:val="1"/>
        </w:numPr>
        <w:spacing w:after="60"/>
      </w:pPr>
      <w:r>
        <w:rPr>
          <w:color w:val="222222"/>
          <w:sz w:val="20"/>
          <w:szCs w:val="20"/>
        </w:rPr>
        <w:t xml:space="preserve">Revisar rapidamente o quadro-resumo dos 10 ADRs (primeira seção deste documento) — é a referência mais rápida em caso de pergunta cruzada.</w:t>
      </w:r>
    </w:p>
    <w:p>
      <w:pPr>
        <w:pStyle w:val="ListParagraph"/>
        <w:numPr>
          <w:ilvl w:val="0"/>
          <w:numId w:val="1"/>
        </w:numPr>
        <w:spacing w:after="60"/>
      </w:pPr>
      <w:r>
        <w:rPr>
          <w:color w:val="222222"/>
          <w:sz w:val="20"/>
          <w:szCs w:val="20"/>
        </w:rPr>
        <w:t xml:space="preserve">Lembrar de dizer R$ 0,62 (não R$ 0,00) ao falar de custo — é o número real e mais atualizado, confirmado no relatório de faturamento.</w:t>
      </w:r>
    </w:p>
    <w:p>
      <w:pPr>
        <w:pStyle w:val="ListParagraph"/>
        <w:numPr>
          <w:ilvl w:val="0"/>
          <w:numId w:val="1"/>
        </w:numPr>
        <w:spacing w:after="60"/>
      </w:pPr>
      <w:r>
        <w:rPr>
          <w:color w:val="222222"/>
          <w:sz w:val="20"/>
          <w:szCs w:val="20"/>
        </w:rPr>
        <w:t xml:space="preserve">Praticar ao menos uma vez com cronômetro — meta de 16 a 20 minutos de fala, deixando folga para perguntas.</w:t>
      </w:r>
    </w:p>
    <w:p>
      <w:pPr>
        <w:pStyle w:val="ListParagraph"/>
        <w:numPr>
          <w:ilvl w:val="0"/>
          <w:numId w:val="1"/>
        </w:numPr>
        <w:spacing w:after="60"/>
      </w:pPr>
      <w:r>
        <w:rPr>
          <w:color w:val="222222"/>
          <w:sz w:val="20"/>
          <w:szCs w:val="20"/>
        </w:rPr>
        <w:t xml:space="preserve">Combinar entre o trio quem abre e quem fecha a apresentação, e revisar a sugestão de divisão de fala no início deste documento.</w:t>
      </w:r>
    </w:p>
    <w:p>
      <w:pPr>
        <w:pStyle w:val="ListParagraph"/>
        <w:numPr>
          <w:ilvl w:val="0"/>
          <w:numId w:val="1"/>
        </w:numPr>
        <w:spacing w:after="60"/>
      </w:pPr>
      <w:r>
        <w:rPr>
          <w:color w:val="222222"/>
          <w:sz w:val="20"/>
          <w:szCs w:val="20"/>
        </w:rPr>
        <w:t xml:space="preserve">Ter em mente o achado das Regiões Administrativas do DF (5º refinamento, ADR 0009) mesmo não estando escrito literalmente em nenhum slide — é a continuação natural da história do slide 13.</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2026-08-24T18:07:45.320Z</dcterms:created>
  <dcterms:modified xsi:type="dcterms:W3CDTF">2026-08-24T18:07:45.320Z</dcterms:modified>
</cp:coreProperties>
</file>

<file path=docProps/custom.xml><?xml version="1.0" encoding="utf-8"?>
<Properties xmlns="http://schemas.openxmlformats.org/officeDocument/2006/custom-properties" xmlns:vt="http://schemas.openxmlformats.org/officeDocument/2006/docPropsVTypes"/>
</file>