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090C5449" w14:textId="3654ED0C" w:rsidR="00A017FE" w:rsidRPr="005D09C5" w:rsidRDefault="00A017FE" w:rsidP="0067311C">
      <w:pPr>
        <w:rPr>
          <w:rFonts w:ascii="Times New Roman" w:hAnsi="Times New Roman" w:cs="Times New Roman"/>
          <w:sz w:val="20"/>
          <w:szCs w:val="20"/>
          <w:lang w:eastAsia="it-IT"/>
        </w:rPr>
      </w:pPr>
      <w:r w:rsidRPr="005D09C5">
        <w:rPr>
          <w:rFonts w:ascii="Times New Roman" w:hAnsi="Times New Roman" w:cs="Times New Roman"/>
          <w:sz w:val="20"/>
          <w:szCs w:val="20"/>
          <w:lang w:eastAsia="it-IT"/>
        </w:rPr>
        <w:t xml:space="preserve">Elisa MERELLI matricola n. 881427 </w:t>
      </w:r>
      <w:r w:rsidRPr="005D09C5">
        <w:rPr>
          <w:rFonts w:ascii="Times New Roman" w:hAnsi="Times New Roman" w:cs="Times New Roman"/>
          <w:sz w:val="20"/>
          <w:szCs w:val="20"/>
          <w:lang w:eastAsia="it-IT"/>
        </w:rPr>
        <w:tab/>
        <w:t xml:space="preserve">                                    Giorgio CARBONE matricola n. 811974                                                           Silvia GROSSO matricola n. 881993</w:t>
      </w:r>
    </w:p>
    <w:p w14:paraId="230CEA6E" w14:textId="180814A2"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questo contesto le nuove generazioni, naturalmente più esposte e ricettive, sono sistematicamente indotte ad insegnare alle precedenti, apparentemente incapaci di adempiere al ruolo di educatore all’uso delle ICTs.</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ICTs.</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Il metodo di raccolta delle informazioni per la stesura dell’elaborato sarà principalmente qualitativo: verterà </w:t>
      </w:r>
      <w:r w:rsidRPr="006B373F">
        <w:rPr>
          <w:rFonts w:ascii="Times New Roman" w:eastAsia="Times New Roman" w:hAnsi="Times New Roman" w:cs="Times New Roman"/>
          <w:color w:val="000000"/>
          <w:sz w:val="20"/>
          <w:szCs w:val="20"/>
          <w:lang w:eastAsia="it-IT"/>
        </w:rPr>
        <w:t>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Inoltre, tenteremo di introdurre dati quantitativi raccolti con l’ausilio di sondaggi che verranno tenuti in considerazione solo se significativi. Somministreremo un Modulo Google a un campione di popolazione appartenente alla Generazione Y e Z, investigando la natura soggettiva dell’approccio e della relazione con le ICTs.</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r w:rsidRPr="006B373F">
        <w:rPr>
          <w:rFonts w:ascii="Times New Roman" w:hAnsi="Times New Roman" w:cs="Times New Roman"/>
          <w:b/>
          <w:bCs/>
          <w:sz w:val="20"/>
          <w:szCs w:val="20"/>
          <w:lang w:val="en-US"/>
        </w:rPr>
        <w:t>keywords</w:t>
      </w:r>
    </w:p>
    <w:p w14:paraId="055FF082" w14:textId="7FECB069" w:rsidR="00512F5F" w:rsidRPr="006B373F" w:rsidRDefault="004F22FE" w:rsidP="00071FC2">
      <w:pPr>
        <w:spacing w:before="120"/>
        <w:jc w:val="both"/>
        <w:rPr>
          <w:rFonts w:ascii="Times New Roman" w:hAnsi="Times New Roman" w:cs="Times New Roman"/>
          <w:i/>
          <w:iCs/>
          <w:color w:val="4472C4" w:themeColor="accent1"/>
          <w:sz w:val="20"/>
          <w:szCs w:val="20"/>
          <w:lang w:val="en-US"/>
        </w:rPr>
      </w:pPr>
      <w:r>
        <w:rPr>
          <w:rFonts w:ascii="Times New Roman" w:hAnsi="Times New Roman" w:cs="Times New Roman"/>
          <w:i/>
          <w:iCs/>
          <w:color w:val="4472C4" w:themeColor="accent1"/>
          <w:sz w:val="20"/>
          <w:szCs w:val="20"/>
          <w:lang w:val="en-US"/>
        </w:rPr>
        <w:t xml:space="preserve">ICT, </w:t>
      </w:r>
      <w:r w:rsidR="007E3A90"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007E3A90" w:rsidRPr="006B373F">
        <w:rPr>
          <w:rFonts w:ascii="Times New Roman" w:hAnsi="Times New Roman" w:cs="Times New Roman"/>
          <w:i/>
          <w:iCs/>
          <w:color w:val="4472C4" w:themeColor="accent1"/>
          <w:sz w:val="20"/>
          <w:szCs w:val="20"/>
          <w:lang w:val="en-US"/>
        </w:rPr>
        <w:t>ise,</w:t>
      </w:r>
      <w:r w:rsidR="000920A8">
        <w:rPr>
          <w:rFonts w:ascii="Times New Roman" w:hAnsi="Times New Roman" w:cs="Times New Roman"/>
          <w:i/>
          <w:iCs/>
          <w:color w:val="4472C4" w:themeColor="accent1"/>
          <w:sz w:val="20"/>
          <w:szCs w:val="20"/>
          <w:lang w:val="en-US"/>
        </w:rPr>
        <w:t xml:space="preserve"> </w:t>
      </w:r>
      <w:r w:rsidR="007E3A90" w:rsidRPr="006B373F">
        <w:rPr>
          <w:rFonts w:ascii="Times New Roman" w:hAnsi="Times New Roman" w:cs="Times New Roman"/>
          <w:i/>
          <w:iCs/>
          <w:color w:val="4472C4" w:themeColor="accent1"/>
          <w:sz w:val="20"/>
          <w:szCs w:val="20"/>
          <w:lang w:val="en-US"/>
        </w:rPr>
        <w:t xml:space="preserve">fast </w:t>
      </w:r>
      <w:r w:rsidR="000920A8">
        <w:rPr>
          <w:rFonts w:ascii="Times New Roman" w:hAnsi="Times New Roman" w:cs="Times New Roman"/>
          <w:i/>
          <w:iCs/>
          <w:color w:val="4472C4" w:themeColor="accent1"/>
          <w:sz w:val="20"/>
          <w:szCs w:val="20"/>
          <w:lang w:val="en-US"/>
        </w:rPr>
        <w:t xml:space="preserve">tech </w:t>
      </w:r>
      <w:r w:rsidR="007E3A90" w:rsidRPr="006B373F">
        <w:rPr>
          <w:rFonts w:ascii="Times New Roman" w:hAnsi="Times New Roman" w:cs="Times New Roman"/>
          <w:i/>
          <w:iCs/>
          <w:color w:val="4472C4" w:themeColor="accent1"/>
          <w:sz w:val="20"/>
          <w:szCs w:val="20"/>
          <w:lang w:val="en-US"/>
        </w:rPr>
        <w:t xml:space="preserve">development, </w:t>
      </w:r>
      <w:r w:rsidR="008023AE" w:rsidRPr="006B373F">
        <w:rPr>
          <w:rFonts w:ascii="Times New Roman" w:hAnsi="Times New Roman" w:cs="Times New Roman"/>
          <w:i/>
          <w:iCs/>
          <w:color w:val="4472C4" w:themeColor="accent1"/>
          <w:sz w:val="20"/>
          <w:szCs w:val="20"/>
          <w:lang w:val="en-US"/>
        </w:rPr>
        <w:t>a</w:t>
      </w:r>
      <w:r w:rsidR="007E3A90" w:rsidRPr="006B373F">
        <w:rPr>
          <w:rFonts w:ascii="Times New Roman" w:hAnsi="Times New Roman" w:cs="Times New Roman"/>
          <w:i/>
          <w:iCs/>
          <w:color w:val="4472C4" w:themeColor="accent1"/>
          <w:sz w:val="20"/>
          <w:szCs w:val="20"/>
          <w:lang w:val="en-US"/>
        </w:rPr>
        <w:t>ge gap,</w:t>
      </w:r>
      <w:r w:rsidR="00917FD3">
        <w:rPr>
          <w:rFonts w:ascii="Times New Roman" w:hAnsi="Times New Roman" w:cs="Times New Roman"/>
          <w:i/>
          <w:iCs/>
          <w:color w:val="4472C4" w:themeColor="accent1"/>
          <w:sz w:val="20"/>
          <w:szCs w:val="20"/>
          <w:lang w:val="en-US"/>
        </w:rPr>
        <w:t xml:space="preserve"> digital natives, </w:t>
      </w:r>
      <w:r w:rsidR="00716E63">
        <w:rPr>
          <w:rFonts w:ascii="Times New Roman" w:hAnsi="Times New Roman" w:cs="Times New Roman"/>
          <w:i/>
          <w:iCs/>
          <w:color w:val="4472C4" w:themeColor="accent1"/>
          <w:sz w:val="20"/>
          <w:szCs w:val="20"/>
          <w:lang w:val="en-US"/>
        </w:rPr>
        <w:t>digital immigrants</w:t>
      </w:r>
      <w:r w:rsidR="007E3A90" w:rsidRPr="006B373F">
        <w:rPr>
          <w:rFonts w:ascii="Times New Roman" w:hAnsi="Times New Roman" w:cs="Times New Roman"/>
          <w:i/>
          <w:iCs/>
          <w:color w:val="4472C4" w:themeColor="accent1"/>
          <w:sz w:val="20"/>
          <w:szCs w:val="20"/>
          <w:lang w:val="en-US"/>
        </w:rPr>
        <w:t xml:space="preserve">, </w:t>
      </w:r>
      <w:r>
        <w:rPr>
          <w:rFonts w:ascii="Times New Roman" w:hAnsi="Times New Roman" w:cs="Times New Roman"/>
          <w:i/>
          <w:iCs/>
          <w:color w:val="4472C4" w:themeColor="accent1"/>
          <w:sz w:val="20"/>
          <w:szCs w:val="20"/>
          <w:lang w:val="en-US"/>
        </w:rPr>
        <w:t>the game,</w:t>
      </w:r>
      <w:r w:rsidR="007E3A90"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transformation, </w:t>
      </w:r>
      <w:r w:rsidR="00381BD4" w:rsidRPr="006B373F">
        <w:rPr>
          <w:rFonts w:ascii="Times New Roman" w:hAnsi="Times New Roman" w:cs="Times New Roman"/>
          <w:i/>
          <w:iCs/>
          <w:color w:val="4472C4" w:themeColor="accent1"/>
          <w:sz w:val="20"/>
          <w:szCs w:val="20"/>
          <w:lang w:val="en-US"/>
        </w:rPr>
        <w:t>digital literacy</w:t>
      </w:r>
      <w:r w:rsidR="00F569A6"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economy, </w:t>
      </w:r>
      <w:r w:rsidR="00F569A6" w:rsidRPr="006B373F">
        <w:rPr>
          <w:rFonts w:ascii="Times New Roman" w:hAnsi="Times New Roman" w:cs="Times New Roman"/>
          <w:i/>
          <w:iCs/>
          <w:color w:val="4472C4" w:themeColor="accent1"/>
          <w:sz w:val="20"/>
          <w:szCs w:val="20"/>
          <w:lang w:val="en-US"/>
        </w:rPr>
        <w:t>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r w:rsidR="0097215B" w:rsidRPr="006B373F">
        <w:rPr>
          <w:rFonts w:ascii="Times New Roman" w:hAnsi="Times New Roman" w:cs="Times New Roman"/>
          <w:i/>
          <w:iCs/>
          <w:sz w:val="20"/>
          <w:szCs w:val="20"/>
        </w:rPr>
        <w:t>form</w:t>
      </w:r>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509E9DB9"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w:t>
      </w:r>
      <w:r w:rsidRPr="006B373F">
        <w:rPr>
          <w:rFonts w:ascii="Times New Roman" w:hAnsi="Times New Roman" w:cs="Times New Roman"/>
          <w:sz w:val="20"/>
          <w:szCs w:val="20"/>
        </w:rPr>
        <w:lastRenderedPageBreak/>
        <w:t xml:space="preserve">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w:t>
      </w:r>
      <w:r w:rsidR="00096FBE" w:rsidRPr="006B373F">
        <w:rPr>
          <w:rFonts w:ascii="Times New Roman" w:hAnsi="Times New Roman" w:cs="Times New Roman"/>
          <w:sz w:val="20"/>
          <w:szCs w:val="20"/>
        </w:rPr>
        <w:t>Tuttavia,</w:t>
      </w:r>
      <w:r w:rsidR="00096FBE">
        <w:rPr>
          <w:rFonts w:ascii="Times New Roman" w:hAnsi="Times New Roman" w:cs="Times New Roman"/>
          <w:sz w:val="20"/>
          <w:szCs w:val="20"/>
        </w:rPr>
        <w:t xml:space="preserve"> </w:t>
      </w:r>
      <w:r w:rsidRPr="006B373F">
        <w:rPr>
          <w:rFonts w:ascii="Times New Roman" w:hAnsi="Times New Roman" w:cs="Times New Roman"/>
          <w:sz w:val="20"/>
          <w:szCs w:val="20"/>
        </w:rPr>
        <w:t>tale interpretazione potrebbe risultare superficiale, nonché rischiosa: infatti</w:t>
      </w:r>
      <w:r w:rsidR="00B350D4">
        <w:rPr>
          <w:rFonts w:ascii="Times New Roman" w:hAnsi="Times New Roman" w:cs="Times New Roman"/>
          <w:sz w:val="20"/>
          <w:szCs w:val="20"/>
        </w:rPr>
        <w:t>,</w:t>
      </w:r>
      <w:r w:rsidRPr="006B373F">
        <w:rPr>
          <w:rFonts w:ascii="Times New Roman" w:hAnsi="Times New Roman" w:cs="Times New Roman"/>
          <w:sz w:val="20"/>
          <w:szCs w:val="20"/>
        </w:rPr>
        <w:t xml:space="preserve"> scegliere di non approfondire il rapporto tra la tecnologia e questa tipologia di utenti significherebbe perdere l’occasione di studiare un aspetto della nuova società digitale ed eventualmente delineare caratteristiche che possano essere rilevanti anche in futuro</w:t>
      </w:r>
      <w:r w:rsidR="003D78F6">
        <w:rPr>
          <w:rFonts w:ascii="Times New Roman" w:hAnsi="Times New Roman" w:cs="Times New Roman"/>
          <w:sz w:val="20"/>
          <w:szCs w:val="20"/>
        </w:rPr>
        <w:t>,</w:t>
      </w:r>
      <w:r w:rsidRPr="006B373F">
        <w:rPr>
          <w:rFonts w:ascii="Times New Roman" w:hAnsi="Times New Roman" w:cs="Times New Roman"/>
          <w:sz w:val="20"/>
          <w:szCs w:val="20"/>
        </w:rPr>
        <w:t xml:space="preserve"> quando le attuali generazioni “giovani” invecchieranno. </w:t>
      </w:r>
    </w:p>
    <w:p w14:paraId="43D4B718" w14:textId="287F8F69"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Bran Knowles e Vicki L. Hanson, autori dell’articolo </w:t>
      </w:r>
      <w:r w:rsidRPr="006B373F">
        <w:rPr>
          <w:rFonts w:ascii="Times New Roman" w:hAnsi="Times New Roman" w:cs="Times New Roman"/>
          <w:i/>
          <w:iCs/>
          <w:sz w:val="20"/>
          <w:szCs w:val="20"/>
        </w:rPr>
        <w:t>“The Wisdom of Older Technology (Non)Users”</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9F09A3">
        <w:rPr>
          <w:rFonts w:ascii="Times New Roman" w:hAnsi="Times New Roman" w:cs="Times New Roman"/>
          <w:sz w:val="20"/>
          <w:szCs w:val="20"/>
        </w:rPr>
        <w:t>. Essi temono, ad esempio,</w:t>
      </w:r>
      <w:r w:rsidRPr="006B373F">
        <w:rPr>
          <w:rFonts w:ascii="Times New Roman" w:hAnsi="Times New Roman" w:cs="Times New Roman"/>
          <w:sz w:val="20"/>
          <w:szCs w:val="20"/>
        </w:rPr>
        <w:t xml:space="preserve"> che gli acquisti online sottraggano sempre più occasioni di guadagno ai negozi </w:t>
      </w:r>
      <w:r w:rsidR="00C16548" w:rsidRPr="006B373F">
        <w:rPr>
          <w:rFonts w:ascii="Times New Roman" w:hAnsi="Times New Roman" w:cs="Times New Roman"/>
          <w:sz w:val="20"/>
          <w:szCs w:val="20"/>
        </w:rPr>
        <w:t>locali</w:t>
      </w:r>
      <w:r w:rsidR="009F09A3">
        <w:rPr>
          <w:rFonts w:ascii="Times New Roman" w:hAnsi="Times New Roman" w:cs="Times New Roman"/>
          <w:sz w:val="20"/>
          <w:szCs w:val="20"/>
        </w:rPr>
        <w:t xml:space="preserve"> e che, di conseguenza</w:t>
      </w:r>
      <w:r w:rsidR="00C16548" w:rsidRPr="006B373F">
        <w:rPr>
          <w:rFonts w:ascii="Times New Roman" w:hAnsi="Times New Roman" w:cs="Times New Roman"/>
          <w:sz w:val="20"/>
          <w:szCs w:val="20"/>
        </w:rPr>
        <w:t>,</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ICTs sono scoraggiati e disincentivati, pur potendone trarre potenzialmente grandi benefici come alleviare la solitudine e l'isolamento, vivere in modo indipendente e partecipare alla società.</w:t>
      </w:r>
    </w:p>
    <w:p w14:paraId="3D98FD2D" w14:textId="63F9DFC2" w:rsidR="00FE3798" w:rsidRPr="006B373F" w:rsidRDefault="009F0D9E" w:rsidP="00FE3798">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"Digital Natives, Digital Immigrants"</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r w:rsidR="00D41369">
        <w:rPr>
          <w:rFonts w:ascii="Times New Roman" w:hAnsi="Times New Roman" w:cs="Times New Roman"/>
          <w:sz w:val="20"/>
          <w:szCs w:val="20"/>
        </w:rPr>
        <w:t xml:space="preserve"> </w:t>
      </w:r>
      <w:r w:rsidR="00FE3798" w:rsidRPr="006B373F">
        <w:rPr>
          <w:rFonts w:ascii="Times New Roman" w:hAnsi="Times New Roman" w:cs="Times New Roman"/>
          <w:sz w:val="20"/>
          <w:szCs w:val="20"/>
        </w:rPr>
        <w:t xml:space="preserve">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w:t>
      </w:r>
      <w:r w:rsidR="00FE3798" w:rsidRPr="006B373F">
        <w:rPr>
          <w:rFonts w:ascii="Times New Roman" w:hAnsi="Times New Roman" w:cs="Times New Roman"/>
          <w:sz w:val="20"/>
          <w:szCs w:val="20"/>
        </w:rPr>
        <w:t>smartphone è mediamente maggiore di quello in cui si usa il PC.</w:t>
      </w:r>
    </w:p>
    <w:p w14:paraId="61F3A6D9" w14:textId="77777777" w:rsidR="00D41369" w:rsidRDefault="00D12966" w:rsidP="00FE3798">
      <w:pPr>
        <w:jc w:val="both"/>
        <w:rPr>
          <w:rFonts w:ascii="Times New Roman" w:eastAsia="Times New Roman" w:hAnsi="Times New Roman" w:cs="Times New Roman"/>
          <w:color w:val="000000"/>
          <w:sz w:val="20"/>
          <w:szCs w:val="20"/>
          <w:lang w:eastAsia="it-IT"/>
        </w:rPr>
      </w:pPr>
      <w:r>
        <w:rPr>
          <w:noProof/>
          <w:color w:val="000000"/>
          <w:sz w:val="20"/>
          <w:szCs w:val="20"/>
        </w:rPr>
        <w:drawing>
          <wp:inline distT="0" distB="0" distL="0" distR="0" wp14:anchorId="56EA3727" wp14:editId="7BC58B7C">
            <wp:extent cx="2987040" cy="140249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964" t="8750" r="24977" b="10895"/>
                    <a:stretch/>
                  </pic:blipFill>
                  <pic:spPr bwMode="auto">
                    <a:xfrm>
                      <a:off x="0" y="0"/>
                      <a:ext cx="3153508" cy="1480656"/>
                    </a:xfrm>
                    <a:prstGeom prst="rect">
                      <a:avLst/>
                    </a:prstGeom>
                    <a:noFill/>
                    <a:ln>
                      <a:noFill/>
                    </a:ln>
                    <a:extLst>
                      <a:ext uri="{53640926-AAD7-44D8-BBD7-CCE9431645EC}">
                        <a14:shadowObscured xmlns:a14="http://schemas.microsoft.com/office/drawing/2010/main"/>
                      </a:ext>
                    </a:extLst>
                  </pic:spPr>
                </pic:pic>
              </a:graphicData>
            </a:graphic>
          </wp:inline>
        </w:drawing>
      </w:r>
    </w:p>
    <w:p w14:paraId="31358C21" w14:textId="0D2BBCB8" w:rsidR="00FE3798" w:rsidRPr="006B373F" w:rsidRDefault="00FE3798" w:rsidP="00FE3798">
      <w:pPr>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fldChar w:fldCharType="begin"/>
      </w:r>
      <w:r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00097EFA">
        <w:rPr>
          <w:rFonts w:ascii="Times New Roman" w:eastAsia="Times New Roman" w:hAnsi="Times New Roman" w:cs="Times New Roman"/>
          <w:color w:val="000000"/>
          <w:sz w:val="20"/>
          <w:szCs w:val="20"/>
          <w:lang w:eastAsia="it-IT"/>
        </w:rPr>
        <w:fldChar w:fldCharType="separate"/>
      </w:r>
      <w:r w:rsidRPr="006B373F">
        <w:rPr>
          <w:rFonts w:ascii="Times New Roman" w:eastAsia="Times New Roman" w:hAnsi="Times New Roman" w:cs="Times New Roman"/>
          <w:color w:val="000000"/>
          <w:sz w:val="20"/>
          <w:szCs w:val="20"/>
          <w:lang w:eastAsia="it-IT"/>
        </w:rPr>
        <w:fldChar w:fldCharType="end"/>
      </w:r>
    </w:p>
    <w:p w14:paraId="6E4DA43A" w14:textId="1B8D7BF7" w:rsidR="00FE3798" w:rsidRDefault="00F54857"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545264E4" wp14:editId="0E28C17A">
            <wp:extent cx="2987141" cy="14236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18" t="8471" r="24917" b="9984"/>
                    <a:stretch/>
                  </pic:blipFill>
                  <pic:spPr bwMode="auto">
                    <a:xfrm>
                      <a:off x="0" y="0"/>
                      <a:ext cx="3052691" cy="1454911"/>
                    </a:xfrm>
                    <a:prstGeom prst="rect">
                      <a:avLst/>
                    </a:prstGeom>
                    <a:noFill/>
                    <a:ln>
                      <a:noFill/>
                    </a:ln>
                    <a:extLst>
                      <a:ext uri="{53640926-AAD7-44D8-BBD7-CCE9431645EC}">
                        <a14:shadowObscured xmlns:a14="http://schemas.microsoft.com/office/drawing/2010/main"/>
                      </a:ext>
                    </a:extLst>
                  </pic:spPr>
                </pic:pic>
              </a:graphicData>
            </a:graphic>
          </wp:inline>
        </w:drawing>
      </w:r>
    </w:p>
    <w:p w14:paraId="5DA44F4C" w14:textId="77777777" w:rsidR="00D41369" w:rsidRPr="006B373F" w:rsidRDefault="00D41369" w:rsidP="00FE3798">
      <w:pPr>
        <w:jc w:val="both"/>
        <w:rPr>
          <w:rFonts w:ascii="Times New Roman" w:eastAsia="Times New Roman" w:hAnsi="Times New Roman" w:cs="Times New Roman"/>
          <w:sz w:val="20"/>
          <w:szCs w:val="20"/>
          <w:lang w:eastAsia="it-IT"/>
        </w:rPr>
      </w:pPr>
    </w:p>
    <w:p w14:paraId="33A247E5" w14:textId="18AE1138" w:rsidR="00FE3798"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22D4E01" wp14:editId="5E51F1C2">
            <wp:extent cx="2987040" cy="1192994"/>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173" r="2620" b="11029"/>
                    <a:stretch/>
                  </pic:blipFill>
                  <pic:spPr bwMode="auto">
                    <a:xfrm>
                      <a:off x="0" y="0"/>
                      <a:ext cx="3138876" cy="1253636"/>
                    </a:xfrm>
                    <a:prstGeom prst="rect">
                      <a:avLst/>
                    </a:prstGeom>
                    <a:noFill/>
                    <a:ln>
                      <a:noFill/>
                    </a:ln>
                    <a:extLst>
                      <a:ext uri="{53640926-AAD7-44D8-BBD7-CCE9431645EC}">
                        <a14:shadowObscured xmlns:a14="http://schemas.microsoft.com/office/drawing/2010/main"/>
                      </a:ext>
                    </a:extLst>
                  </pic:spPr>
                </pic:pic>
              </a:graphicData>
            </a:graphic>
          </wp:inline>
        </w:drawing>
      </w:r>
    </w:p>
    <w:p w14:paraId="537444BF" w14:textId="77777777" w:rsidR="00D41369" w:rsidRPr="006B373F" w:rsidRDefault="00D41369" w:rsidP="00FE3798">
      <w:pPr>
        <w:jc w:val="both"/>
        <w:rPr>
          <w:rFonts w:ascii="Times New Roman" w:eastAsia="Times New Roman" w:hAnsi="Times New Roman" w:cs="Times New Roman"/>
          <w:sz w:val="20"/>
          <w:szCs w:val="20"/>
          <w:lang w:eastAsia="it-IT"/>
        </w:rPr>
      </w:pPr>
    </w:p>
    <w:p w14:paraId="3C4E9C93" w14:textId="4B3450FA" w:rsidR="00D41369"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6F6D635" wp14:editId="5F8890E4">
            <wp:extent cx="2987040" cy="1256525"/>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528" r="8551" b="11566"/>
                    <a:stretch/>
                  </pic:blipFill>
                  <pic:spPr bwMode="auto">
                    <a:xfrm>
                      <a:off x="0" y="0"/>
                      <a:ext cx="3062549" cy="1288289"/>
                    </a:xfrm>
                    <a:prstGeom prst="rect">
                      <a:avLst/>
                    </a:prstGeom>
                    <a:noFill/>
                    <a:ln>
                      <a:noFill/>
                    </a:ln>
                    <a:extLst>
                      <a:ext uri="{53640926-AAD7-44D8-BBD7-CCE9431645EC}">
                        <a14:shadowObscured xmlns:a14="http://schemas.microsoft.com/office/drawing/2010/main"/>
                      </a:ext>
                    </a:extLst>
                  </pic:spPr>
                </pic:pic>
              </a:graphicData>
            </a:graphic>
          </wp:inline>
        </w:drawing>
      </w:r>
    </w:p>
    <w:p w14:paraId="4E41D8C0" w14:textId="0013737C"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 xml:space="preserve">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w:t>
      </w:r>
      <w:r w:rsidR="003F2059">
        <w:rPr>
          <w:rFonts w:ascii="Times New Roman" w:eastAsia="Times New Roman" w:hAnsi="Times New Roman" w:cs="Times New Roman"/>
          <w:sz w:val="20"/>
          <w:szCs w:val="20"/>
          <w:lang w:eastAsia="it-IT"/>
        </w:rPr>
        <w:t>per</w:t>
      </w:r>
      <w:r w:rsidRPr="006B373F">
        <w:rPr>
          <w:rFonts w:ascii="Times New Roman" w:eastAsia="Times New Roman" w:hAnsi="Times New Roman" w:cs="Times New Roman"/>
          <w:sz w:val="20"/>
          <w:szCs w:val="20"/>
          <w:lang w:eastAsia="it-IT"/>
        </w:rPr>
        <w:t xml:space="preserve"> videogiochi, mentre l’apprendimento di tali dispositivi 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in ambito familiare e, in secondo luogo, tramite approccio diretto ed intuitivo.</w:t>
      </w:r>
    </w:p>
    <w:p w14:paraId="4F2510FF" w14:textId="6BCADD6D" w:rsidR="00FE3798" w:rsidRPr="006B373F" w:rsidRDefault="003B5CFD" w:rsidP="00FE3798">
      <w:pPr>
        <w:jc w:val="both"/>
        <w:rPr>
          <w:rFonts w:ascii="Times New Roman" w:eastAsia="Times New Roman" w:hAnsi="Times New Roman" w:cs="Times New Roman"/>
          <w:sz w:val="20"/>
          <w:szCs w:val="20"/>
          <w:lang w:eastAsia="it-IT"/>
        </w:rPr>
      </w:pPr>
      <w:r>
        <w:rPr>
          <w:noProof/>
          <w:sz w:val="20"/>
          <w:szCs w:val="20"/>
        </w:rPr>
        <w:lastRenderedPageBreak/>
        <w:drawing>
          <wp:inline distT="0" distB="0" distL="0" distR="0" wp14:anchorId="3D6B7244" wp14:editId="7F78C396">
            <wp:extent cx="2988000" cy="1300979"/>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75" t="8128" r="18287" b="10571"/>
                    <a:stretch/>
                  </pic:blipFill>
                  <pic:spPr bwMode="auto">
                    <a:xfrm>
                      <a:off x="0" y="0"/>
                      <a:ext cx="2988000" cy="1300979"/>
                    </a:xfrm>
                    <a:prstGeom prst="rect">
                      <a:avLst/>
                    </a:prstGeom>
                    <a:noFill/>
                    <a:ln>
                      <a:noFill/>
                    </a:ln>
                    <a:extLst>
                      <a:ext uri="{53640926-AAD7-44D8-BBD7-CCE9431645EC}">
                        <a14:shadowObscured xmlns:a14="http://schemas.microsoft.com/office/drawing/2010/main"/>
                      </a:ext>
                    </a:extLst>
                  </pic:spPr>
                </pic:pic>
              </a:graphicData>
            </a:graphic>
          </wp:inline>
        </w:drawing>
      </w:r>
    </w:p>
    <w:p w14:paraId="3A68C46F" w14:textId="22209D0E" w:rsidR="00FE3798" w:rsidRPr="002E2376" w:rsidRDefault="003B5CFD" w:rsidP="00071FC2">
      <w:pPr>
        <w:jc w:val="both"/>
        <w:rPr>
          <w:rFonts w:ascii="Times New Roman" w:eastAsia="Times New Roman" w:hAnsi="Times New Roman" w:cs="Times New Roman"/>
          <w:sz w:val="20"/>
          <w:szCs w:val="20"/>
          <w:lang w:eastAsia="it-IT"/>
        </w:rPr>
      </w:pPr>
      <w:r>
        <w:rPr>
          <w:noProof/>
          <w:sz w:val="20"/>
          <w:szCs w:val="20"/>
        </w:rPr>
        <w:drawing>
          <wp:inline distT="0" distB="0" distL="0" distR="0" wp14:anchorId="327D0195" wp14:editId="17B56D7E">
            <wp:extent cx="2987040" cy="113641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61" t="8091" r="6696" b="10371"/>
                    <a:stretch/>
                  </pic:blipFill>
                  <pic:spPr bwMode="auto">
                    <a:xfrm>
                      <a:off x="0" y="0"/>
                      <a:ext cx="3019405" cy="1148728"/>
                    </a:xfrm>
                    <a:prstGeom prst="rect">
                      <a:avLst/>
                    </a:prstGeom>
                    <a:noFill/>
                    <a:ln>
                      <a:noFill/>
                    </a:ln>
                    <a:extLst>
                      <a:ext uri="{53640926-AAD7-44D8-BBD7-CCE9431645EC}">
                        <a14:shadowObscured xmlns:a14="http://schemas.microsoft.com/office/drawing/2010/main"/>
                      </a:ext>
                    </a:extLst>
                  </pic:spPr>
                </pic:pic>
              </a:graphicData>
            </a:graphic>
          </wp:inline>
        </w:drawing>
      </w:r>
    </w:p>
    <w:p w14:paraId="54BA59D3" w14:textId="585B7494"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Comunemente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bookmarkStart w:id="0" w:name="_Hlk91492841"/>
      <w:r w:rsidRPr="006B373F">
        <w:rPr>
          <w:rFonts w:ascii="Times New Roman" w:hAnsi="Times New Roman" w:cs="Times New Roman"/>
          <w:i/>
          <w:iCs/>
          <w:sz w:val="20"/>
          <w:szCs w:val="20"/>
        </w:rPr>
        <w:t>“</w:t>
      </w:r>
      <w:bookmarkEnd w:id="0"/>
      <w:r w:rsidRPr="006B373F">
        <w:rPr>
          <w:rFonts w:ascii="Times New Roman" w:hAnsi="Times New Roman" w:cs="Times New Roman"/>
          <w:i/>
          <w:iCs/>
          <w:sz w:val="20"/>
          <w:szCs w:val="20"/>
        </w:rPr>
        <w:t>The fallacy of the ‘digital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Prensky</w:t>
      </w:r>
      <w:r w:rsidRPr="006B373F">
        <w:rPr>
          <w:rFonts w:ascii="Times New Roman" w:hAnsi="Times New Roman" w:cs="Times New Roman"/>
          <w:sz w:val="20"/>
          <w:szCs w:val="20"/>
        </w:rPr>
        <w:t>, nel suo articolo, introduce anche la figura dell’</w:t>
      </w:r>
      <w:r w:rsidR="0038550D" w:rsidRPr="0038550D">
        <w:rPr>
          <w:rFonts w:ascii="Times New Roman" w:hAnsi="Times New Roman" w:cs="Times New Roman"/>
          <w:sz w:val="20"/>
          <w:szCs w:val="20"/>
        </w:rPr>
        <w:t>“</w:t>
      </w:r>
      <w:r w:rsidRPr="006B373F">
        <w:rPr>
          <w:rFonts w:ascii="Times New Roman" w:hAnsi="Times New Roman" w:cs="Times New Roman"/>
          <w:sz w:val="20"/>
          <w:szCs w:val="20"/>
        </w:rPr>
        <w:t>Immigrato Digitale</w:t>
      </w:r>
      <w:r w:rsidR="001A6F66">
        <w:rPr>
          <w:rFonts w:ascii="Times New Roman" w:hAnsi="Times New Roman" w:cs="Times New Roman"/>
          <w:sz w:val="20"/>
          <w:szCs w:val="20"/>
        </w:rPr>
        <w:t>”</w:t>
      </w:r>
      <w:r w:rsidRPr="006B373F">
        <w:rPr>
          <w:rFonts w:ascii="Times New Roman" w:hAnsi="Times New Roman" w:cs="Times New Roman"/>
          <w:sz w:val="20"/>
          <w:szCs w:val="20"/>
        </w:rPr>
        <w:t xml:space="preserv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digital immigrant</w:t>
      </w:r>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Ma in un mondo in cui la rivoluzione digitale ha pervaso la quotidianità delle nostre vite, questa mancanza appare di fronte ai nostri occhi come una falla imprevista, destabilizzante. Stiamo forse vivendo inerti un modello collettivo di vita di cui non abbiamo pieno controllo?</w:t>
      </w:r>
    </w:p>
    <w:p w14:paraId="5D060CA2" w14:textId="612D0F1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Per comprendere più a fondo queste trasformazioni sociali occorre ritornare alle origini e ripercorrere gli eventi storici che hanno segnato maggiormente l’avvento del digitale. A tal proposito</w:t>
      </w:r>
      <w:r w:rsidR="00D30B2D">
        <w:rPr>
          <w:rFonts w:ascii="Times New Roman" w:hAnsi="Times New Roman" w:cs="Times New Roman"/>
          <w:sz w:val="20"/>
          <w:szCs w:val="20"/>
        </w:rPr>
        <w:t>,</w:t>
      </w:r>
      <w:r w:rsidRPr="006B373F">
        <w:rPr>
          <w:rFonts w:ascii="Times New Roman" w:hAnsi="Times New Roman" w:cs="Times New Roman"/>
          <w:sz w:val="20"/>
          <w:szCs w:val="20"/>
        </w:rPr>
        <w:t xml:space="preserve">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B7A7EE2"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Nishikado Tomohiro il videogioco </w:t>
      </w:r>
      <w:r w:rsidRPr="006B373F">
        <w:rPr>
          <w:rFonts w:ascii="Times New Roman" w:hAnsi="Times New Roman" w:cs="Times New Roman"/>
          <w:i/>
          <w:iCs/>
          <w:sz w:val="20"/>
          <w:szCs w:val="20"/>
        </w:rPr>
        <w:t xml:space="preserve">Space Invaders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Berners-Lee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to give universal access to a large universe of documents</w:t>
      </w:r>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r w:rsidRPr="006B373F">
        <w:rPr>
          <w:rFonts w:ascii="Times New Roman" w:hAnsi="Times New Roman" w:cs="Times New Roman"/>
          <w:sz w:val="20"/>
          <w:szCs w:val="20"/>
        </w:rPr>
        <w:t xml:space="preserve">. L’obiettivo era chiarissimo: cancellare i confini alla ricerca di una fluidità che concedesse a </w:t>
      </w:r>
      <w:r w:rsidR="00610F4C">
        <w:rPr>
          <w:rFonts w:ascii="Times New Roman" w:hAnsi="Times New Roman" w:cs="Times New Roman"/>
          <w:sz w:val="20"/>
          <w:szCs w:val="20"/>
        </w:rPr>
        <w:t>ogni singolo individuo</w:t>
      </w:r>
      <w:r w:rsidRPr="006B373F">
        <w:rPr>
          <w:rFonts w:ascii="Times New Roman" w:hAnsi="Times New Roman" w:cs="Times New Roman"/>
          <w:sz w:val="20"/>
          <w:szCs w:val="20"/>
        </w:rPr>
        <w:t xml:space="preserve">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che</w:t>
      </w:r>
      <w:r w:rsidR="00610F4C">
        <w:rPr>
          <w:rFonts w:ascii="Times New Roman" w:hAnsi="Times New Roman" w:cs="Times New Roman"/>
          <w:sz w:val="20"/>
          <w:szCs w:val="20"/>
        </w:rPr>
        <w:t xml:space="preserve"> </w:t>
      </w:r>
      <w:r w:rsidR="00610F4C" w:rsidRPr="006B373F">
        <w:rPr>
          <w:rFonts w:ascii="Times New Roman" w:hAnsi="Times New Roman" w:cs="Times New Roman"/>
          <w:sz w:val="20"/>
          <w:szCs w:val="20"/>
        </w:rPr>
        <w:t>fosse</w:t>
      </w:r>
      <w:r w:rsidR="00610F4C">
        <w:rPr>
          <w:rFonts w:ascii="Times New Roman" w:hAnsi="Times New Roman" w:cs="Times New Roman"/>
          <w:sz w:val="20"/>
          <w:szCs w:val="20"/>
        </w:rPr>
        <w:t xml:space="preserve"> stato appena coniato</w:t>
      </w:r>
      <w:r w:rsidR="00716F37"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il termine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w:t>
      </w:r>
      <w:r w:rsidR="00C8516D">
        <w:rPr>
          <w:rFonts w:ascii="Times New Roman" w:hAnsi="Times New Roman" w:cs="Times New Roman"/>
          <w:sz w:val="20"/>
          <w:szCs w:val="20"/>
        </w:rPr>
        <w:t>,</w:t>
      </w:r>
      <w:r w:rsidRPr="006B373F">
        <w:rPr>
          <w:rFonts w:ascii="Times New Roman" w:hAnsi="Times New Roman" w:cs="Times New Roman"/>
          <w:sz w:val="20"/>
          <w:szCs w:val="20"/>
        </w:rPr>
        <w:t xml:space="preserv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w:t>
      </w:r>
      <w:r w:rsidR="00A622DA">
        <w:rPr>
          <w:rFonts w:ascii="Times New Roman" w:hAnsi="Times New Roman" w:cs="Times New Roman"/>
          <w:sz w:val="20"/>
          <w:szCs w:val="20"/>
        </w:rPr>
        <w:t>per</w:t>
      </w:r>
      <w:r w:rsidRPr="006B373F">
        <w:rPr>
          <w:rFonts w:ascii="Times New Roman" w:hAnsi="Times New Roman" w:cs="Times New Roman"/>
          <w:sz w:val="20"/>
          <w:szCs w:val="20"/>
        </w:rPr>
        <w:t xml:space="preserve"> </w:t>
      </w:r>
      <w:r w:rsidR="00CB6B9F">
        <w:rPr>
          <w:rFonts w:ascii="Times New Roman" w:hAnsi="Times New Roman" w:cs="Times New Roman"/>
          <w:sz w:val="20"/>
          <w:szCs w:val="20"/>
        </w:rPr>
        <w:t>preservare</w:t>
      </w:r>
      <w:r w:rsidRPr="006B373F">
        <w:rPr>
          <w:rFonts w:ascii="Times New Roman" w:hAnsi="Times New Roman" w:cs="Times New Roman"/>
          <w:sz w:val="20"/>
          <w:szCs w:val="20"/>
        </w:rPr>
        <w:t xml:space="preserve"> la libertà, 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smantellare ogni mediazione, i nuovi strumenti digitali </w:t>
      </w:r>
      <w:r w:rsidRPr="006B373F">
        <w:rPr>
          <w:rFonts w:ascii="Times New Roman" w:hAnsi="Times New Roman" w:cs="Times New Roman"/>
          <w:sz w:val="20"/>
          <w:szCs w:val="20"/>
        </w:rPr>
        <w:lastRenderedPageBreak/>
        <w:t>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r w:rsidRPr="006B373F">
        <w:rPr>
          <w:rFonts w:ascii="Times New Roman" w:hAnsi="Times New Roman" w:cs="Times New Roman"/>
          <w:i/>
          <w:iCs/>
          <w:sz w:val="20"/>
          <w:szCs w:val="20"/>
        </w:rPr>
        <w:t>oltremondo</w:t>
      </w:r>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CB6FFF5"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05613E3C" wp14:editId="4AA19680">
            <wp:extent cx="2988000" cy="112028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931" t="8129" r="5204" b="9983"/>
                    <a:stretch/>
                  </pic:blipFill>
                  <pic:spPr bwMode="auto">
                    <a:xfrm>
                      <a:off x="0" y="0"/>
                      <a:ext cx="2988000" cy="1120280"/>
                    </a:xfrm>
                    <a:prstGeom prst="rect">
                      <a:avLst/>
                    </a:prstGeom>
                    <a:noFill/>
                    <a:ln>
                      <a:noFill/>
                    </a:ln>
                    <a:extLst>
                      <a:ext uri="{53640926-AAD7-44D8-BBD7-CCE9431645EC}">
                        <a14:shadowObscured xmlns:a14="http://schemas.microsoft.com/office/drawing/2010/main"/>
                      </a:ext>
                    </a:extLst>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28190021"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5E78D5DE" wp14:editId="32DB2855">
            <wp:extent cx="2988000" cy="1149990"/>
            <wp:effectExtent l="0" t="0" r="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57" t="7017" r="132" b="14621"/>
                    <a:stretch/>
                  </pic:blipFill>
                  <pic:spPr bwMode="auto">
                    <a:xfrm>
                      <a:off x="0" y="0"/>
                      <a:ext cx="2988000" cy="1149990"/>
                    </a:xfrm>
                    <a:prstGeom prst="rect">
                      <a:avLst/>
                    </a:prstGeom>
                    <a:noFill/>
                    <a:ln>
                      <a:noFill/>
                    </a:ln>
                    <a:extLst>
                      <a:ext uri="{53640926-AAD7-44D8-BBD7-CCE9431645EC}">
                        <a14:shadowObscured xmlns:a14="http://schemas.microsoft.com/office/drawing/2010/main"/>
                      </a:ext>
                    </a:extLst>
                  </pic:spPr>
                </pic:pic>
              </a:graphicData>
            </a:graphic>
          </wp:inline>
        </w:drawing>
      </w:r>
      <w:r w:rsidR="007565D9"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007565D9" w:rsidRPr="006B373F">
        <w:rPr>
          <w:rFonts w:ascii="Times New Roman" w:hAnsi="Times New Roman" w:cs="Times New Roman"/>
          <w:i/>
          <w:iCs/>
          <w:sz w:val="20"/>
          <w:szCs w:val="20"/>
        </w:rPr>
        <w:t xml:space="preserve">mai </w:t>
      </w:r>
      <w:r w:rsidR="007565D9" w:rsidRPr="006B373F">
        <w:rPr>
          <w:rFonts w:ascii="Times New Roman" w:hAnsi="Times New Roman" w:cs="Times New Roman"/>
          <w:sz w:val="20"/>
          <w:szCs w:val="20"/>
        </w:rPr>
        <w:t xml:space="preserve">a </w:t>
      </w:r>
      <w:r w:rsidR="007565D9" w:rsidRPr="006B373F">
        <w:rPr>
          <w:rFonts w:ascii="Times New Roman" w:hAnsi="Times New Roman" w:cs="Times New Roman"/>
          <w:i/>
          <w:iCs/>
          <w:sz w:val="20"/>
          <w:szCs w:val="20"/>
        </w:rPr>
        <w:t>sempre</w:t>
      </w:r>
      <w:r w:rsidR="007565D9"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1A4E98DB"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n questo evento si può identificare una vera e propria inversione dell’antico paradigma. Non è più necessario un cammino di fatica e sacrificio, mediato da libri</w:t>
      </w:r>
      <w:r w:rsidR="00812435">
        <w:rPr>
          <w:rFonts w:ascii="Times New Roman" w:hAnsi="Times New Roman" w:cs="Times New Roman"/>
          <w:sz w:val="20"/>
          <w:szCs w:val="20"/>
        </w:rPr>
        <w:t xml:space="preserve"> e</w:t>
      </w:r>
      <w:r w:rsidRPr="006B373F">
        <w:rPr>
          <w:rFonts w:ascii="Times New Roman" w:hAnsi="Times New Roman" w:cs="Times New Roman"/>
          <w:sz w:val="20"/>
          <w:szCs w:val="20"/>
        </w:rPr>
        <w:t xml:space="preserve"> maestri, per raggiungere l’articolazione complessa del reale; l’esperienza non è più un lusso infrequente ed esclusivo. L’essenza dell’esperienza non è stata distrutta né </w:t>
      </w:r>
      <w:r w:rsidRPr="006B373F">
        <w:rPr>
          <w:rFonts w:ascii="Times New Roman" w:hAnsi="Times New Roman" w:cs="Times New Roman"/>
          <w:sz w:val="20"/>
          <w:szCs w:val="20"/>
        </w:rPr>
        <w:t>banalizzata, bensì liberata sulla superficie del mondo, accessibile a tutti. Questa ricerca spasmodica dell</w:t>
      </w:r>
      <w:r w:rsidR="00F157FA">
        <w:rPr>
          <w:rFonts w:ascii="Times New Roman" w:hAnsi="Times New Roman" w:cs="Times New Roman"/>
          <w:sz w:val="20"/>
          <w:szCs w:val="20"/>
        </w:rPr>
        <w:t xml:space="preserve">a </w:t>
      </w:r>
      <w:r w:rsidRPr="006B373F">
        <w:rPr>
          <w:rFonts w:ascii="Times New Roman" w:hAnsi="Times New Roman" w:cs="Times New Roman"/>
          <w:sz w:val="20"/>
          <w:szCs w:val="20"/>
        </w:rPr>
        <w:t>accessibilità</w:t>
      </w:r>
      <w:r w:rsidR="00720552">
        <w:rPr>
          <w:rFonts w:ascii="Times New Roman" w:hAnsi="Times New Roman" w:cs="Times New Roman"/>
          <w:sz w:val="20"/>
          <w:szCs w:val="20"/>
        </w:rPr>
        <w:t xml:space="preserve"> e</w:t>
      </w:r>
      <w:r w:rsidRPr="006B373F">
        <w:rPr>
          <w:rFonts w:ascii="Times New Roman" w:hAnsi="Times New Roman" w:cs="Times New Roman"/>
          <w:sz w:val="20"/>
          <w:szCs w:val="20"/>
        </w:rPr>
        <w:t xml:space="preserve">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oltremondo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ell’inversione del 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75112BDD"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elaborano</w:t>
      </w:r>
      <w:r w:rsidR="006270EE">
        <w:rPr>
          <w:rFonts w:ascii="Times New Roman" w:hAnsi="Times New Roman" w:cs="Times New Roman"/>
          <w:sz w:val="20"/>
          <w:szCs w:val="20"/>
        </w:rPr>
        <w:t xml:space="preserve"> le informazioni</w:t>
      </w:r>
      <w:r w:rsidR="00C65BF6">
        <w:rPr>
          <w:rFonts w:ascii="Times New Roman" w:hAnsi="Times New Roman" w:cs="Times New Roman"/>
          <w:sz w:val="20"/>
          <w:szCs w:val="20"/>
        </w:rPr>
        <w:t xml:space="preserve">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r w:rsidR="003032F8" w:rsidRPr="006B373F">
        <w:rPr>
          <w:rFonts w:ascii="Times New Roman" w:hAnsi="Times New Roman" w:cs="Times New Roman"/>
          <w:i/>
          <w:iCs/>
          <w:sz w:val="20"/>
          <w:szCs w:val="20"/>
        </w:rPr>
        <w:t>digital transformation</w:t>
      </w:r>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r w:rsidR="000D418F" w:rsidRPr="006B373F">
        <w:rPr>
          <w:rFonts w:ascii="Times New Roman" w:hAnsi="Times New Roman" w:cs="Times New Roman"/>
          <w:i/>
          <w:iCs/>
          <w:sz w:val="20"/>
          <w:szCs w:val="20"/>
        </w:rPr>
        <w:t xml:space="preserve">workplace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7F083A3D"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 xml:space="preserve">one internazionale per la </w:t>
      </w:r>
      <w:r w:rsidR="002276D6">
        <w:rPr>
          <w:rFonts w:ascii="Times New Roman" w:hAnsi="Times New Roman" w:cs="Times New Roman"/>
          <w:sz w:val="20"/>
          <w:szCs w:val="20"/>
        </w:rPr>
        <w:t>C</w:t>
      </w:r>
      <w:r w:rsidR="00D448D4" w:rsidRPr="006B373F">
        <w:rPr>
          <w:rFonts w:ascii="Times New Roman" w:hAnsi="Times New Roman" w:cs="Times New Roman"/>
          <w:sz w:val="20"/>
          <w:szCs w:val="20"/>
        </w:rPr>
        <w:t xml:space="preserve">ooperazione e lo </w:t>
      </w:r>
      <w:r w:rsidR="002276D6">
        <w:rPr>
          <w:rFonts w:ascii="Times New Roman" w:hAnsi="Times New Roman" w:cs="Times New Roman"/>
          <w:sz w:val="20"/>
          <w:szCs w:val="20"/>
        </w:rPr>
        <w:t>S</w:t>
      </w:r>
      <w:r w:rsidR="00D448D4" w:rsidRPr="006B373F">
        <w:rPr>
          <w:rFonts w:ascii="Times New Roman" w:hAnsi="Times New Roman" w:cs="Times New Roman"/>
          <w:sz w:val="20"/>
          <w:szCs w:val="20"/>
        </w:rPr>
        <w:t xml:space="preserve">viluppo </w:t>
      </w:r>
      <w:r w:rsidR="002276D6">
        <w:rPr>
          <w:rFonts w:ascii="Times New Roman" w:hAnsi="Times New Roman" w:cs="Times New Roman"/>
          <w:sz w:val="20"/>
          <w:szCs w:val="20"/>
        </w:rPr>
        <w:t>E</w:t>
      </w:r>
      <w:r w:rsidR="00D448D4" w:rsidRPr="006B373F">
        <w:rPr>
          <w:rFonts w:ascii="Times New Roman" w:hAnsi="Times New Roman" w:cs="Times New Roman"/>
          <w:sz w:val="20"/>
          <w:szCs w:val="20"/>
        </w:rPr>
        <w:t>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ICTs:</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 specialistiche per le ICT</w:t>
      </w:r>
      <w:r w:rsidR="004A0AE7">
        <w:rPr>
          <w:rFonts w:ascii="Times New Roman" w:hAnsi="Times New Roman" w:cs="Times New Roman"/>
          <w:sz w:val="20"/>
          <w:szCs w:val="20"/>
        </w:rPr>
        <w:t>s</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per le ICT</w:t>
      </w:r>
      <w:r w:rsidR="001222D2" w:rsidRPr="006B373F">
        <w:rPr>
          <w:rFonts w:ascii="Times New Roman" w:hAnsi="Times New Roman" w:cs="Times New Roman"/>
          <w:sz w:val="20"/>
          <w:szCs w:val="20"/>
        </w:rPr>
        <w:t>s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ICTs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r w:rsidR="005D0D31" w:rsidRPr="006B373F">
        <w:rPr>
          <w:rFonts w:ascii="Times New Roman" w:hAnsi="Times New Roman" w:cs="Times New Roman"/>
          <w:i/>
          <w:iCs/>
          <w:sz w:val="20"/>
          <w:szCs w:val="20"/>
        </w:rPr>
        <w:t>problem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una serie di abilità</w:t>
      </w:r>
      <w:r w:rsidR="00061ED8">
        <w:rPr>
          <w:rFonts w:ascii="Times New Roman" w:hAnsi="Times New Roman" w:cs="Times New Roman"/>
          <w:sz w:val="20"/>
          <w:szCs w:val="20"/>
        </w:rPr>
        <w:t xml:space="preserve"> cognitive</w:t>
      </w:r>
      <w:r w:rsidR="00A47402" w:rsidRPr="006B373F">
        <w:rPr>
          <w:rFonts w:ascii="Times New Roman" w:hAnsi="Times New Roman" w:cs="Times New Roman"/>
          <w:sz w:val="20"/>
          <w:szCs w:val="20"/>
        </w:rPr>
        <w:t xml:space="preserve"> di base o </w:t>
      </w:r>
      <w:r w:rsidR="0040469E">
        <w:rPr>
          <w:rFonts w:ascii="Times New Roman" w:hAnsi="Times New Roman" w:cs="Times New Roman"/>
          <w:i/>
          <w:iCs/>
          <w:sz w:val="20"/>
          <w:szCs w:val="20"/>
        </w:rPr>
        <w:t>f</w:t>
      </w:r>
      <w:r w:rsidR="00A47402" w:rsidRPr="006B373F">
        <w:rPr>
          <w:rFonts w:ascii="Times New Roman" w:hAnsi="Times New Roman" w:cs="Times New Roman"/>
          <w:i/>
          <w:iCs/>
          <w:sz w:val="20"/>
          <w:szCs w:val="20"/>
        </w:rPr>
        <w:t xml:space="preserve">oundation </w:t>
      </w:r>
      <w:r w:rsidR="0040469E">
        <w:rPr>
          <w:rFonts w:ascii="Times New Roman" w:hAnsi="Times New Roman" w:cs="Times New Roman"/>
          <w:i/>
          <w:iCs/>
          <w:sz w:val="20"/>
          <w:szCs w:val="20"/>
        </w:rPr>
        <w:t>s</w:t>
      </w:r>
      <w:r w:rsidR="00A47402" w:rsidRPr="006B373F">
        <w:rPr>
          <w:rFonts w:ascii="Times New Roman" w:hAnsi="Times New Roman" w:cs="Times New Roman"/>
          <w:i/>
          <w:iCs/>
          <w:sz w:val="20"/>
          <w:szCs w:val="20"/>
        </w:rPr>
        <w:t>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w:t>
      </w:r>
      <w:r w:rsidR="009B28E8">
        <w:rPr>
          <w:rFonts w:ascii="Times New Roman" w:hAnsi="Times New Roman" w:cs="Times New Roman"/>
          <w:sz w:val="20"/>
          <w:szCs w:val="20"/>
        </w:rPr>
        <w:t>competenze</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9B28E8">
        <w:rPr>
          <w:rFonts w:ascii="Times New Roman" w:hAnsi="Times New Roman" w:cs="Times New Roman"/>
          <w:sz w:val="20"/>
          <w:szCs w:val="20"/>
        </w:rPr>
        <w:t>emotive</w:t>
      </w:r>
      <w:r w:rsidR="00720691" w:rsidRPr="006B373F">
        <w:rPr>
          <w:rFonts w:ascii="Times New Roman" w:hAnsi="Times New Roman" w:cs="Times New Roman"/>
          <w:i/>
          <w:iCs/>
          <w:sz w:val="20"/>
          <w:szCs w:val="20"/>
        </w:rPr>
        <w:t xml:space="preserve">. </w:t>
      </w:r>
    </w:p>
    <w:p w14:paraId="54558F84" w14:textId="15CD4D36"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0040469E" w:rsidRPr="0040469E">
        <w:rPr>
          <w:rFonts w:ascii="Times New Roman" w:hAnsi="Times New Roman" w:cs="Times New Roman"/>
          <w:sz w:val="20"/>
          <w:szCs w:val="20"/>
        </w:rPr>
        <w:t>f</w:t>
      </w:r>
      <w:r w:rsidRPr="0040469E">
        <w:rPr>
          <w:rFonts w:ascii="Times New Roman" w:hAnsi="Times New Roman" w:cs="Times New Roman"/>
          <w:sz w:val="20"/>
          <w:szCs w:val="20"/>
        </w:rPr>
        <w:t xml:space="preserve">oundation </w:t>
      </w:r>
      <w:r w:rsidR="0040469E" w:rsidRPr="0040469E">
        <w:rPr>
          <w:rFonts w:ascii="Times New Roman" w:hAnsi="Times New Roman" w:cs="Times New Roman"/>
          <w:sz w:val="20"/>
          <w:szCs w:val="20"/>
        </w:rPr>
        <w:t>s</w:t>
      </w:r>
      <w:r w:rsidRPr="0040469E">
        <w:rPr>
          <w:rFonts w:ascii="Times New Roman" w:hAnsi="Times New Roman" w:cs="Times New Roman"/>
          <w:sz w:val="20"/>
          <w:szCs w:val="20"/>
        </w:rPr>
        <w:t>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r w:rsidR="00C20D90" w:rsidRPr="00593F4D">
        <w:rPr>
          <w:rFonts w:ascii="Times New Roman" w:hAnsi="Times New Roman" w:cs="Times New Roman"/>
          <w:i/>
          <w:iCs/>
          <w:sz w:val="20"/>
          <w:szCs w:val="20"/>
        </w:rPr>
        <w:t>literacy</w:t>
      </w:r>
      <w:r w:rsidR="00ED536D">
        <w:rPr>
          <w:rFonts w:ascii="Times New Roman" w:hAnsi="Times New Roman" w:cs="Times New Roman"/>
          <w:sz w:val="20"/>
          <w:szCs w:val="20"/>
        </w:rPr>
        <w:t xml:space="preserve"> è</w:t>
      </w:r>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D067A">
        <w:rPr>
          <w:rFonts w:ascii="Times New Roman" w:hAnsi="Times New Roman" w:cs="Times New Roman"/>
          <w:sz w:val="20"/>
          <w:szCs w:val="20"/>
        </w:rPr>
        <w:t xml:space="preserve">, o più in generale </w:t>
      </w:r>
      <w:r w:rsidR="004F7C85">
        <w:rPr>
          <w:rFonts w:ascii="Times New Roman" w:hAnsi="Times New Roman" w:cs="Times New Roman"/>
          <w:sz w:val="20"/>
          <w:szCs w:val="20"/>
        </w:rPr>
        <w:t xml:space="preserve">la capacità </w:t>
      </w:r>
      <w:r w:rsidR="00376179">
        <w:rPr>
          <w:rFonts w:ascii="Times New Roman" w:hAnsi="Times New Roman" w:cs="Times New Roman"/>
          <w:sz w:val="20"/>
          <w:szCs w:val="20"/>
        </w:rPr>
        <w:t>di utilizzare le tecnologie dell’informazione e della comunicazione</w:t>
      </w:r>
      <w:r w:rsidR="000B4925">
        <w:rPr>
          <w:rFonts w:ascii="Times New Roman" w:hAnsi="Times New Roman" w:cs="Times New Roman"/>
          <w:sz w:val="20"/>
          <w:szCs w:val="20"/>
        </w:rPr>
        <w:t xml:space="preserve"> </w:t>
      </w:r>
      <w:r w:rsidR="0004727B">
        <w:rPr>
          <w:rFonts w:ascii="Times New Roman" w:hAnsi="Times New Roman" w:cs="Times New Roman"/>
          <w:sz w:val="20"/>
          <w:szCs w:val="20"/>
        </w:rPr>
        <w:t xml:space="preserve">per cercare </w:t>
      </w:r>
      <w:r w:rsidR="00CF3EE1">
        <w:rPr>
          <w:rFonts w:ascii="Times New Roman" w:hAnsi="Times New Roman" w:cs="Times New Roman"/>
          <w:sz w:val="20"/>
          <w:szCs w:val="20"/>
        </w:rPr>
        <w:t>e valutare le</w:t>
      </w:r>
      <w:r w:rsidR="001F1F0E">
        <w:rPr>
          <w:rFonts w:ascii="Times New Roman" w:hAnsi="Times New Roman" w:cs="Times New Roman"/>
          <w:sz w:val="20"/>
          <w:szCs w:val="20"/>
        </w:rPr>
        <w:t xml:space="preserve"> informazioni</w:t>
      </w:r>
      <w:r w:rsidR="00F205A3">
        <w:rPr>
          <w:rFonts w:ascii="Times New Roman" w:hAnsi="Times New Roman" w:cs="Times New Roman"/>
          <w:sz w:val="20"/>
          <w:szCs w:val="20"/>
        </w:rPr>
        <w:t>, prerequisito necessario</w:t>
      </w:r>
      <w:r w:rsidR="0068228F">
        <w:rPr>
          <w:rFonts w:ascii="Times New Roman" w:hAnsi="Times New Roman" w:cs="Times New Roman"/>
          <w:sz w:val="20"/>
          <w:szCs w:val="20"/>
        </w:rPr>
        <w:t xml:space="preserve"> </w:t>
      </w:r>
      <w:r w:rsidR="00477995">
        <w:rPr>
          <w:rFonts w:ascii="Times New Roman" w:hAnsi="Times New Roman" w:cs="Times New Roman"/>
          <w:sz w:val="20"/>
          <w:szCs w:val="20"/>
        </w:rPr>
        <w:t xml:space="preserve">per poter </w:t>
      </w:r>
      <w:r w:rsidR="003E4041" w:rsidRPr="006B373F">
        <w:rPr>
          <w:rFonts w:ascii="Times New Roman" w:hAnsi="Times New Roman" w:cs="Times New Roman"/>
          <w:sz w:val="20"/>
          <w:szCs w:val="20"/>
        </w:rPr>
        <w:t>partecipare attivamente in una società</w:t>
      </w:r>
      <w:r w:rsidR="00477995">
        <w:rPr>
          <w:rFonts w:ascii="Times New Roman" w:hAnsi="Times New Roman" w:cs="Times New Roman"/>
          <w:sz w:val="20"/>
          <w:szCs w:val="20"/>
        </w:rPr>
        <w:t xml:space="preserve"> sempre più</w:t>
      </w:r>
      <w:r w:rsidR="003E4041" w:rsidRPr="006B373F">
        <w:rPr>
          <w:rFonts w:ascii="Times New Roman" w:hAnsi="Times New Roman" w:cs="Times New Roman"/>
          <w:sz w:val="20"/>
          <w:szCs w:val="20"/>
        </w:rPr>
        <w:t xml:space="preserve"> </w:t>
      </w:r>
      <w:r w:rsidR="003E4041" w:rsidRPr="006B373F">
        <w:rPr>
          <w:rFonts w:ascii="Times New Roman" w:hAnsi="Times New Roman" w:cs="Times New Roman"/>
          <w:sz w:val="20"/>
          <w:szCs w:val="20"/>
        </w:rPr>
        <w:lastRenderedPageBreak/>
        <w:t>digitalizzata</w:t>
      </w:r>
      <w:r w:rsidR="0068228F">
        <w:rPr>
          <w:rFonts w:ascii="Times New Roman" w:hAnsi="Times New Roman" w:cs="Times New Roman"/>
          <w:sz w:val="20"/>
          <w:szCs w:val="20"/>
        </w:rPr>
        <w:t>.</w:t>
      </w:r>
      <w:r w:rsidR="00150286">
        <w:rPr>
          <w:rFonts w:ascii="Times New Roman" w:hAnsi="Times New Roman" w:cs="Times New Roman"/>
          <w:sz w:val="20"/>
          <w:szCs w:val="20"/>
        </w:rPr>
        <w:t xml:space="preserve"> Questa abilità risulta </w:t>
      </w:r>
      <w:r w:rsidR="008D0ED5" w:rsidRPr="006B373F">
        <w:rPr>
          <w:rFonts w:ascii="Times New Roman" w:hAnsi="Times New Roman" w:cs="Times New Roman"/>
          <w:sz w:val="20"/>
          <w:szCs w:val="20"/>
        </w:rPr>
        <w:t>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 xml:space="preserve">alle </w:t>
      </w:r>
      <w:r w:rsidR="007D6AF6">
        <w:rPr>
          <w:rFonts w:ascii="Times New Roman" w:hAnsi="Times New Roman" w:cs="Times New Roman"/>
          <w:sz w:val="20"/>
          <w:szCs w:val="20"/>
        </w:rPr>
        <w:t>competenze</w:t>
      </w:r>
      <w:r w:rsidR="005564DC" w:rsidRPr="006B373F">
        <w:rPr>
          <w:rFonts w:ascii="Times New Roman" w:hAnsi="Times New Roman" w:cs="Times New Roman"/>
          <w:sz w:val="20"/>
          <w:szCs w:val="20"/>
        </w:rPr>
        <w:t xml:space="preserve"> tecniche legate al mezzo tecnologico utilizzato</w:t>
      </w:r>
      <w:r w:rsidR="00AC2028" w:rsidRPr="006B373F">
        <w:rPr>
          <w:rFonts w:ascii="Times New Roman" w:hAnsi="Times New Roman" w:cs="Times New Roman"/>
          <w:sz w:val="20"/>
          <w:szCs w:val="20"/>
        </w:rPr>
        <w:t xml:space="preserve">. </w:t>
      </w:r>
      <w:r w:rsidR="00E826F5">
        <w:rPr>
          <w:rFonts w:ascii="Times New Roman" w:hAnsi="Times New Roman" w:cs="Times New Roman"/>
          <w:sz w:val="20"/>
          <w:szCs w:val="20"/>
        </w:rPr>
        <w:t>Inoltre, l</w:t>
      </w:r>
      <w:r w:rsidR="007A2E75" w:rsidRPr="006B373F">
        <w:rPr>
          <w:rFonts w:ascii="Times New Roman" w:hAnsi="Times New Roman" w:cs="Times New Roman"/>
          <w:sz w:val="20"/>
          <w:szCs w:val="20"/>
        </w:rPr>
        <w:t>e abilità logico-matematiche e linguistiche di base fungono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B23DD7">
        <w:rPr>
          <w:rFonts w:ascii="Times New Roman" w:hAnsi="Times New Roman" w:cs="Times New Roman"/>
          <w:sz w:val="20"/>
          <w:szCs w:val="20"/>
        </w:rPr>
        <w:t>a</w:t>
      </w:r>
      <w:r w:rsidR="00593F4D">
        <w:rPr>
          <w:rFonts w:ascii="Times New Roman" w:hAnsi="Times New Roman" w:cs="Times New Roman"/>
          <w:sz w:val="20"/>
          <w:szCs w:val="20"/>
        </w:rPr>
        <w:t xml:space="preserv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digital literacy</w:t>
      </w:r>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per le ICTs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AA12D3">
        <w:rPr>
          <w:rFonts w:ascii="Times New Roman" w:hAnsi="Times New Roman" w:cs="Times New Roman"/>
          <w:sz w:val="20"/>
          <w:szCs w:val="20"/>
        </w:rPr>
        <w:t>f</w:t>
      </w:r>
      <w:r w:rsidR="00C95C8A" w:rsidRPr="00593F4D">
        <w:rPr>
          <w:rFonts w:ascii="Times New Roman" w:hAnsi="Times New Roman" w:cs="Times New Roman"/>
          <w:sz w:val="20"/>
          <w:szCs w:val="20"/>
        </w:rPr>
        <w:t xml:space="preserve">oundation </w:t>
      </w:r>
      <w:r w:rsidR="00AA12D3">
        <w:rPr>
          <w:rFonts w:ascii="Times New Roman" w:hAnsi="Times New Roman" w:cs="Times New Roman"/>
          <w:sz w:val="20"/>
          <w:szCs w:val="20"/>
        </w:rPr>
        <w:t>s</w:t>
      </w:r>
      <w:r w:rsidR="00C95C8A" w:rsidRPr="00593F4D">
        <w:rPr>
          <w:rFonts w:ascii="Times New Roman" w:hAnsi="Times New Roman" w:cs="Times New Roman"/>
          <w:sz w:val="20"/>
          <w:szCs w:val="20"/>
        </w:rPr>
        <w:t>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 xml:space="preserve">nonché di </w:t>
      </w:r>
      <w:r w:rsidR="00AA12D3">
        <w:rPr>
          <w:rFonts w:ascii="Times New Roman" w:hAnsi="Times New Roman" w:cs="Times New Roman"/>
          <w:sz w:val="20"/>
          <w:szCs w:val="20"/>
        </w:rPr>
        <w:t>abilità</w:t>
      </w:r>
      <w:r w:rsidR="00ED62BD" w:rsidRPr="006B373F">
        <w:rPr>
          <w:rFonts w:ascii="Times New Roman" w:hAnsi="Times New Roman" w:cs="Times New Roman"/>
          <w:sz w:val="20"/>
          <w:szCs w:val="20"/>
        </w:rPr>
        <w:t xml:space="preserve">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4A0CB0EE"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w:t>
      </w:r>
      <w:r w:rsidR="007526F8">
        <w:rPr>
          <w:rFonts w:ascii="Times New Roman" w:hAnsi="Times New Roman" w:cs="Times New Roman"/>
          <w:sz w:val="20"/>
          <w:szCs w:val="20"/>
        </w:rPr>
        <w:t>’acquisizione delle</w:t>
      </w:r>
      <w:r w:rsidR="00342190" w:rsidRPr="006B373F">
        <w:rPr>
          <w:rFonts w:ascii="Times New Roman" w:hAnsi="Times New Roman" w:cs="Times New Roman"/>
          <w:sz w:val="20"/>
          <w:szCs w:val="20"/>
        </w:rPr>
        <w:t xml:space="preserve"> skills fondamentali</w:t>
      </w:r>
      <w:r w:rsidR="007526F8">
        <w:rPr>
          <w:rFonts w:ascii="Times New Roman" w:hAnsi="Times New Roman" w:cs="Times New Roman"/>
          <w:sz w:val="20"/>
          <w:szCs w:val="20"/>
        </w:rPr>
        <w:t xml:space="preserve"> e </w:t>
      </w:r>
      <w:r w:rsidR="002839CE">
        <w:rPr>
          <w:rFonts w:ascii="Times New Roman" w:hAnsi="Times New Roman" w:cs="Times New Roman"/>
          <w:sz w:val="20"/>
          <w:szCs w:val="20"/>
        </w:rPr>
        <w:t>dell’alfabetizzazione digitale</w:t>
      </w:r>
      <w:r w:rsidR="00342190" w:rsidRPr="006B373F">
        <w:rPr>
          <w:rFonts w:ascii="Times New Roman" w:hAnsi="Times New Roman" w:cs="Times New Roman"/>
          <w:sz w:val="20"/>
          <w:szCs w:val="20"/>
        </w:rPr>
        <w:t xml:space="preserve"> sono</w:t>
      </w:r>
      <w:r w:rsidR="004A13C5">
        <w:rPr>
          <w:rFonts w:ascii="Times New Roman" w:hAnsi="Times New Roman" w:cs="Times New Roman"/>
          <w:sz w:val="20"/>
          <w:szCs w:val="20"/>
        </w:rPr>
        <w:t xml:space="preserve"> passaggi necessari affinché</w:t>
      </w:r>
      <w:r w:rsidR="0050310F">
        <w:rPr>
          <w:rFonts w:ascii="Times New Roman" w:hAnsi="Times New Roman" w:cs="Times New Roman"/>
          <w:sz w:val="20"/>
          <w:szCs w:val="20"/>
        </w:rPr>
        <w:t xml:space="preserve"> un individuo</w:t>
      </w:r>
      <w:r w:rsidR="00610E9F">
        <w:rPr>
          <w:rFonts w:ascii="Times New Roman" w:hAnsi="Times New Roman" w:cs="Times New Roman"/>
          <w:sz w:val="20"/>
          <w:szCs w:val="20"/>
        </w:rPr>
        <w:t xml:space="preserve"> possa </w:t>
      </w:r>
      <w:r w:rsidR="00A16EB8">
        <w:rPr>
          <w:rFonts w:ascii="Times New Roman" w:hAnsi="Times New Roman" w:cs="Times New Roman"/>
          <w:sz w:val="20"/>
          <w:szCs w:val="20"/>
        </w:rPr>
        <w:t xml:space="preserve">approcciarsi </w:t>
      </w:r>
      <w:r w:rsidR="00A16EB8" w:rsidRPr="006B373F">
        <w:rPr>
          <w:rFonts w:ascii="Times New Roman" w:hAnsi="Times New Roman" w:cs="Times New Roman"/>
          <w:sz w:val="20"/>
          <w:szCs w:val="20"/>
        </w:rPr>
        <w:t>all’apprendimento</w:t>
      </w:r>
      <w:r w:rsidR="00DE026C" w:rsidRPr="006B373F">
        <w:rPr>
          <w:rFonts w:ascii="Times New Roman" w:hAnsi="Times New Roman" w:cs="Times New Roman"/>
          <w:sz w:val="20"/>
          <w:szCs w:val="20"/>
        </w:rPr>
        <w:t xml:space="preserve"> continuo (</w:t>
      </w:r>
      <w:r w:rsidR="00DE026C" w:rsidRPr="006B373F">
        <w:rPr>
          <w:rFonts w:ascii="Times New Roman" w:hAnsi="Times New Roman" w:cs="Times New Roman"/>
          <w:i/>
          <w:iCs/>
          <w:sz w:val="20"/>
          <w:szCs w:val="20"/>
        </w:rPr>
        <w:t>lifelong learning</w:t>
      </w:r>
      <w:r w:rsidR="00A16EB8">
        <w:rPr>
          <w:rFonts w:ascii="Times New Roman" w:hAnsi="Times New Roman" w:cs="Times New Roman"/>
          <w:sz w:val="20"/>
          <w:szCs w:val="20"/>
        </w:rPr>
        <w:t>), ovvero</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A16EB8">
        <w:rPr>
          <w:rFonts w:ascii="Times New Roman" w:hAnsi="Times New Roman" w:cs="Times New Roman"/>
          <w:sz w:val="20"/>
          <w:szCs w:val="20"/>
        </w:rPr>
        <w:t>.</w:t>
      </w:r>
      <w:r w:rsidR="00A178AC" w:rsidRPr="006B373F">
        <w:rPr>
          <w:rFonts w:ascii="Times New Roman" w:hAnsi="Times New Roman" w:cs="Times New Roman"/>
          <w:sz w:val="20"/>
          <w:szCs w:val="20"/>
        </w:rPr>
        <w:t xml:space="preserve"> </w:t>
      </w:r>
      <w:r w:rsidR="00A16EB8">
        <w:rPr>
          <w:rFonts w:ascii="Times New Roman" w:hAnsi="Times New Roman" w:cs="Times New Roman"/>
          <w:sz w:val="20"/>
          <w:szCs w:val="20"/>
        </w:rPr>
        <w:t>Esso</w:t>
      </w:r>
      <w:r w:rsidR="00A178AC" w:rsidRPr="006B373F">
        <w:rPr>
          <w:rFonts w:ascii="Times New Roman" w:hAnsi="Times New Roman" w:cs="Times New Roman"/>
          <w:sz w:val="20"/>
          <w:szCs w:val="20"/>
        </w:rPr>
        <w:t xml:space="preserv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r w:rsidR="003604C9" w:rsidRPr="003604C9">
        <w:rPr>
          <w:rFonts w:ascii="Times New Roman" w:hAnsi="Times New Roman" w:cs="Times New Roman"/>
          <w:sz w:val="20"/>
          <w:szCs w:val="20"/>
        </w:rPr>
        <w:t>divario</w:t>
      </w:r>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A22FB09"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possiede infatti</w:t>
      </w:r>
      <w:r w:rsidR="00F83CB6">
        <w:rPr>
          <w:rFonts w:ascii="Times New Roman" w:hAnsi="Times New Roman" w:cs="Times New Roman"/>
          <w:sz w:val="20"/>
          <w:szCs w:val="20"/>
        </w:rPr>
        <w:t xml:space="preserve"> tutte</w:t>
      </w:r>
      <w:r w:rsidR="00743105" w:rsidRPr="006B373F">
        <w:rPr>
          <w:rFonts w:ascii="Times New Roman" w:hAnsi="Times New Roman" w:cs="Times New Roman"/>
          <w:sz w:val="20"/>
          <w:szCs w:val="20"/>
        </w:rPr>
        <w:t xml:space="preserve"> le </w:t>
      </w:r>
      <w:r w:rsidR="00B62916">
        <w:rPr>
          <w:rFonts w:ascii="Times New Roman" w:hAnsi="Times New Roman" w:cs="Times New Roman"/>
          <w:sz w:val="20"/>
          <w:szCs w:val="20"/>
        </w:rPr>
        <w:t>competenze</w:t>
      </w:r>
      <w:r w:rsidR="00743105" w:rsidRPr="006B373F">
        <w:rPr>
          <w:rFonts w:ascii="Times New Roman" w:hAnsi="Times New Roman" w:cs="Times New Roman"/>
          <w:sz w:val="20"/>
          <w:szCs w:val="20"/>
        </w:rPr>
        <w:t xml:space="preserve"> </w:t>
      </w:r>
      <w:r w:rsidR="00886237">
        <w:rPr>
          <w:rFonts w:ascii="Times New Roman" w:hAnsi="Times New Roman" w:cs="Times New Roman"/>
          <w:sz w:val="20"/>
          <w:szCs w:val="20"/>
        </w:rPr>
        <w:t>tecn</w:t>
      </w:r>
      <w:r w:rsidR="002C5347">
        <w:rPr>
          <w:rFonts w:ascii="Times New Roman" w:hAnsi="Times New Roman" w:cs="Times New Roman"/>
          <w:sz w:val="20"/>
          <w:szCs w:val="20"/>
        </w:rPr>
        <w:t xml:space="preserve">iche e cognitive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a</w:t>
      </w:r>
      <w:r w:rsidR="002C5347">
        <w:rPr>
          <w:rFonts w:ascii="Times New Roman" w:hAnsi="Times New Roman" w:cs="Times New Roman"/>
          <w:sz w:val="20"/>
          <w:szCs w:val="20"/>
        </w:rPr>
        <w:t xml:space="preserve"> un utilizzo</w:t>
      </w:r>
      <w:r w:rsidR="007F6B4D" w:rsidRPr="006B373F">
        <w:rPr>
          <w:rFonts w:ascii="Times New Roman" w:hAnsi="Times New Roman" w:cs="Times New Roman"/>
          <w:sz w:val="20"/>
          <w:szCs w:val="20"/>
        </w:rPr>
        <w:t xml:space="preserve"> consapevole</w:t>
      </w:r>
      <w:r w:rsidR="00B62916">
        <w:rPr>
          <w:rFonts w:ascii="Times New Roman" w:hAnsi="Times New Roman" w:cs="Times New Roman"/>
          <w:sz w:val="20"/>
          <w:szCs w:val="20"/>
        </w:rPr>
        <w:t xml:space="preserve"> delle</w:t>
      </w:r>
      <w:r w:rsidR="002C5347">
        <w:rPr>
          <w:rFonts w:ascii="Times New Roman" w:hAnsi="Times New Roman" w:cs="Times New Roman"/>
          <w:sz w:val="20"/>
          <w:szCs w:val="20"/>
        </w:rPr>
        <w:t xml:space="preserve"> tecnologie</w:t>
      </w:r>
      <w:r w:rsidR="00161111">
        <w:rPr>
          <w:rFonts w:ascii="Times New Roman" w:hAnsi="Times New Roman" w:cs="Times New Roman"/>
          <w:sz w:val="20"/>
          <w:szCs w:val="20"/>
        </w:rPr>
        <w:t xml:space="preserve"> digitali</w:t>
      </w:r>
      <w:r w:rsidR="007F6B4D" w:rsidRPr="006B373F">
        <w:rPr>
          <w:rFonts w:ascii="Times New Roman" w:hAnsi="Times New Roman" w:cs="Times New Roman"/>
          <w:sz w:val="20"/>
          <w:szCs w:val="20"/>
        </w:rPr>
        <w:t xml:space="preserv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5021C324"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22680E">
        <w:rPr>
          <w:rFonts w:ascii="Times New Roman" w:hAnsi="Times New Roman" w:cs="Times New Roman"/>
          <w:sz w:val="20"/>
          <w:szCs w:val="20"/>
        </w:rPr>
        <w:t>f</w:t>
      </w:r>
      <w:r w:rsidR="00B37F48" w:rsidRPr="008B7773">
        <w:rPr>
          <w:rFonts w:ascii="Times New Roman" w:hAnsi="Times New Roman" w:cs="Times New Roman"/>
          <w:sz w:val="20"/>
          <w:szCs w:val="20"/>
        </w:rPr>
        <w:t xml:space="preserve">oundation </w:t>
      </w:r>
      <w:r w:rsidR="00AD6D9A" w:rsidRPr="00D41369">
        <w:rPr>
          <w:rFonts w:ascii="Times New Roman" w:hAnsi="Times New Roman" w:cs="Times New Roman"/>
          <w:sz w:val="20"/>
          <w:szCs w:val="20"/>
        </w:rPr>
        <w:t>skills</w:t>
      </w:r>
      <w:r w:rsidR="00D41369">
        <w:rPr>
          <w:rFonts w:ascii="Times New Roman" w:hAnsi="Times New Roman" w:cs="Times New Roman"/>
          <w:sz w:val="20"/>
          <w:szCs w:val="20"/>
        </w:rPr>
        <w:t>,</w:t>
      </w:r>
      <w:r w:rsidR="00AD6D9A" w:rsidRPr="00D41369">
        <w:rPr>
          <w:rFonts w:ascii="Times New Roman" w:hAnsi="Times New Roman" w:cs="Times New Roman"/>
          <w:i/>
          <w:iCs/>
          <w:sz w:val="20"/>
          <w:szCs w:val="20"/>
        </w:rPr>
        <w:t xml:space="preserve"> </w:t>
      </w:r>
      <w:r w:rsidR="007B751E" w:rsidRPr="00D41369">
        <w:rPr>
          <w:rFonts w:ascii="Times New Roman" w:hAnsi="Times New Roman" w:cs="Times New Roman"/>
          <w:sz w:val="20"/>
          <w:szCs w:val="20"/>
        </w:rPr>
        <w:t>pensiero crit</w:t>
      </w:r>
      <w:r w:rsidR="00E44567" w:rsidRPr="00D41369">
        <w:rPr>
          <w:rFonts w:ascii="Times New Roman" w:hAnsi="Times New Roman" w:cs="Times New Roman"/>
          <w:sz w:val="20"/>
          <w:szCs w:val="20"/>
        </w:rPr>
        <w:t xml:space="preserve">ico e </w:t>
      </w:r>
      <w:r w:rsidR="00467F0D" w:rsidRPr="00D41369">
        <w:rPr>
          <w:rFonts w:ascii="Times New Roman" w:hAnsi="Times New Roman" w:cs="Times New Roman"/>
          <w:sz w:val="20"/>
          <w:szCs w:val="20"/>
        </w:rPr>
        <w:t>competenze</w:t>
      </w:r>
      <w:r w:rsidR="00E44567" w:rsidRPr="00D41369">
        <w:rPr>
          <w:rFonts w:ascii="Times New Roman" w:hAnsi="Times New Roman" w:cs="Times New Roman"/>
          <w:sz w:val="20"/>
          <w:szCs w:val="20"/>
        </w:rPr>
        <w:t xml:space="preserve"> </w:t>
      </w:r>
      <w:r w:rsidR="00467F0D" w:rsidRPr="00D41369">
        <w:rPr>
          <w:rFonts w:ascii="Times New Roman" w:hAnsi="Times New Roman" w:cs="Times New Roman"/>
          <w:sz w:val="20"/>
          <w:szCs w:val="20"/>
        </w:rPr>
        <w:t>emotive</w:t>
      </w:r>
      <w:r w:rsidR="00E44567" w:rsidRPr="00D41369">
        <w:rPr>
          <w:rFonts w:ascii="Times New Roman" w:hAnsi="Times New Roman" w:cs="Times New Roman"/>
          <w:sz w:val="20"/>
          <w:szCs w:val="20"/>
        </w:rPr>
        <w:t xml:space="preserve"> e sociali possono</w:t>
      </w:r>
      <w:r w:rsidR="00E44567" w:rsidRPr="006B373F">
        <w:rPr>
          <w:rFonts w:ascii="Times New Roman" w:hAnsi="Times New Roman" w:cs="Times New Roman"/>
          <w:sz w:val="20"/>
          <w:szCs w:val="20"/>
        </w:rPr>
        <w:t xml:space="preserve">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AE61A2">
        <w:rPr>
          <w:rFonts w:ascii="Times New Roman" w:hAnsi="Times New Roman" w:cs="Times New Roman"/>
          <w:sz w:val="20"/>
          <w:szCs w:val="20"/>
        </w:rPr>
        <w:t>agli</w:t>
      </w:r>
      <w:r w:rsidR="00FC31A3">
        <w:rPr>
          <w:rFonts w:ascii="Times New Roman" w:hAnsi="Times New Roman" w:cs="Times New Roman"/>
          <w:sz w:val="20"/>
          <w:szCs w:val="20"/>
        </w:rPr>
        <w:t xml:space="preserve"> insiemi</w:t>
      </w:r>
      <w:r w:rsidR="00FA5294" w:rsidRPr="006B373F">
        <w:rPr>
          <w:rFonts w:ascii="Times New Roman" w:hAnsi="Times New Roman" w:cs="Times New Roman"/>
          <w:sz w:val="20"/>
          <w:szCs w:val="20"/>
        </w:rPr>
        <w:t xml:space="preserve"> di</w:t>
      </w:r>
      <w:r w:rsidR="0073251F" w:rsidRPr="006B373F">
        <w:rPr>
          <w:rFonts w:ascii="Times New Roman" w:hAnsi="Times New Roman" w:cs="Times New Roman"/>
          <w:sz w:val="20"/>
          <w:szCs w:val="20"/>
        </w:rPr>
        <w:t xml:space="preserve"> </w:t>
      </w:r>
      <w:r w:rsidR="00FC31A3">
        <w:rPr>
          <w:rFonts w:ascii="Times New Roman" w:hAnsi="Times New Roman" w:cs="Times New Roman"/>
          <w:sz w:val="20"/>
          <w:szCs w:val="20"/>
        </w:rPr>
        <w:t>abilità</w:t>
      </w:r>
      <w:r w:rsidR="0073251F" w:rsidRPr="006B373F">
        <w:rPr>
          <w:rFonts w:ascii="Times New Roman" w:hAnsi="Times New Roman" w:cs="Times New Roman"/>
          <w:sz w:val="20"/>
          <w:szCs w:val="20"/>
        </w:rPr>
        <w:t xml:space="preserve"> richieste dalle imprese</w:t>
      </w:r>
      <w:r w:rsidR="00AE0DDC" w:rsidRPr="006B373F">
        <w:rPr>
          <w:rFonts w:ascii="Times New Roman" w:hAnsi="Times New Roman" w:cs="Times New Roman"/>
          <w:sz w:val="20"/>
          <w:szCs w:val="20"/>
        </w:rPr>
        <w:t xml:space="preserve">. </w:t>
      </w:r>
    </w:p>
    <w:p w14:paraId="25E43606" w14:textId="48FD4034"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al termine 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w:t>
      </w:r>
      <w:r w:rsidR="00CA29FD">
        <w:rPr>
          <w:rFonts w:ascii="Times New Roman" w:hAnsi="Times New Roman" w:cs="Times New Roman"/>
          <w:sz w:val="20"/>
          <w:szCs w:val="20"/>
        </w:rPr>
        <w:t>con carenti abilità digitali</w:t>
      </w:r>
      <w:r w:rsidR="005108F7" w:rsidRPr="006B373F">
        <w:rPr>
          <w:rFonts w:ascii="Times New Roman" w:hAnsi="Times New Roman" w:cs="Times New Roman"/>
          <w:sz w:val="20"/>
          <w:szCs w:val="20"/>
        </w:rPr>
        <w:t xml:space="preserve">, </w:t>
      </w:r>
      <w:r w:rsidR="00E32A73">
        <w:rPr>
          <w:rFonts w:ascii="Times New Roman" w:hAnsi="Times New Roman" w:cs="Times New Roman"/>
          <w:sz w:val="20"/>
          <w:szCs w:val="20"/>
        </w:rPr>
        <w:t>al</w:t>
      </w:r>
      <w:r w:rsidR="00992A61" w:rsidRPr="006B373F">
        <w:rPr>
          <w:rFonts w:ascii="Times New Roman" w:hAnsi="Times New Roman" w:cs="Times New Roman"/>
          <w:sz w:val="20"/>
          <w:szCs w:val="20"/>
        </w:rPr>
        <w:t xml:space="preserve">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le ICTs</w:t>
      </w:r>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1901480E"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20876">
        <w:rPr>
          <w:rFonts w:ascii="Times New Roman" w:hAnsi="Times New Roman" w:cs="Times New Roman"/>
          <w:sz w:val="20"/>
          <w:szCs w:val="20"/>
        </w:rPr>
        <w:t>apprendimento personalizzato pos</w:t>
      </w:r>
      <w:r w:rsidR="001C7AD1">
        <w:rPr>
          <w:rFonts w:ascii="Times New Roman" w:hAnsi="Times New Roman" w:cs="Times New Roman"/>
          <w:sz w:val="20"/>
          <w:szCs w:val="20"/>
        </w:rPr>
        <w:t xml:space="preserve">sibile grazie </w:t>
      </w:r>
      <w:r w:rsidR="007F7931">
        <w:rPr>
          <w:rFonts w:ascii="Times New Roman" w:hAnsi="Times New Roman" w:cs="Times New Roman"/>
          <w:sz w:val="20"/>
          <w:szCs w:val="20"/>
        </w:rPr>
        <w:t xml:space="preserve">alle </w:t>
      </w:r>
      <w:r w:rsidR="007F7931" w:rsidRPr="006B373F">
        <w:rPr>
          <w:rFonts w:ascii="Times New Roman" w:hAnsi="Times New Roman" w:cs="Times New Roman"/>
          <w:sz w:val="20"/>
          <w:szCs w:val="20"/>
        </w:rPr>
        <w:t>videolezioni</w:t>
      </w:r>
      <w:r w:rsidR="007B5CAD" w:rsidRPr="006B373F">
        <w:rPr>
          <w:rFonts w:ascii="Times New Roman" w:hAnsi="Times New Roman" w:cs="Times New Roman"/>
          <w:sz w:val="20"/>
          <w:szCs w:val="20"/>
        </w:rPr>
        <w:t xml:space="preserve"> asincron</w:t>
      </w:r>
      <w:r w:rsidR="00110AF4">
        <w:rPr>
          <w:rFonts w:ascii="Times New Roman" w:hAnsi="Times New Roman" w:cs="Times New Roman"/>
          <w:sz w:val="20"/>
          <w:szCs w:val="20"/>
        </w:rPr>
        <w:t>e</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w:t>
      </w:r>
      <w:r w:rsidR="00E257F2">
        <w:rPr>
          <w:rFonts w:ascii="Times New Roman" w:hAnsi="Times New Roman" w:cs="Times New Roman"/>
          <w:sz w:val="20"/>
          <w:szCs w:val="20"/>
        </w:rPr>
        <w:t>utilizzato dagli insegnanti per rispondere ai dubbi dei singoli alunni e per</w:t>
      </w:r>
      <w:r w:rsidR="00610A42" w:rsidRPr="006B373F">
        <w:rPr>
          <w:rFonts w:ascii="Times New Roman" w:hAnsi="Times New Roman" w:cs="Times New Roman"/>
          <w:sz w:val="20"/>
          <w:szCs w:val="20"/>
        </w:rPr>
        <w:t xml:space="preserve">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r w:rsidR="00E7456E" w:rsidRPr="006B373F">
        <w:rPr>
          <w:rFonts w:ascii="Times New Roman" w:hAnsi="Times New Roman" w:cs="Times New Roman"/>
          <w:i/>
          <w:iCs/>
          <w:sz w:val="20"/>
          <w:szCs w:val="20"/>
        </w:rPr>
        <w:t>problem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0E33A394" w14:textId="60C75126" w:rsidR="000437C4" w:rsidRPr="000437C4" w:rsidRDefault="00001F86" w:rsidP="000437C4">
      <w:pPr>
        <w:jc w:val="both"/>
        <w:rPr>
          <w:rFonts w:ascii="Times New Roman" w:hAnsi="Times New Roman" w:cs="Times New Roman"/>
          <w:sz w:val="20"/>
          <w:szCs w:val="20"/>
        </w:rPr>
      </w:pPr>
      <w:r>
        <w:rPr>
          <w:rFonts w:ascii="Times New Roman" w:hAnsi="Times New Roman" w:cs="Times New Roman"/>
          <w:sz w:val="20"/>
          <w:szCs w:val="20"/>
        </w:rPr>
        <w:t>Inoltre, le</w:t>
      </w:r>
      <w:r w:rsidR="00B068C0" w:rsidRPr="006B373F">
        <w:rPr>
          <w:rFonts w:ascii="Times New Roman" w:hAnsi="Times New Roman" w:cs="Times New Roman"/>
          <w:sz w:val="20"/>
          <w:szCs w:val="20"/>
        </w:rPr>
        <w:t xml:space="preserve"> ICTs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Un esempio del successo dell’apprendimento collaborativo</w:t>
      </w:r>
      <w:r w:rsidR="00C63724">
        <w:rPr>
          <w:rFonts w:ascii="Times New Roman" w:hAnsi="Times New Roman" w:cs="Times New Roman"/>
          <w:sz w:val="20"/>
          <w:szCs w:val="20"/>
        </w:rPr>
        <w:t xml:space="preserve"> nel</w:t>
      </w:r>
      <w:r w:rsidR="005F3C0D">
        <w:rPr>
          <w:rFonts w:ascii="Times New Roman" w:hAnsi="Times New Roman" w:cs="Times New Roman"/>
          <w:sz w:val="20"/>
          <w:szCs w:val="20"/>
        </w:rPr>
        <w:t xml:space="preserve"> contesto dell’</w:t>
      </w:r>
      <w:r w:rsidR="00C63724">
        <w:rPr>
          <w:rFonts w:ascii="Times New Roman" w:hAnsi="Times New Roman" w:cs="Times New Roman"/>
          <w:sz w:val="20"/>
          <w:szCs w:val="20"/>
        </w:rPr>
        <w:t>educazione informale</w:t>
      </w:r>
      <w:r w:rsidR="00327414" w:rsidRPr="006B373F">
        <w:rPr>
          <w:rFonts w:ascii="Times New Roman" w:hAnsi="Times New Roman" w:cs="Times New Roman"/>
          <w:sz w:val="20"/>
          <w:szCs w:val="20"/>
        </w:rPr>
        <w:t xml:space="preserve"> è la piattaforma Reddit</w:t>
      </w:r>
      <w:r w:rsidR="00970440">
        <w:rPr>
          <w:rFonts w:ascii="Times New Roman" w:hAnsi="Times New Roman" w:cs="Times New Roman"/>
          <w:sz w:val="20"/>
          <w:szCs w:val="20"/>
        </w:rPr>
        <w:t>.com</w:t>
      </w:r>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6B8B8287" w:rsidR="00846243"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Le ICTs</w:t>
      </w:r>
      <w:r w:rsidR="00E90F3A">
        <w:rPr>
          <w:rFonts w:ascii="Times New Roman" w:hAnsi="Times New Roman" w:cs="Times New Roman"/>
          <w:sz w:val="20"/>
          <w:szCs w:val="20"/>
        </w:rPr>
        <w:t>,</w:t>
      </w:r>
      <w:r w:rsidRPr="006B373F">
        <w:rPr>
          <w:rFonts w:ascii="Times New Roman" w:hAnsi="Times New Roman" w:cs="Times New Roman"/>
          <w:sz w:val="20"/>
          <w:szCs w:val="20"/>
        </w:rPr>
        <w:t xml:space="preserve"> inoltre</w:t>
      </w:r>
      <w:r w:rsidR="00E90F3A">
        <w:rPr>
          <w:rFonts w:ascii="Times New Roman" w:hAnsi="Times New Roman" w:cs="Times New Roman"/>
          <w:sz w:val="20"/>
          <w:szCs w:val="20"/>
        </w:rPr>
        <w:t>,</w:t>
      </w:r>
      <w:r w:rsidRPr="006B373F">
        <w:rPr>
          <w:rFonts w:ascii="Times New Roman" w:hAnsi="Times New Roman" w:cs="Times New Roman"/>
          <w:sz w:val="20"/>
          <w:szCs w:val="20"/>
        </w:rPr>
        <w:t xml:space="preserve"> facilita</w:t>
      </w:r>
      <w:r w:rsidR="00984F74">
        <w:rPr>
          <w:rFonts w:ascii="Times New Roman" w:hAnsi="Times New Roman" w:cs="Times New Roman"/>
          <w:sz w:val="20"/>
          <w:szCs w:val="20"/>
        </w:rPr>
        <w:t>no</w:t>
      </w:r>
      <w:r w:rsidRPr="006B373F">
        <w:rPr>
          <w:rFonts w:ascii="Times New Roman" w:hAnsi="Times New Roman" w:cs="Times New Roman"/>
          <w:sz w:val="20"/>
          <w:szCs w:val="20"/>
        </w:rPr>
        <w:t xml:space="preserve"> il processo di</w:t>
      </w:r>
      <w:r w:rsidR="0018354B" w:rsidRPr="006B373F">
        <w:rPr>
          <w:rFonts w:ascii="Times New Roman" w:hAnsi="Times New Roman" w:cs="Times New Roman"/>
          <w:i/>
          <w:iCs/>
          <w:sz w:val="20"/>
          <w:szCs w:val="20"/>
        </w:rPr>
        <w:t xml:space="preserve"> </w:t>
      </w:r>
      <w:r w:rsidR="0018354B" w:rsidRPr="005612C3">
        <w:rPr>
          <w:rFonts w:ascii="Times New Roman" w:hAnsi="Times New Roman" w:cs="Times New Roman"/>
          <w:sz w:val="20"/>
          <w:szCs w:val="20"/>
        </w:rPr>
        <w:t>lifelong</w:t>
      </w:r>
      <w:r w:rsidR="0018354B" w:rsidRPr="006B373F">
        <w:rPr>
          <w:rFonts w:ascii="Times New Roman" w:hAnsi="Times New Roman" w:cs="Times New Roman"/>
          <w:i/>
          <w:iCs/>
          <w:sz w:val="20"/>
          <w:szCs w:val="20"/>
        </w:rPr>
        <w:t xml:space="preserve"> </w:t>
      </w:r>
      <w:r w:rsidR="0018354B" w:rsidRPr="005612C3">
        <w:rPr>
          <w:rFonts w:ascii="Times New Roman" w:hAnsi="Times New Roman" w:cs="Times New Roman"/>
          <w:sz w:val="20"/>
          <w:szCs w:val="20"/>
        </w:rPr>
        <w:t>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w:t>
      </w:r>
      <w:r w:rsidR="00B87722">
        <w:rPr>
          <w:rFonts w:ascii="Times New Roman" w:hAnsi="Times New Roman" w:cs="Times New Roman"/>
          <w:sz w:val="20"/>
          <w:szCs w:val="20"/>
        </w:rPr>
        <w:t xml:space="preserve">di </w:t>
      </w:r>
      <w:r w:rsidR="00B87722">
        <w:rPr>
          <w:rFonts w:ascii="Times New Roman" w:hAnsi="Times New Roman" w:cs="Times New Roman"/>
          <w:i/>
          <w:iCs/>
          <w:sz w:val="20"/>
          <w:szCs w:val="20"/>
        </w:rPr>
        <w:t>e-learning</w:t>
      </w:r>
      <w:r w:rsidR="00B97847" w:rsidRPr="006B373F">
        <w:rPr>
          <w:rFonts w:ascii="Times New Roman" w:hAnsi="Times New Roman" w:cs="Times New Roman"/>
          <w:sz w:val="20"/>
          <w:szCs w:val="20"/>
        </w:rPr>
        <w:t xml:space="preserve"> in formato </w:t>
      </w:r>
      <w:r w:rsidR="00B97847" w:rsidRPr="005612C3">
        <w:rPr>
          <w:rFonts w:ascii="Times New Roman" w:hAnsi="Times New Roman" w:cs="Times New Roman"/>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4A3EAC0C" w14:textId="64002F52" w:rsidR="000437C4" w:rsidRPr="000437C4" w:rsidRDefault="000437C4" w:rsidP="000437C4">
      <w:pPr>
        <w:pStyle w:val="Titolo3"/>
        <w:rPr>
          <w:rFonts w:ascii="Times New Roman" w:hAnsi="Times New Roman" w:cs="Times New Roman"/>
          <w:b/>
          <w:bCs/>
          <w:sz w:val="20"/>
          <w:szCs w:val="20"/>
        </w:rPr>
      </w:pPr>
      <w:r>
        <w:rPr>
          <w:rFonts w:ascii="Times New Roman" w:hAnsi="Times New Roman" w:cs="Times New Roman"/>
          <w:b/>
          <w:bCs/>
          <w:sz w:val="20"/>
          <w:szCs w:val="20"/>
        </w:rPr>
        <w:t>conclusion</w:t>
      </w:r>
      <w:r w:rsidR="00D35DCD">
        <w:rPr>
          <w:rFonts w:ascii="Times New Roman" w:hAnsi="Times New Roman" w:cs="Times New Roman"/>
          <w:b/>
          <w:bCs/>
          <w:sz w:val="20"/>
          <w:szCs w:val="20"/>
        </w:rPr>
        <w:t>i</w:t>
      </w:r>
    </w:p>
    <w:p w14:paraId="454EA79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Nel tentativo di ricercare la personificazione della saggezza nell’era digitale, abbiamo potuto osservare come questa non sia propria di nessuno dei gruppi di </w:t>
      </w:r>
      <w:r w:rsidRPr="00831503">
        <w:rPr>
          <w:rFonts w:ascii="Times New Roman" w:eastAsia="Times New Roman" w:hAnsi="Times New Roman" w:cs="Times New Roman"/>
          <w:color w:val="000000"/>
          <w:sz w:val="20"/>
          <w:szCs w:val="20"/>
          <w:lang w:eastAsia="it-IT"/>
        </w:rPr>
        <w:lastRenderedPageBreak/>
        <w:t>utenti identificati, bensì di una piccola élite di individui particolarmente abili. </w:t>
      </w:r>
    </w:p>
    <w:p w14:paraId="75801F19"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L’utente medio non è stimolato a raffinare le sue competenze perché le interfacce delle tecnologie digitali sono volutamente semplificate dagli sviluppatori. Egli, inoltre, non possiede un set di skills spendibile e utile alla fruizione consapevole e informata delle ICTs e quando posto in un contesto non familiare si limita ad attuare un approccio diretto e intuitivo.</w:t>
      </w:r>
    </w:p>
    <w:p w14:paraId="4F35FAB7" w14:textId="701687B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È evidente quindi come sia necessario un maggior investimento da parte dei governi nella ristrutturazione dei sistemi educativi di istruzione e di formazione, al fine di aiutare a ridisegnare il modo in cui gli individui accedono alle informazioni ed elaborano la conoscenza </w:t>
      </w:r>
      <w:r w:rsidR="00EE34C2">
        <w:rPr>
          <w:rFonts w:ascii="Times New Roman" w:eastAsia="Times New Roman" w:hAnsi="Times New Roman" w:cs="Times New Roman"/>
          <w:color w:val="000000"/>
          <w:sz w:val="20"/>
          <w:szCs w:val="20"/>
          <w:lang w:eastAsia="it-IT"/>
        </w:rPr>
        <w:t>n</w:t>
      </w:r>
      <w:r w:rsidRPr="00831503">
        <w:rPr>
          <w:rFonts w:ascii="Times New Roman" w:eastAsia="Times New Roman" w:hAnsi="Times New Roman" w:cs="Times New Roman"/>
          <w:color w:val="000000"/>
          <w:sz w:val="20"/>
          <w:szCs w:val="20"/>
          <w:lang w:eastAsia="it-IT"/>
        </w:rPr>
        <w:t>ell’era digitale, andando potenzialmente a colmare le disparità correlate al digital mismatch.</w:t>
      </w:r>
    </w:p>
    <w:p w14:paraId="5D8D5345" w14:textId="0DAF82D0" w:rsidR="00F52310" w:rsidRDefault="00F52310" w:rsidP="00271028">
      <w:pPr>
        <w:jc w:val="both"/>
        <w:rPr>
          <w:rFonts w:ascii="Times New Roman" w:hAnsi="Times New Roman" w:cs="Times New Roman"/>
          <w:sz w:val="20"/>
          <w:szCs w:val="20"/>
        </w:rPr>
      </w:pPr>
    </w:p>
    <w:p w14:paraId="213A1658" w14:textId="4C77EAF6" w:rsidR="00BE60D1" w:rsidRDefault="00BE60D1" w:rsidP="00271028">
      <w:pPr>
        <w:jc w:val="both"/>
        <w:rPr>
          <w:rFonts w:ascii="Times New Roman" w:hAnsi="Times New Roman" w:cs="Times New Roman"/>
          <w:sz w:val="20"/>
          <w:szCs w:val="20"/>
        </w:rPr>
      </w:pPr>
    </w:p>
    <w:p w14:paraId="2F7DB3AA" w14:textId="04624180" w:rsidR="00BE60D1" w:rsidRDefault="00BE60D1" w:rsidP="00271028">
      <w:pPr>
        <w:jc w:val="both"/>
        <w:rPr>
          <w:rFonts w:ascii="Times New Roman" w:hAnsi="Times New Roman" w:cs="Times New Roman"/>
          <w:sz w:val="20"/>
          <w:szCs w:val="20"/>
        </w:rPr>
      </w:pPr>
    </w:p>
    <w:p w14:paraId="48777C94" w14:textId="2AF312A2" w:rsidR="00BE60D1" w:rsidRDefault="00BE60D1" w:rsidP="00271028">
      <w:pPr>
        <w:jc w:val="both"/>
        <w:rPr>
          <w:rFonts w:ascii="Times New Roman" w:hAnsi="Times New Roman" w:cs="Times New Roman"/>
          <w:sz w:val="20"/>
          <w:szCs w:val="20"/>
        </w:rPr>
      </w:pPr>
    </w:p>
    <w:p w14:paraId="4A1E94A9" w14:textId="1239FFFF" w:rsidR="00BE60D1" w:rsidRDefault="00BE60D1" w:rsidP="00271028">
      <w:pPr>
        <w:jc w:val="both"/>
        <w:rPr>
          <w:rFonts w:ascii="Times New Roman" w:hAnsi="Times New Roman" w:cs="Times New Roman"/>
          <w:sz w:val="20"/>
          <w:szCs w:val="20"/>
        </w:rPr>
      </w:pPr>
    </w:p>
    <w:p w14:paraId="561EA2FE" w14:textId="705FBD71" w:rsidR="00BE60D1" w:rsidRDefault="00BE60D1" w:rsidP="00271028">
      <w:pPr>
        <w:jc w:val="both"/>
        <w:rPr>
          <w:rFonts w:ascii="Times New Roman" w:hAnsi="Times New Roman" w:cs="Times New Roman"/>
          <w:sz w:val="20"/>
          <w:szCs w:val="20"/>
        </w:rPr>
      </w:pPr>
    </w:p>
    <w:p w14:paraId="23F389B8" w14:textId="50F72073" w:rsidR="00BE60D1" w:rsidRDefault="00BE60D1" w:rsidP="00271028">
      <w:pPr>
        <w:jc w:val="both"/>
        <w:rPr>
          <w:rFonts w:ascii="Times New Roman" w:hAnsi="Times New Roman" w:cs="Times New Roman"/>
          <w:sz w:val="20"/>
          <w:szCs w:val="20"/>
        </w:rPr>
      </w:pPr>
    </w:p>
    <w:p w14:paraId="33A4B5FE" w14:textId="50E69F6C" w:rsidR="00BE60D1" w:rsidRDefault="00BE60D1" w:rsidP="00271028">
      <w:pPr>
        <w:jc w:val="both"/>
        <w:rPr>
          <w:rFonts w:ascii="Times New Roman" w:hAnsi="Times New Roman" w:cs="Times New Roman"/>
          <w:sz w:val="20"/>
          <w:szCs w:val="20"/>
        </w:rPr>
      </w:pPr>
    </w:p>
    <w:p w14:paraId="3A7EDD62" w14:textId="2FFFC8B4" w:rsidR="00BE60D1" w:rsidRDefault="00BE60D1" w:rsidP="00271028">
      <w:pPr>
        <w:jc w:val="both"/>
        <w:rPr>
          <w:rFonts w:ascii="Times New Roman" w:hAnsi="Times New Roman" w:cs="Times New Roman"/>
          <w:sz w:val="20"/>
          <w:szCs w:val="20"/>
        </w:rPr>
      </w:pPr>
    </w:p>
    <w:p w14:paraId="02C35B8A" w14:textId="1B9B6ED0" w:rsidR="00BE60D1" w:rsidRDefault="00BE60D1" w:rsidP="00271028">
      <w:pPr>
        <w:jc w:val="both"/>
        <w:rPr>
          <w:rFonts w:ascii="Times New Roman" w:hAnsi="Times New Roman" w:cs="Times New Roman"/>
          <w:sz w:val="20"/>
          <w:szCs w:val="20"/>
        </w:rPr>
      </w:pPr>
    </w:p>
    <w:p w14:paraId="34F6E573" w14:textId="7ECD4CFB" w:rsidR="00BE60D1" w:rsidRDefault="00BE60D1" w:rsidP="00271028">
      <w:pPr>
        <w:jc w:val="both"/>
        <w:rPr>
          <w:rFonts w:ascii="Times New Roman" w:hAnsi="Times New Roman" w:cs="Times New Roman"/>
          <w:sz w:val="20"/>
          <w:szCs w:val="20"/>
        </w:rPr>
      </w:pPr>
    </w:p>
    <w:p w14:paraId="250F4214" w14:textId="5566CDB5" w:rsidR="00BE60D1" w:rsidRDefault="00BE60D1" w:rsidP="00271028">
      <w:pPr>
        <w:jc w:val="both"/>
        <w:rPr>
          <w:rFonts w:ascii="Times New Roman" w:hAnsi="Times New Roman" w:cs="Times New Roman"/>
          <w:sz w:val="20"/>
          <w:szCs w:val="20"/>
        </w:rPr>
      </w:pPr>
    </w:p>
    <w:p w14:paraId="63EE8DCA" w14:textId="51C273F2" w:rsidR="00BE60D1" w:rsidRDefault="00BE60D1" w:rsidP="00271028">
      <w:pPr>
        <w:jc w:val="both"/>
        <w:rPr>
          <w:rFonts w:ascii="Times New Roman" w:hAnsi="Times New Roman" w:cs="Times New Roman"/>
          <w:sz w:val="20"/>
          <w:szCs w:val="20"/>
        </w:rPr>
      </w:pPr>
    </w:p>
    <w:p w14:paraId="2BE6E488" w14:textId="53D9F22C" w:rsidR="00BE60D1" w:rsidRDefault="00BE60D1" w:rsidP="00271028">
      <w:pPr>
        <w:jc w:val="both"/>
        <w:rPr>
          <w:rFonts w:ascii="Times New Roman" w:hAnsi="Times New Roman" w:cs="Times New Roman"/>
          <w:sz w:val="20"/>
          <w:szCs w:val="20"/>
        </w:rPr>
      </w:pPr>
    </w:p>
    <w:p w14:paraId="6B2C67BC" w14:textId="21948AC3" w:rsidR="00BE60D1" w:rsidRDefault="00BE60D1" w:rsidP="00271028">
      <w:pPr>
        <w:jc w:val="both"/>
        <w:rPr>
          <w:rFonts w:ascii="Times New Roman" w:hAnsi="Times New Roman" w:cs="Times New Roman"/>
          <w:sz w:val="20"/>
          <w:szCs w:val="20"/>
        </w:rPr>
      </w:pPr>
    </w:p>
    <w:p w14:paraId="5A9C313B" w14:textId="35198ED5" w:rsidR="00BE60D1" w:rsidRDefault="00BE60D1" w:rsidP="00271028">
      <w:pPr>
        <w:jc w:val="both"/>
        <w:rPr>
          <w:rFonts w:ascii="Times New Roman" w:hAnsi="Times New Roman" w:cs="Times New Roman"/>
          <w:sz w:val="20"/>
          <w:szCs w:val="20"/>
        </w:rPr>
      </w:pPr>
    </w:p>
    <w:p w14:paraId="30895886" w14:textId="2015C9AC" w:rsidR="00BE60D1" w:rsidRDefault="00BE60D1" w:rsidP="00271028">
      <w:pPr>
        <w:jc w:val="both"/>
        <w:rPr>
          <w:rFonts w:ascii="Times New Roman" w:hAnsi="Times New Roman" w:cs="Times New Roman"/>
          <w:sz w:val="20"/>
          <w:szCs w:val="20"/>
        </w:rPr>
      </w:pPr>
    </w:p>
    <w:p w14:paraId="7EE69FC6" w14:textId="708C7C64" w:rsidR="00BE60D1" w:rsidRDefault="00BE60D1" w:rsidP="00271028">
      <w:pPr>
        <w:jc w:val="both"/>
        <w:rPr>
          <w:rFonts w:ascii="Times New Roman" w:hAnsi="Times New Roman" w:cs="Times New Roman"/>
          <w:sz w:val="20"/>
          <w:szCs w:val="20"/>
        </w:rPr>
      </w:pPr>
    </w:p>
    <w:p w14:paraId="588D0622" w14:textId="35311F4B" w:rsidR="00BE60D1" w:rsidRDefault="00BE60D1" w:rsidP="00271028">
      <w:pPr>
        <w:jc w:val="both"/>
        <w:rPr>
          <w:rFonts w:ascii="Times New Roman" w:hAnsi="Times New Roman" w:cs="Times New Roman"/>
          <w:sz w:val="20"/>
          <w:szCs w:val="20"/>
        </w:rPr>
      </w:pPr>
    </w:p>
    <w:p w14:paraId="388A4B06" w14:textId="2C6D09A9" w:rsidR="00BE60D1" w:rsidRDefault="00BE60D1" w:rsidP="00271028">
      <w:pPr>
        <w:jc w:val="both"/>
        <w:rPr>
          <w:rFonts w:ascii="Times New Roman" w:hAnsi="Times New Roman" w:cs="Times New Roman"/>
          <w:sz w:val="20"/>
          <w:szCs w:val="20"/>
        </w:rPr>
      </w:pPr>
    </w:p>
    <w:p w14:paraId="6E18621F" w14:textId="38793546" w:rsidR="00BE60D1" w:rsidRDefault="00BE60D1" w:rsidP="00271028">
      <w:pPr>
        <w:jc w:val="both"/>
        <w:rPr>
          <w:rFonts w:ascii="Times New Roman" w:hAnsi="Times New Roman" w:cs="Times New Roman"/>
          <w:sz w:val="20"/>
          <w:szCs w:val="20"/>
        </w:rPr>
      </w:pPr>
    </w:p>
    <w:p w14:paraId="1CFD9B91" w14:textId="4845DB0C" w:rsidR="00BE60D1" w:rsidRDefault="00BE60D1" w:rsidP="00271028">
      <w:pPr>
        <w:jc w:val="both"/>
        <w:rPr>
          <w:rFonts w:ascii="Times New Roman" w:hAnsi="Times New Roman" w:cs="Times New Roman"/>
          <w:sz w:val="20"/>
          <w:szCs w:val="20"/>
        </w:rPr>
      </w:pPr>
    </w:p>
    <w:p w14:paraId="3AF13F3D" w14:textId="5413E5DE" w:rsidR="00BE60D1" w:rsidRDefault="00BE60D1"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22FBD" w14:textId="77777777" w:rsidR="00097EFA" w:rsidRDefault="00097EFA" w:rsidP="00C36326">
      <w:pPr>
        <w:spacing w:after="0" w:line="240" w:lineRule="auto"/>
      </w:pPr>
      <w:r>
        <w:separator/>
      </w:r>
    </w:p>
  </w:endnote>
  <w:endnote w:type="continuationSeparator" w:id="0">
    <w:p w14:paraId="6383765E" w14:textId="77777777" w:rsidR="00097EFA" w:rsidRDefault="00097EFA" w:rsidP="00C36326">
      <w:pPr>
        <w:spacing w:after="0" w:line="240" w:lineRule="auto"/>
      </w:pPr>
      <w:r>
        <w:continuationSeparator/>
      </w:r>
    </w:p>
  </w:endnote>
  <w:endnote w:type="continuationNotice" w:id="1">
    <w:p w14:paraId="2FD65D0C" w14:textId="77777777" w:rsidR="00097EFA" w:rsidRDefault="00097E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C7CD6" w14:textId="77777777" w:rsidR="00097EFA" w:rsidRDefault="00097EFA" w:rsidP="00C36326">
      <w:pPr>
        <w:spacing w:after="0" w:line="240" w:lineRule="auto"/>
      </w:pPr>
      <w:r>
        <w:separator/>
      </w:r>
    </w:p>
  </w:footnote>
  <w:footnote w:type="continuationSeparator" w:id="0">
    <w:p w14:paraId="71602303" w14:textId="77777777" w:rsidR="00097EFA" w:rsidRDefault="00097EFA" w:rsidP="00C36326">
      <w:pPr>
        <w:spacing w:after="0" w:line="240" w:lineRule="auto"/>
      </w:pPr>
      <w:r>
        <w:continuationSeparator/>
      </w:r>
    </w:p>
  </w:footnote>
  <w:footnote w:type="continuationNotice" w:id="1">
    <w:p w14:paraId="094E11C6" w14:textId="77777777" w:rsidR="00097EFA" w:rsidRDefault="00097EFA">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rPr>
            <w:rFonts w:ascii="Times New Roman" w:hAnsi="Times New Roman" w:cs="Times New Roman"/>
          </w:rPr>
          <w:id w:val="-1968423753"/>
          <w:citation/>
        </w:sdtPr>
        <w:sdtEndPr/>
        <w:sdtContent>
          <w:r w:rsidRPr="006572E4">
            <w:rPr>
              <w:rFonts w:ascii="Times New Roman" w:hAnsi="Times New Roman" w:cs="Times New Roman"/>
            </w:rPr>
            <w:fldChar w:fldCharType="begin"/>
          </w:r>
          <w:r w:rsidRPr="006572E4">
            <w:rPr>
              <w:rFonts w:ascii="Times New Roman" w:hAnsi="Times New Roman" w:cs="Times New Roman"/>
              <w:lang w:val="en-US"/>
            </w:rPr>
            <w:instrText xml:space="preserve"> CITATION Bar18 \l 1033 </w:instrText>
          </w:r>
          <w:r w:rsidRPr="006572E4">
            <w:rPr>
              <w:rFonts w:ascii="Times New Roman" w:hAnsi="Times New Roman" w:cs="Times New Roman"/>
            </w:rPr>
            <w:fldChar w:fldCharType="separate"/>
          </w:r>
          <w:r w:rsidRPr="006572E4">
            <w:rPr>
              <w:rFonts w:ascii="Times New Roman" w:hAnsi="Times New Roman" w:cs="Times New Roman"/>
              <w:noProof/>
              <w:lang w:val="en-US"/>
            </w:rPr>
            <w:t>(Baricco, 2018)</w:t>
          </w:r>
          <w:r w:rsidRPr="006572E4">
            <w:rPr>
              <w:rFonts w:ascii="Times New Roman" w:hAnsi="Times New Roman" w:cs="Times New Roman"/>
            </w:rP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rPr>
            <w:rFonts w:ascii="Times New Roman" w:hAnsi="Times New Roman" w:cs="Times New Roman"/>
          </w:rPr>
          <w:id w:val="2114165691"/>
          <w:citation/>
        </w:sdtPr>
        <w:sdtEndPr/>
        <w:sdtContent>
          <w:r w:rsidRPr="006572E4">
            <w:rPr>
              <w:rFonts w:ascii="Times New Roman" w:hAnsi="Times New Roman" w:cs="Times New Roman"/>
            </w:rPr>
            <w:fldChar w:fldCharType="begin"/>
          </w:r>
          <w:r w:rsidRPr="006572E4">
            <w:rPr>
              <w:rFonts w:ascii="Times New Roman" w:hAnsi="Times New Roman" w:cs="Times New Roman"/>
              <w:lang w:val="en-US"/>
            </w:rPr>
            <w:instrText xml:space="preserve"> CITATION Kno18 \l 1033 </w:instrText>
          </w:r>
          <w:r w:rsidRPr="006572E4">
            <w:rPr>
              <w:rFonts w:ascii="Times New Roman" w:hAnsi="Times New Roman" w:cs="Times New Roman"/>
            </w:rPr>
            <w:fldChar w:fldCharType="separate"/>
          </w:r>
          <w:r w:rsidRPr="006572E4">
            <w:rPr>
              <w:rFonts w:ascii="Times New Roman" w:hAnsi="Times New Roman" w:cs="Times New Roman"/>
              <w:noProof/>
              <w:lang w:val="en-US"/>
            </w:rPr>
            <w:t>(Knowles &amp; L. Hanson, 2018)</w:t>
          </w:r>
          <w:r w:rsidRPr="006572E4">
            <w:rPr>
              <w:rFonts w:ascii="Times New Roman" w:hAnsi="Times New Roman" w:cs="Times New Roman"/>
            </w:rP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rFonts w:ascii="Times New Roman" w:hAnsi="Times New Roman" w:cs="Times New Roman"/>
            <w:lang w:val="en-US"/>
          </w:rPr>
          <w:id w:val="-862672822"/>
          <w:citation/>
        </w:sdtPr>
        <w:sdtEndPr/>
        <w:sdtContent>
          <w:r w:rsidRPr="006572E4">
            <w:rPr>
              <w:rFonts w:ascii="Times New Roman" w:hAnsi="Times New Roman" w:cs="Times New Roman"/>
              <w:lang w:val="en-US"/>
            </w:rPr>
            <w:fldChar w:fldCharType="begin"/>
          </w:r>
          <w:r w:rsidRPr="006572E4">
            <w:rPr>
              <w:rFonts w:ascii="Times New Roman" w:hAnsi="Times New Roman" w:cs="Times New Roman"/>
              <w:lang w:val="en-US"/>
            </w:rPr>
            <w:instrText xml:space="preserve"> CITATION Pre01 \l 1033 </w:instrText>
          </w:r>
          <w:r w:rsidRPr="006572E4">
            <w:rPr>
              <w:rFonts w:ascii="Times New Roman" w:hAnsi="Times New Roman" w:cs="Times New Roman"/>
              <w:lang w:val="en-US"/>
            </w:rPr>
            <w:fldChar w:fldCharType="separate"/>
          </w:r>
          <w:r w:rsidRPr="006572E4">
            <w:rPr>
              <w:rFonts w:ascii="Times New Roman" w:hAnsi="Times New Roman" w:cs="Times New Roman"/>
              <w:noProof/>
              <w:lang w:val="en-US"/>
            </w:rPr>
            <w:t>(Prensky, 2001)</w:t>
          </w:r>
          <w:r w:rsidRPr="006572E4">
            <w:rPr>
              <w:rFonts w:ascii="Times New Roman" w:hAnsi="Times New Roman" w:cs="Times New Roman"/>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rPr>
            <w:rFonts w:ascii="Times New Roman" w:hAnsi="Times New Roman" w:cs="Times New Roman"/>
          </w:rPr>
          <w:id w:val="1325393413"/>
          <w:citation/>
        </w:sdtPr>
        <w:sdtEndPr/>
        <w:sdtContent>
          <w:r w:rsidRPr="00C755F6">
            <w:rPr>
              <w:rFonts w:ascii="Times New Roman" w:hAnsi="Times New Roman" w:cs="Times New Roman"/>
            </w:rPr>
            <w:fldChar w:fldCharType="begin"/>
          </w:r>
          <w:r w:rsidRPr="00C755F6">
            <w:rPr>
              <w:rFonts w:ascii="Times New Roman" w:hAnsi="Times New Roman" w:cs="Times New Roman"/>
              <w:lang w:val="en-US"/>
            </w:rPr>
            <w:instrText xml:space="preserve">CITATION Fou14 \l 1033 </w:instrText>
          </w:r>
          <w:r w:rsidRPr="00C755F6">
            <w:rPr>
              <w:rFonts w:ascii="Times New Roman" w:hAnsi="Times New Roman" w:cs="Times New Roman"/>
            </w:rPr>
            <w:fldChar w:fldCharType="separate"/>
          </w:r>
          <w:r w:rsidRPr="00C755F6">
            <w:rPr>
              <w:rFonts w:ascii="Times New Roman" w:hAnsi="Times New Roman" w:cs="Times New Roman"/>
              <w:noProof/>
              <w:lang w:val="en-US"/>
            </w:rPr>
            <w:t>(ECDL Foundation, 2014)</w:t>
          </w:r>
          <w:r w:rsidRPr="00C755F6">
            <w:rPr>
              <w:rFonts w:ascii="Times New Roman" w:hAnsi="Times New Roman" w:cs="Times New Roman"/>
            </w:rPr>
            <w:fldChar w:fldCharType="end"/>
          </w:r>
        </w:sdtContent>
      </w:sdt>
    </w:p>
  </w:footnote>
  <w:footnote w:id="6">
    <w:p w14:paraId="184FE576" w14:textId="25196E20" w:rsidR="00C36326" w:rsidRPr="00C755F6" w:rsidRDefault="00C36326">
      <w:pPr>
        <w:pStyle w:val="Testonotaapidipagina"/>
        <w:rPr>
          <w:rFonts w:ascii="Times New Roman" w:hAnsi="Times New Roman" w:cs="Times New Roman"/>
          <w:lang w:val="en-US"/>
        </w:rPr>
      </w:pPr>
      <w:r>
        <w:rPr>
          <w:rStyle w:val="Rimandonotaapidipagina"/>
        </w:rPr>
        <w:footnoteRef/>
      </w:r>
      <w:r w:rsidRPr="006B373F">
        <w:rPr>
          <w:lang w:val="en-US"/>
        </w:rPr>
        <w:t xml:space="preserve"> </w:t>
      </w:r>
      <w:sdt>
        <w:sdtPr>
          <w:rPr>
            <w:rFonts w:ascii="Times New Roman" w:hAnsi="Times New Roman" w:cs="Times New Roman"/>
          </w:rPr>
          <w:id w:val="364336150"/>
          <w:citation/>
        </w:sdtPr>
        <w:sdtEndPr/>
        <w:sdtContent>
          <w:r w:rsidRPr="00C755F6">
            <w:rPr>
              <w:rFonts w:ascii="Times New Roman" w:hAnsi="Times New Roman" w:cs="Times New Roman"/>
            </w:rPr>
            <w:fldChar w:fldCharType="begin"/>
          </w:r>
          <w:r w:rsidRPr="00C755F6">
            <w:rPr>
              <w:rFonts w:ascii="Times New Roman" w:hAnsi="Times New Roman" w:cs="Times New Roman"/>
              <w:lang w:val="en-US"/>
            </w:rPr>
            <w:instrText xml:space="preserve">CITATION Eri04 \l 1033 </w:instrText>
          </w:r>
          <w:r w:rsidRPr="00C755F6">
            <w:rPr>
              <w:rFonts w:ascii="Times New Roman" w:hAnsi="Times New Roman" w:cs="Times New Roman"/>
            </w:rPr>
            <w:fldChar w:fldCharType="separate"/>
          </w:r>
          <w:r w:rsidRPr="00C755F6">
            <w:rPr>
              <w:rFonts w:ascii="Times New Roman" w:hAnsi="Times New Roman" w:cs="Times New Roman"/>
              <w:noProof/>
              <w:lang w:val="en-US"/>
            </w:rPr>
            <w:t>(Stolterman &amp; Croon Fors, 2004)</w:t>
          </w:r>
          <w:r w:rsidRPr="00C755F6">
            <w:rPr>
              <w:rFonts w:ascii="Times New Roman" w:hAnsi="Times New Roman" w:cs="Times New Roman"/>
            </w:rPr>
            <w:fldChar w:fldCharType="end"/>
          </w:r>
        </w:sdtContent>
      </w:sdt>
    </w:p>
  </w:footnote>
  <w:footnote w:id="7">
    <w:p w14:paraId="0D857134" w14:textId="7AF03ECB" w:rsidR="00474C4C" w:rsidRPr="00C755F6" w:rsidRDefault="00474C4C">
      <w:pPr>
        <w:pStyle w:val="Testonotaapidipagina"/>
        <w:rPr>
          <w:rFonts w:ascii="Times New Roman" w:hAnsi="Times New Roman" w:cs="Times New Roman"/>
          <w:lang w:val="en-US"/>
        </w:rPr>
      </w:pPr>
      <w:r w:rsidRPr="00C755F6">
        <w:rPr>
          <w:rStyle w:val="Rimandonotaapidipagina"/>
          <w:rFonts w:ascii="Times New Roman" w:hAnsi="Times New Roman" w:cs="Times New Roman"/>
        </w:rPr>
        <w:footnoteRef/>
      </w:r>
      <w:r w:rsidRPr="00C755F6">
        <w:rPr>
          <w:rFonts w:ascii="Times New Roman" w:hAnsi="Times New Roman" w:cs="Times New Roman"/>
          <w:lang w:val="en-US"/>
        </w:rPr>
        <w:t xml:space="preserve"> </w:t>
      </w:r>
      <w:sdt>
        <w:sdtPr>
          <w:rPr>
            <w:rFonts w:ascii="Times New Roman" w:hAnsi="Times New Roman" w:cs="Times New Roman"/>
          </w:rPr>
          <w:id w:val="-931670718"/>
          <w:citation/>
        </w:sdtPr>
        <w:sdtEndPr/>
        <w:sdtContent>
          <w:r w:rsidRPr="00C755F6">
            <w:rPr>
              <w:rFonts w:ascii="Times New Roman" w:hAnsi="Times New Roman" w:cs="Times New Roman"/>
            </w:rPr>
            <w:fldChar w:fldCharType="begin"/>
          </w:r>
          <w:r w:rsidRPr="00C755F6">
            <w:rPr>
              <w:rFonts w:ascii="Times New Roman" w:hAnsi="Times New Roman" w:cs="Times New Roman"/>
              <w:lang w:val="en-US"/>
            </w:rPr>
            <w:instrText xml:space="preserve"> CITATION MOD \l 1033 </w:instrText>
          </w:r>
          <w:r w:rsidRPr="00C755F6">
            <w:rPr>
              <w:rFonts w:ascii="Times New Roman" w:hAnsi="Times New Roman" w:cs="Times New Roman"/>
            </w:rPr>
            <w:fldChar w:fldCharType="separate"/>
          </w:r>
          <w:r w:rsidRPr="00C755F6">
            <w:rPr>
              <w:rFonts w:ascii="Times New Roman" w:hAnsi="Times New Roman" w:cs="Times New Roman"/>
              <w:noProof/>
              <w:lang w:val="en-US"/>
            </w:rPr>
            <w:t>(MODERN LEARNING FOR THE DIGITAL ERA)</w:t>
          </w:r>
          <w:r w:rsidRPr="00C755F6">
            <w:rPr>
              <w:rFonts w:ascii="Times New Roman" w:hAnsi="Times New Roman" w:cs="Times New Roman"/>
            </w:rPr>
            <w:fldChar w:fldCharType="end"/>
          </w:r>
        </w:sdtContent>
      </w:sdt>
    </w:p>
  </w:footnote>
  <w:footnote w:id="8">
    <w:p w14:paraId="742D3A37" w14:textId="7077EFF6" w:rsidR="00001518" w:rsidRPr="00C755F6" w:rsidRDefault="00001518">
      <w:pPr>
        <w:pStyle w:val="Testonotaapidipagina"/>
        <w:rPr>
          <w:rFonts w:ascii="Times New Roman" w:hAnsi="Times New Roman" w:cs="Times New Roman"/>
          <w:lang w:val="en-US"/>
        </w:rPr>
      </w:pPr>
      <w:r w:rsidRPr="00C755F6">
        <w:rPr>
          <w:rStyle w:val="Rimandonotaapidipagina"/>
          <w:rFonts w:ascii="Times New Roman" w:hAnsi="Times New Roman" w:cs="Times New Roman"/>
        </w:rPr>
        <w:footnoteRef/>
      </w:r>
      <w:r w:rsidRPr="00C755F6">
        <w:rPr>
          <w:rFonts w:ascii="Times New Roman" w:hAnsi="Times New Roman" w:cs="Times New Roman"/>
          <w:lang w:val="en-US"/>
        </w:rPr>
        <w:t xml:space="preserve"> </w:t>
      </w:r>
      <w:sdt>
        <w:sdtPr>
          <w:rPr>
            <w:rFonts w:ascii="Times New Roman" w:hAnsi="Times New Roman" w:cs="Times New Roman"/>
          </w:rPr>
          <w:id w:val="1272670751"/>
          <w:citation/>
        </w:sdtPr>
        <w:sdtEndPr/>
        <w:sdtContent>
          <w:r w:rsidR="005954EB" w:rsidRPr="00C755F6">
            <w:rPr>
              <w:rFonts w:ascii="Times New Roman" w:hAnsi="Times New Roman" w:cs="Times New Roman"/>
            </w:rPr>
            <w:fldChar w:fldCharType="begin"/>
          </w:r>
          <w:r w:rsidR="005954EB" w:rsidRPr="00C755F6">
            <w:rPr>
              <w:rFonts w:ascii="Times New Roman" w:hAnsi="Times New Roman" w:cs="Times New Roman"/>
              <w:lang w:val="en-US"/>
            </w:rPr>
            <w:instrText xml:space="preserve"> CITATION OEC16 \l 1033 </w:instrText>
          </w:r>
          <w:r w:rsidR="005954EB" w:rsidRPr="00C755F6">
            <w:rPr>
              <w:rFonts w:ascii="Times New Roman" w:hAnsi="Times New Roman" w:cs="Times New Roman"/>
            </w:rPr>
            <w:fldChar w:fldCharType="separate"/>
          </w:r>
          <w:r w:rsidR="005954EB" w:rsidRPr="00C755F6">
            <w:rPr>
              <w:rFonts w:ascii="Times New Roman" w:hAnsi="Times New Roman" w:cs="Times New Roman"/>
              <w:noProof/>
              <w:lang w:val="en-US"/>
            </w:rPr>
            <w:t>(OECD, 2016)</w:t>
          </w:r>
          <w:r w:rsidR="005954EB" w:rsidRPr="00C755F6">
            <w:rPr>
              <w:rFonts w:ascii="Times New Roman" w:hAnsi="Times New Roman" w:cs="Times New Roman"/>
            </w:rPr>
            <w:fldChar w:fldCharType="end"/>
          </w:r>
        </w:sdtContent>
      </w:sdt>
    </w:p>
  </w:footnote>
  <w:footnote w:id="9">
    <w:p w14:paraId="1CF80DE7" w14:textId="1D3A8F3B" w:rsidR="00C40AC5" w:rsidRPr="00C40AC5" w:rsidRDefault="00C40AC5">
      <w:pPr>
        <w:pStyle w:val="Testonotaapidipagina"/>
        <w:rPr>
          <w:lang w:val="en-US"/>
        </w:rPr>
      </w:pPr>
      <w:r w:rsidRPr="00C755F6">
        <w:rPr>
          <w:rStyle w:val="Rimandonotaapidipagina"/>
          <w:rFonts w:ascii="Times New Roman" w:hAnsi="Times New Roman" w:cs="Times New Roman"/>
        </w:rPr>
        <w:footnoteRef/>
      </w:r>
      <w:r w:rsidRPr="00C755F6">
        <w:rPr>
          <w:rFonts w:ascii="Times New Roman" w:hAnsi="Times New Roman" w:cs="Times New Roman"/>
          <w:lang w:val="en-US"/>
        </w:rPr>
        <w:t xml:space="preserve"> </w:t>
      </w:r>
      <w:sdt>
        <w:sdtPr>
          <w:rPr>
            <w:rFonts w:ascii="Times New Roman" w:hAnsi="Times New Roman" w:cs="Times New Roman"/>
          </w:rPr>
          <w:id w:val="-1164547300"/>
          <w:citation/>
        </w:sdtPr>
        <w:sdtEndPr/>
        <w:sdtContent>
          <w:r w:rsidRPr="00C755F6">
            <w:rPr>
              <w:rFonts w:ascii="Times New Roman" w:hAnsi="Times New Roman" w:cs="Times New Roman"/>
            </w:rPr>
            <w:fldChar w:fldCharType="begin"/>
          </w:r>
          <w:r w:rsidRPr="00C755F6">
            <w:rPr>
              <w:rFonts w:ascii="Times New Roman" w:hAnsi="Times New Roman" w:cs="Times New Roman"/>
              <w:lang w:val="en-US"/>
            </w:rPr>
            <w:instrText xml:space="preserve"> CITATION OEC5k \l 1033 </w:instrText>
          </w:r>
          <w:r w:rsidRPr="00C755F6">
            <w:rPr>
              <w:rFonts w:ascii="Times New Roman" w:hAnsi="Times New Roman" w:cs="Times New Roman"/>
            </w:rPr>
            <w:fldChar w:fldCharType="separate"/>
          </w:r>
          <w:r w:rsidRPr="00C755F6">
            <w:rPr>
              <w:rFonts w:ascii="Times New Roman" w:hAnsi="Times New Roman" w:cs="Times New Roman"/>
              <w:noProof/>
              <w:lang w:val="en-US"/>
            </w:rPr>
            <w:t>(OECD, Students, Computers and Learning: Making the Connection, 2015k)</w:t>
          </w:r>
          <w:r w:rsidRPr="00C755F6">
            <w:rPr>
              <w:rFonts w:ascii="Times New Roman" w:hAnsi="Times New Roman" w:cs="Times New Roman"/>
            </w:rP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rPr>
            <w:rFonts w:ascii="Times New Roman" w:hAnsi="Times New Roman" w:cs="Times New Roman"/>
          </w:rPr>
          <w:id w:val="1477650687"/>
          <w:citation/>
        </w:sdtPr>
        <w:sdtEndPr/>
        <w:sdtContent>
          <w:r w:rsidRPr="00C755F6">
            <w:rPr>
              <w:rFonts w:ascii="Times New Roman" w:hAnsi="Times New Roman" w:cs="Times New Roman"/>
            </w:rPr>
            <w:fldChar w:fldCharType="begin"/>
          </w:r>
          <w:r w:rsidRPr="00C755F6">
            <w:rPr>
              <w:rFonts w:ascii="Times New Roman" w:hAnsi="Times New Roman" w:cs="Times New Roman"/>
              <w:lang w:val="en-US"/>
            </w:rPr>
            <w:instrText xml:space="preserve"> CITATION deC10 \l 1033 </w:instrText>
          </w:r>
          <w:r w:rsidRPr="00C755F6">
            <w:rPr>
              <w:rFonts w:ascii="Times New Roman" w:hAnsi="Times New Roman" w:cs="Times New Roman"/>
            </w:rPr>
            <w:fldChar w:fldCharType="separate"/>
          </w:r>
          <w:r w:rsidRPr="00C755F6">
            <w:rPr>
              <w:rFonts w:ascii="Times New Roman" w:hAnsi="Times New Roman" w:cs="Times New Roman"/>
              <w:noProof/>
              <w:lang w:val="en-US"/>
            </w:rPr>
            <w:t>(de Corte, (2010))</w:t>
          </w:r>
          <w:r w:rsidRPr="00C755F6">
            <w:rPr>
              <w:rFonts w:ascii="Times New Roman" w:hAnsi="Times New Roman" w:cs="Times New Roman"/>
            </w:rP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06D4"/>
    <w:rsid w:val="00001518"/>
    <w:rsid w:val="00001F86"/>
    <w:rsid w:val="00003B4C"/>
    <w:rsid w:val="00011D69"/>
    <w:rsid w:val="00022F7F"/>
    <w:rsid w:val="00024AF0"/>
    <w:rsid w:val="00024B32"/>
    <w:rsid w:val="00026CF0"/>
    <w:rsid w:val="000316F6"/>
    <w:rsid w:val="0003299C"/>
    <w:rsid w:val="00036412"/>
    <w:rsid w:val="00037BF9"/>
    <w:rsid w:val="000437C4"/>
    <w:rsid w:val="000456B4"/>
    <w:rsid w:val="00045789"/>
    <w:rsid w:val="000468ED"/>
    <w:rsid w:val="0004727B"/>
    <w:rsid w:val="00053FB6"/>
    <w:rsid w:val="00061ED8"/>
    <w:rsid w:val="000631E0"/>
    <w:rsid w:val="000709ED"/>
    <w:rsid w:val="00071FC2"/>
    <w:rsid w:val="000728D8"/>
    <w:rsid w:val="0007348F"/>
    <w:rsid w:val="00085E03"/>
    <w:rsid w:val="00086587"/>
    <w:rsid w:val="00087D3E"/>
    <w:rsid w:val="000920A8"/>
    <w:rsid w:val="00096FBE"/>
    <w:rsid w:val="00097EFA"/>
    <w:rsid w:val="000A2B01"/>
    <w:rsid w:val="000A4121"/>
    <w:rsid w:val="000A5C29"/>
    <w:rsid w:val="000B4925"/>
    <w:rsid w:val="000D25D5"/>
    <w:rsid w:val="000D27EE"/>
    <w:rsid w:val="000D418F"/>
    <w:rsid w:val="000D728C"/>
    <w:rsid w:val="000E0030"/>
    <w:rsid w:val="000E2032"/>
    <w:rsid w:val="000E5F8E"/>
    <w:rsid w:val="000E7A3E"/>
    <w:rsid w:val="000E7B52"/>
    <w:rsid w:val="000F2817"/>
    <w:rsid w:val="00100E43"/>
    <w:rsid w:val="00101AF3"/>
    <w:rsid w:val="00110AF4"/>
    <w:rsid w:val="00111F35"/>
    <w:rsid w:val="00116F4C"/>
    <w:rsid w:val="001222D2"/>
    <w:rsid w:val="00124317"/>
    <w:rsid w:val="0014324D"/>
    <w:rsid w:val="00147799"/>
    <w:rsid w:val="00150286"/>
    <w:rsid w:val="00161111"/>
    <w:rsid w:val="00161849"/>
    <w:rsid w:val="001639D7"/>
    <w:rsid w:val="00167CFF"/>
    <w:rsid w:val="00170526"/>
    <w:rsid w:val="001753E8"/>
    <w:rsid w:val="001761B5"/>
    <w:rsid w:val="0018354B"/>
    <w:rsid w:val="001852E0"/>
    <w:rsid w:val="0018742B"/>
    <w:rsid w:val="00197066"/>
    <w:rsid w:val="001A17F9"/>
    <w:rsid w:val="001A1C7B"/>
    <w:rsid w:val="001A300C"/>
    <w:rsid w:val="001A3965"/>
    <w:rsid w:val="001A6F66"/>
    <w:rsid w:val="001A7D9B"/>
    <w:rsid w:val="001B61EE"/>
    <w:rsid w:val="001C0765"/>
    <w:rsid w:val="001C7AD1"/>
    <w:rsid w:val="001D6FE4"/>
    <w:rsid w:val="001E1809"/>
    <w:rsid w:val="001E24E3"/>
    <w:rsid w:val="001E77AF"/>
    <w:rsid w:val="001F0353"/>
    <w:rsid w:val="001F0EC9"/>
    <w:rsid w:val="001F1F0E"/>
    <w:rsid w:val="002031A5"/>
    <w:rsid w:val="00204D7D"/>
    <w:rsid w:val="0020696B"/>
    <w:rsid w:val="00220876"/>
    <w:rsid w:val="002259AA"/>
    <w:rsid w:val="0022680E"/>
    <w:rsid w:val="00226CAF"/>
    <w:rsid w:val="002276D6"/>
    <w:rsid w:val="0023181D"/>
    <w:rsid w:val="00234688"/>
    <w:rsid w:val="002419A0"/>
    <w:rsid w:val="002477C1"/>
    <w:rsid w:val="00253194"/>
    <w:rsid w:val="00254BCC"/>
    <w:rsid w:val="00271028"/>
    <w:rsid w:val="0027708C"/>
    <w:rsid w:val="002839CE"/>
    <w:rsid w:val="002846AD"/>
    <w:rsid w:val="002902E5"/>
    <w:rsid w:val="00293656"/>
    <w:rsid w:val="002A3F9C"/>
    <w:rsid w:val="002A794D"/>
    <w:rsid w:val="002B13C9"/>
    <w:rsid w:val="002B38CC"/>
    <w:rsid w:val="002C5347"/>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3CA3"/>
    <w:rsid w:val="00336BA4"/>
    <w:rsid w:val="00342190"/>
    <w:rsid w:val="003427B7"/>
    <w:rsid w:val="003433D6"/>
    <w:rsid w:val="00346A57"/>
    <w:rsid w:val="003534F0"/>
    <w:rsid w:val="003553FF"/>
    <w:rsid w:val="003604C9"/>
    <w:rsid w:val="003639D1"/>
    <w:rsid w:val="00363CA9"/>
    <w:rsid w:val="003646E5"/>
    <w:rsid w:val="00374D8E"/>
    <w:rsid w:val="00376179"/>
    <w:rsid w:val="0037673A"/>
    <w:rsid w:val="00377923"/>
    <w:rsid w:val="00381BD4"/>
    <w:rsid w:val="0038550D"/>
    <w:rsid w:val="00394118"/>
    <w:rsid w:val="00397EE8"/>
    <w:rsid w:val="003A5D0B"/>
    <w:rsid w:val="003B2F5A"/>
    <w:rsid w:val="003B5CFD"/>
    <w:rsid w:val="003C0A82"/>
    <w:rsid w:val="003C5687"/>
    <w:rsid w:val="003C6870"/>
    <w:rsid w:val="003C729B"/>
    <w:rsid w:val="003D45D5"/>
    <w:rsid w:val="003D78F6"/>
    <w:rsid w:val="003E0EFA"/>
    <w:rsid w:val="003E4041"/>
    <w:rsid w:val="003F2059"/>
    <w:rsid w:val="004040F2"/>
    <w:rsid w:val="0040469E"/>
    <w:rsid w:val="00417808"/>
    <w:rsid w:val="004217D7"/>
    <w:rsid w:val="00426B72"/>
    <w:rsid w:val="00437611"/>
    <w:rsid w:val="00444230"/>
    <w:rsid w:val="00446326"/>
    <w:rsid w:val="00446423"/>
    <w:rsid w:val="0045385F"/>
    <w:rsid w:val="00453EE0"/>
    <w:rsid w:val="00453FDC"/>
    <w:rsid w:val="004567CF"/>
    <w:rsid w:val="00461C9A"/>
    <w:rsid w:val="00467F0D"/>
    <w:rsid w:val="00474C4C"/>
    <w:rsid w:val="00477995"/>
    <w:rsid w:val="004A0AE7"/>
    <w:rsid w:val="004A0C0D"/>
    <w:rsid w:val="004A13C5"/>
    <w:rsid w:val="004B5381"/>
    <w:rsid w:val="004B5CDD"/>
    <w:rsid w:val="004B5E00"/>
    <w:rsid w:val="004C7115"/>
    <w:rsid w:val="004D02EB"/>
    <w:rsid w:val="004D69E7"/>
    <w:rsid w:val="004F22FE"/>
    <w:rsid w:val="004F2553"/>
    <w:rsid w:val="004F7C85"/>
    <w:rsid w:val="0050310F"/>
    <w:rsid w:val="00506978"/>
    <w:rsid w:val="00506FCA"/>
    <w:rsid w:val="005108F7"/>
    <w:rsid w:val="0051103F"/>
    <w:rsid w:val="00512F5F"/>
    <w:rsid w:val="00513634"/>
    <w:rsid w:val="00517C4D"/>
    <w:rsid w:val="00526651"/>
    <w:rsid w:val="0053121D"/>
    <w:rsid w:val="005337E1"/>
    <w:rsid w:val="00535FAC"/>
    <w:rsid w:val="00542B34"/>
    <w:rsid w:val="00545808"/>
    <w:rsid w:val="00551C76"/>
    <w:rsid w:val="00552647"/>
    <w:rsid w:val="00553299"/>
    <w:rsid w:val="005564DC"/>
    <w:rsid w:val="00557048"/>
    <w:rsid w:val="005612C3"/>
    <w:rsid w:val="00567499"/>
    <w:rsid w:val="0057170B"/>
    <w:rsid w:val="00580051"/>
    <w:rsid w:val="00593F4D"/>
    <w:rsid w:val="00594C42"/>
    <w:rsid w:val="005954EB"/>
    <w:rsid w:val="005A0F19"/>
    <w:rsid w:val="005A2012"/>
    <w:rsid w:val="005A381A"/>
    <w:rsid w:val="005B2B75"/>
    <w:rsid w:val="005B2F7B"/>
    <w:rsid w:val="005C0211"/>
    <w:rsid w:val="005C41D4"/>
    <w:rsid w:val="005C686B"/>
    <w:rsid w:val="005D09C5"/>
    <w:rsid w:val="005D0D31"/>
    <w:rsid w:val="005D21A3"/>
    <w:rsid w:val="005E5CE4"/>
    <w:rsid w:val="005E7006"/>
    <w:rsid w:val="005F3C0D"/>
    <w:rsid w:val="005F429D"/>
    <w:rsid w:val="005F6399"/>
    <w:rsid w:val="006027FE"/>
    <w:rsid w:val="0060767A"/>
    <w:rsid w:val="00610A42"/>
    <w:rsid w:val="00610E9F"/>
    <w:rsid w:val="00610F4C"/>
    <w:rsid w:val="00612B59"/>
    <w:rsid w:val="00614B0A"/>
    <w:rsid w:val="00617E98"/>
    <w:rsid w:val="006255E2"/>
    <w:rsid w:val="006270EE"/>
    <w:rsid w:val="00631164"/>
    <w:rsid w:val="00631A57"/>
    <w:rsid w:val="0063679D"/>
    <w:rsid w:val="00637242"/>
    <w:rsid w:val="00641392"/>
    <w:rsid w:val="006434C8"/>
    <w:rsid w:val="00653790"/>
    <w:rsid w:val="006552A1"/>
    <w:rsid w:val="006572E4"/>
    <w:rsid w:val="006652DC"/>
    <w:rsid w:val="00666E13"/>
    <w:rsid w:val="006701A4"/>
    <w:rsid w:val="00673062"/>
    <w:rsid w:val="0067311C"/>
    <w:rsid w:val="0067506A"/>
    <w:rsid w:val="00676062"/>
    <w:rsid w:val="0068228F"/>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E63"/>
    <w:rsid w:val="00716F37"/>
    <w:rsid w:val="00720552"/>
    <w:rsid w:val="00720691"/>
    <w:rsid w:val="0072186E"/>
    <w:rsid w:val="00724CF6"/>
    <w:rsid w:val="00724ECD"/>
    <w:rsid w:val="00730605"/>
    <w:rsid w:val="0073251F"/>
    <w:rsid w:val="00743105"/>
    <w:rsid w:val="007455FD"/>
    <w:rsid w:val="007526F8"/>
    <w:rsid w:val="0075306D"/>
    <w:rsid w:val="00754B5B"/>
    <w:rsid w:val="007565D9"/>
    <w:rsid w:val="00775878"/>
    <w:rsid w:val="0078176D"/>
    <w:rsid w:val="007834A0"/>
    <w:rsid w:val="007952B6"/>
    <w:rsid w:val="007A2E75"/>
    <w:rsid w:val="007B1853"/>
    <w:rsid w:val="007B5CAD"/>
    <w:rsid w:val="007B751E"/>
    <w:rsid w:val="007C0FCC"/>
    <w:rsid w:val="007D6AF6"/>
    <w:rsid w:val="007E3A90"/>
    <w:rsid w:val="007F16DA"/>
    <w:rsid w:val="007F1F53"/>
    <w:rsid w:val="007F27C7"/>
    <w:rsid w:val="007F49DB"/>
    <w:rsid w:val="007F6B4D"/>
    <w:rsid w:val="007F7931"/>
    <w:rsid w:val="00800893"/>
    <w:rsid w:val="00801958"/>
    <w:rsid w:val="008023AE"/>
    <w:rsid w:val="0080492D"/>
    <w:rsid w:val="00812435"/>
    <w:rsid w:val="00814DDF"/>
    <w:rsid w:val="008202A3"/>
    <w:rsid w:val="00822C98"/>
    <w:rsid w:val="00824CC0"/>
    <w:rsid w:val="00831503"/>
    <w:rsid w:val="008328DE"/>
    <w:rsid w:val="00846243"/>
    <w:rsid w:val="00847673"/>
    <w:rsid w:val="00850992"/>
    <w:rsid w:val="00852E41"/>
    <w:rsid w:val="00857FFC"/>
    <w:rsid w:val="008608A2"/>
    <w:rsid w:val="008609AD"/>
    <w:rsid w:val="00860F0A"/>
    <w:rsid w:val="00862083"/>
    <w:rsid w:val="00864EFC"/>
    <w:rsid w:val="008707CA"/>
    <w:rsid w:val="00870A18"/>
    <w:rsid w:val="00875B0C"/>
    <w:rsid w:val="00881229"/>
    <w:rsid w:val="00886237"/>
    <w:rsid w:val="008A0F6B"/>
    <w:rsid w:val="008A1621"/>
    <w:rsid w:val="008A301F"/>
    <w:rsid w:val="008A71E8"/>
    <w:rsid w:val="008B3555"/>
    <w:rsid w:val="008B5076"/>
    <w:rsid w:val="008B582F"/>
    <w:rsid w:val="008B7773"/>
    <w:rsid w:val="008C1E25"/>
    <w:rsid w:val="008C751B"/>
    <w:rsid w:val="008D0ED5"/>
    <w:rsid w:val="008D14D9"/>
    <w:rsid w:val="008D1EE3"/>
    <w:rsid w:val="008E67D1"/>
    <w:rsid w:val="008F044C"/>
    <w:rsid w:val="008F7DF8"/>
    <w:rsid w:val="00917FD3"/>
    <w:rsid w:val="0092472A"/>
    <w:rsid w:val="0092689B"/>
    <w:rsid w:val="00927A71"/>
    <w:rsid w:val="009379C6"/>
    <w:rsid w:val="0094629D"/>
    <w:rsid w:val="00954086"/>
    <w:rsid w:val="0096167C"/>
    <w:rsid w:val="00964075"/>
    <w:rsid w:val="00970440"/>
    <w:rsid w:val="0097215B"/>
    <w:rsid w:val="00983638"/>
    <w:rsid w:val="00984F74"/>
    <w:rsid w:val="009926AF"/>
    <w:rsid w:val="00992756"/>
    <w:rsid w:val="00992A61"/>
    <w:rsid w:val="0099314B"/>
    <w:rsid w:val="0099380F"/>
    <w:rsid w:val="009A05FB"/>
    <w:rsid w:val="009B28E8"/>
    <w:rsid w:val="009C3CB8"/>
    <w:rsid w:val="009E1516"/>
    <w:rsid w:val="009E2337"/>
    <w:rsid w:val="009E2876"/>
    <w:rsid w:val="009E6B0F"/>
    <w:rsid w:val="009E7886"/>
    <w:rsid w:val="009F09A3"/>
    <w:rsid w:val="009F0D9E"/>
    <w:rsid w:val="00A00575"/>
    <w:rsid w:val="00A01376"/>
    <w:rsid w:val="00A017FE"/>
    <w:rsid w:val="00A0330E"/>
    <w:rsid w:val="00A0506B"/>
    <w:rsid w:val="00A05B6E"/>
    <w:rsid w:val="00A16EB8"/>
    <w:rsid w:val="00A178AC"/>
    <w:rsid w:val="00A22341"/>
    <w:rsid w:val="00A37B38"/>
    <w:rsid w:val="00A416E0"/>
    <w:rsid w:val="00A45973"/>
    <w:rsid w:val="00A47402"/>
    <w:rsid w:val="00A50B58"/>
    <w:rsid w:val="00A51A23"/>
    <w:rsid w:val="00A52524"/>
    <w:rsid w:val="00A54CF3"/>
    <w:rsid w:val="00A57097"/>
    <w:rsid w:val="00A622DA"/>
    <w:rsid w:val="00A72DB9"/>
    <w:rsid w:val="00A7786A"/>
    <w:rsid w:val="00A834BE"/>
    <w:rsid w:val="00A910C4"/>
    <w:rsid w:val="00AA12D3"/>
    <w:rsid w:val="00AA5D9B"/>
    <w:rsid w:val="00AA7CFF"/>
    <w:rsid w:val="00AB1BDA"/>
    <w:rsid w:val="00AC2028"/>
    <w:rsid w:val="00AC4EDA"/>
    <w:rsid w:val="00AC60E8"/>
    <w:rsid w:val="00AD3BDF"/>
    <w:rsid w:val="00AD6D9A"/>
    <w:rsid w:val="00AE0DDC"/>
    <w:rsid w:val="00AE29B3"/>
    <w:rsid w:val="00AE2A58"/>
    <w:rsid w:val="00AE4697"/>
    <w:rsid w:val="00AE61A2"/>
    <w:rsid w:val="00AF18F1"/>
    <w:rsid w:val="00AF2B50"/>
    <w:rsid w:val="00AF4501"/>
    <w:rsid w:val="00AF5786"/>
    <w:rsid w:val="00B017B8"/>
    <w:rsid w:val="00B068C0"/>
    <w:rsid w:val="00B23DD7"/>
    <w:rsid w:val="00B350D4"/>
    <w:rsid w:val="00B35BF6"/>
    <w:rsid w:val="00B37F48"/>
    <w:rsid w:val="00B4651F"/>
    <w:rsid w:val="00B47FC8"/>
    <w:rsid w:val="00B51FC8"/>
    <w:rsid w:val="00B529E4"/>
    <w:rsid w:val="00B54D78"/>
    <w:rsid w:val="00B62916"/>
    <w:rsid w:val="00B651EF"/>
    <w:rsid w:val="00B66A6F"/>
    <w:rsid w:val="00B67C37"/>
    <w:rsid w:val="00B67D34"/>
    <w:rsid w:val="00B74652"/>
    <w:rsid w:val="00B764DC"/>
    <w:rsid w:val="00B824BE"/>
    <w:rsid w:val="00B85CDB"/>
    <w:rsid w:val="00B87722"/>
    <w:rsid w:val="00B942D1"/>
    <w:rsid w:val="00B96540"/>
    <w:rsid w:val="00B97847"/>
    <w:rsid w:val="00BA108B"/>
    <w:rsid w:val="00BA40B7"/>
    <w:rsid w:val="00BA534B"/>
    <w:rsid w:val="00BA7F17"/>
    <w:rsid w:val="00BB0DCB"/>
    <w:rsid w:val="00BB6D99"/>
    <w:rsid w:val="00BC2B20"/>
    <w:rsid w:val="00BC3266"/>
    <w:rsid w:val="00BD6316"/>
    <w:rsid w:val="00BE4AB3"/>
    <w:rsid w:val="00BE60D1"/>
    <w:rsid w:val="00BE7BE5"/>
    <w:rsid w:val="00BF2DB0"/>
    <w:rsid w:val="00BF316F"/>
    <w:rsid w:val="00BF3DA3"/>
    <w:rsid w:val="00C06556"/>
    <w:rsid w:val="00C06CA5"/>
    <w:rsid w:val="00C077A0"/>
    <w:rsid w:val="00C10AAF"/>
    <w:rsid w:val="00C132A2"/>
    <w:rsid w:val="00C16548"/>
    <w:rsid w:val="00C2029B"/>
    <w:rsid w:val="00C20D90"/>
    <w:rsid w:val="00C24C73"/>
    <w:rsid w:val="00C25EC2"/>
    <w:rsid w:val="00C3566A"/>
    <w:rsid w:val="00C36326"/>
    <w:rsid w:val="00C40AC5"/>
    <w:rsid w:val="00C56D02"/>
    <w:rsid w:val="00C63724"/>
    <w:rsid w:val="00C63F03"/>
    <w:rsid w:val="00C651B4"/>
    <w:rsid w:val="00C65BF6"/>
    <w:rsid w:val="00C71EA0"/>
    <w:rsid w:val="00C738FE"/>
    <w:rsid w:val="00C755F6"/>
    <w:rsid w:val="00C82CA9"/>
    <w:rsid w:val="00C8516D"/>
    <w:rsid w:val="00C9073B"/>
    <w:rsid w:val="00C93FD1"/>
    <w:rsid w:val="00C95C8A"/>
    <w:rsid w:val="00CA11B5"/>
    <w:rsid w:val="00CA29FD"/>
    <w:rsid w:val="00CB00DB"/>
    <w:rsid w:val="00CB05F9"/>
    <w:rsid w:val="00CB23AC"/>
    <w:rsid w:val="00CB6B9F"/>
    <w:rsid w:val="00CC3B52"/>
    <w:rsid w:val="00CC76CB"/>
    <w:rsid w:val="00CD540E"/>
    <w:rsid w:val="00CE3CE4"/>
    <w:rsid w:val="00CF0DC6"/>
    <w:rsid w:val="00CF2619"/>
    <w:rsid w:val="00CF3EE1"/>
    <w:rsid w:val="00CF4635"/>
    <w:rsid w:val="00D06476"/>
    <w:rsid w:val="00D06E20"/>
    <w:rsid w:val="00D12966"/>
    <w:rsid w:val="00D156CE"/>
    <w:rsid w:val="00D15E9A"/>
    <w:rsid w:val="00D16124"/>
    <w:rsid w:val="00D21C56"/>
    <w:rsid w:val="00D30B2D"/>
    <w:rsid w:val="00D3120F"/>
    <w:rsid w:val="00D3169F"/>
    <w:rsid w:val="00D32BBD"/>
    <w:rsid w:val="00D34732"/>
    <w:rsid w:val="00D35DCD"/>
    <w:rsid w:val="00D35DFD"/>
    <w:rsid w:val="00D41369"/>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0D33"/>
    <w:rsid w:val="00DB13F1"/>
    <w:rsid w:val="00DB3C13"/>
    <w:rsid w:val="00DB4109"/>
    <w:rsid w:val="00DB5580"/>
    <w:rsid w:val="00DB7CE5"/>
    <w:rsid w:val="00DC2B66"/>
    <w:rsid w:val="00DD0029"/>
    <w:rsid w:val="00DD067A"/>
    <w:rsid w:val="00DD18AF"/>
    <w:rsid w:val="00DD23F5"/>
    <w:rsid w:val="00DD5A19"/>
    <w:rsid w:val="00DE026C"/>
    <w:rsid w:val="00DE0842"/>
    <w:rsid w:val="00DE22E0"/>
    <w:rsid w:val="00DE2651"/>
    <w:rsid w:val="00DF40DB"/>
    <w:rsid w:val="00E00CBB"/>
    <w:rsid w:val="00E0243E"/>
    <w:rsid w:val="00E048E4"/>
    <w:rsid w:val="00E05116"/>
    <w:rsid w:val="00E051C6"/>
    <w:rsid w:val="00E2118D"/>
    <w:rsid w:val="00E21AF7"/>
    <w:rsid w:val="00E241E4"/>
    <w:rsid w:val="00E25680"/>
    <w:rsid w:val="00E257F2"/>
    <w:rsid w:val="00E30383"/>
    <w:rsid w:val="00E30767"/>
    <w:rsid w:val="00E30DE4"/>
    <w:rsid w:val="00E3108C"/>
    <w:rsid w:val="00E32A73"/>
    <w:rsid w:val="00E439F2"/>
    <w:rsid w:val="00E44567"/>
    <w:rsid w:val="00E45E45"/>
    <w:rsid w:val="00E46C1A"/>
    <w:rsid w:val="00E512F2"/>
    <w:rsid w:val="00E60D26"/>
    <w:rsid w:val="00E6297F"/>
    <w:rsid w:val="00E62D03"/>
    <w:rsid w:val="00E7353F"/>
    <w:rsid w:val="00E7456E"/>
    <w:rsid w:val="00E7496C"/>
    <w:rsid w:val="00E81146"/>
    <w:rsid w:val="00E826F5"/>
    <w:rsid w:val="00E87140"/>
    <w:rsid w:val="00E8723C"/>
    <w:rsid w:val="00E90F3A"/>
    <w:rsid w:val="00EA2577"/>
    <w:rsid w:val="00EA2A1D"/>
    <w:rsid w:val="00EA4563"/>
    <w:rsid w:val="00EA50B9"/>
    <w:rsid w:val="00EA6BEC"/>
    <w:rsid w:val="00EB6906"/>
    <w:rsid w:val="00EC2FB9"/>
    <w:rsid w:val="00EC6748"/>
    <w:rsid w:val="00EC73CD"/>
    <w:rsid w:val="00ED103B"/>
    <w:rsid w:val="00ED536D"/>
    <w:rsid w:val="00ED62BD"/>
    <w:rsid w:val="00ED7181"/>
    <w:rsid w:val="00EE0427"/>
    <w:rsid w:val="00EE2D79"/>
    <w:rsid w:val="00EE34C2"/>
    <w:rsid w:val="00EE72DC"/>
    <w:rsid w:val="00EF41FC"/>
    <w:rsid w:val="00F015F2"/>
    <w:rsid w:val="00F01EDC"/>
    <w:rsid w:val="00F07BB8"/>
    <w:rsid w:val="00F12390"/>
    <w:rsid w:val="00F13CAF"/>
    <w:rsid w:val="00F1407B"/>
    <w:rsid w:val="00F141B9"/>
    <w:rsid w:val="00F157FA"/>
    <w:rsid w:val="00F205A3"/>
    <w:rsid w:val="00F2336B"/>
    <w:rsid w:val="00F26517"/>
    <w:rsid w:val="00F31347"/>
    <w:rsid w:val="00F32BA6"/>
    <w:rsid w:val="00F35741"/>
    <w:rsid w:val="00F35B08"/>
    <w:rsid w:val="00F371A2"/>
    <w:rsid w:val="00F42557"/>
    <w:rsid w:val="00F46919"/>
    <w:rsid w:val="00F476B5"/>
    <w:rsid w:val="00F52310"/>
    <w:rsid w:val="00F54857"/>
    <w:rsid w:val="00F569A6"/>
    <w:rsid w:val="00F65275"/>
    <w:rsid w:val="00F753D3"/>
    <w:rsid w:val="00F835C0"/>
    <w:rsid w:val="00F83CB6"/>
    <w:rsid w:val="00F83E6B"/>
    <w:rsid w:val="00F87D4A"/>
    <w:rsid w:val="00F9620A"/>
    <w:rsid w:val="00FA3A69"/>
    <w:rsid w:val="00FA457C"/>
    <w:rsid w:val="00FA48DF"/>
    <w:rsid w:val="00FA5294"/>
    <w:rsid w:val="00FA7F56"/>
    <w:rsid w:val="00FB0178"/>
    <w:rsid w:val="00FB4257"/>
    <w:rsid w:val="00FC0601"/>
    <w:rsid w:val="00FC31A3"/>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386221267">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486675469">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568347252">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3716</Words>
  <Characters>21186</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g.carbone8@campus.unimib.it</cp:lastModifiedBy>
  <cp:revision>627</cp:revision>
  <cp:lastPrinted>2021-12-28T22:33:00Z</cp:lastPrinted>
  <dcterms:created xsi:type="dcterms:W3CDTF">2021-12-11T11:41:00Z</dcterms:created>
  <dcterms:modified xsi:type="dcterms:W3CDTF">2021-12-30T18:51:00Z</dcterms:modified>
</cp:coreProperties>
</file>