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80D0" w14:textId="77777777" w:rsidR="00FB20FC" w:rsidRPr="008D1AAD" w:rsidRDefault="00FB20FC" w:rsidP="005758F9">
      <w:pPr>
        <w:jc w:val="both"/>
        <w:rPr>
          <w:b/>
          <w:bCs/>
          <w:sz w:val="28"/>
          <w:szCs w:val="28"/>
          <w:lang w:val="en-US"/>
        </w:rPr>
      </w:pPr>
      <w:r w:rsidRPr="008D1AAD">
        <w:rPr>
          <w:b/>
          <w:bCs/>
          <w:sz w:val="28"/>
          <w:szCs w:val="28"/>
          <w:lang w:val="en-US"/>
        </w:rPr>
        <w:t>A Systemic Framework for Assessing the Risk of Decarbonization to Regional Manufacturing Activities in the European Union</w:t>
      </w:r>
    </w:p>
    <w:p w14:paraId="1A2C9849" w14:textId="3EB36251" w:rsidR="00FB20FC" w:rsidRPr="00FB20FC" w:rsidRDefault="00FB20FC" w:rsidP="005758F9">
      <w:pPr>
        <w:jc w:val="both"/>
        <w:rPr>
          <w:lang w:val="en-US"/>
        </w:rPr>
      </w:pPr>
      <w:r>
        <w:rPr>
          <w:lang w:val="en-US"/>
        </w:rPr>
        <w:t>Updated Literature Review</w:t>
      </w:r>
    </w:p>
    <w:p w14:paraId="3BDAF193" w14:textId="77777777" w:rsidR="00FB20FC" w:rsidRDefault="00FB20FC" w:rsidP="005758F9">
      <w:pPr>
        <w:jc w:val="both"/>
        <w:rPr>
          <w:lang w:val="en-US"/>
        </w:rPr>
      </w:pPr>
      <w:r w:rsidRPr="00FB20FC">
        <w:rPr>
          <w:lang w:val="en-US"/>
        </w:rPr>
        <w:t>February 2026</w:t>
      </w:r>
    </w:p>
    <w:p w14:paraId="47A34232" w14:textId="77777777" w:rsidR="004B35D8" w:rsidRDefault="004B35D8" w:rsidP="005758F9">
      <w:pPr>
        <w:jc w:val="both"/>
        <w:rPr>
          <w:b/>
          <w:bCs/>
          <w:sz w:val="22"/>
          <w:szCs w:val="22"/>
          <w:lang w:val="en-US"/>
        </w:rPr>
      </w:pPr>
    </w:p>
    <w:p w14:paraId="2CD8A687" w14:textId="1CBE327A" w:rsidR="004B35D8" w:rsidRPr="004B35D8" w:rsidRDefault="004B35D8" w:rsidP="005758F9">
      <w:pPr>
        <w:jc w:val="both"/>
        <w:rPr>
          <w:b/>
          <w:bCs/>
          <w:sz w:val="22"/>
          <w:szCs w:val="22"/>
          <w:lang w:val="en-US"/>
        </w:rPr>
      </w:pPr>
      <w:r w:rsidRPr="004B35D8">
        <w:rPr>
          <w:b/>
          <w:bCs/>
          <w:sz w:val="22"/>
          <w:szCs w:val="22"/>
          <w:lang w:val="en-US"/>
        </w:rPr>
        <w:t>Original literature review</w:t>
      </w:r>
    </w:p>
    <w:p w14:paraId="786899EF" w14:textId="77777777" w:rsidR="004B35D8" w:rsidRPr="004B35D8" w:rsidRDefault="004B35D8" w:rsidP="005758F9">
      <w:pPr>
        <w:jc w:val="both"/>
        <w:rPr>
          <w:sz w:val="22"/>
          <w:szCs w:val="22"/>
          <w:lang w:val="en-US"/>
        </w:rPr>
      </w:pPr>
      <w:r w:rsidRPr="004B35D8">
        <w:rPr>
          <w:sz w:val="22"/>
          <w:szCs w:val="22"/>
          <w:lang w:val="en-US"/>
        </w:rPr>
        <w:t xml:space="preserve">The concepts of vulnerability and risk are prevalent in climate change literature. Although much attention has been given to climate risks, the risks associated with decarbonization pathways – often termed "transition risks" – have not been sufficiently explored, particularly at the local level. Similarly, while socioeconomic vulnerability of local communities and regions to climate change has been the subject of growing interest within the climate change impact community, less attention has been paid to vulnerability at the industrial sector level (Lo et al., 2021), as most studies tend to focus on the economy as a whole (Eklund et al., 2023). </w:t>
      </w:r>
    </w:p>
    <w:p w14:paraId="5FE66BF2" w14:textId="77777777" w:rsidR="004B35D8" w:rsidRPr="004B35D8" w:rsidRDefault="004B35D8" w:rsidP="005758F9">
      <w:pPr>
        <w:jc w:val="both"/>
        <w:rPr>
          <w:sz w:val="22"/>
          <w:szCs w:val="22"/>
          <w:lang w:val="en-US"/>
        </w:rPr>
      </w:pPr>
      <w:r w:rsidRPr="004B35D8">
        <w:rPr>
          <w:sz w:val="22"/>
          <w:szCs w:val="22"/>
          <w:lang w:val="en-US"/>
        </w:rPr>
        <w:t>Yet, the few studies that consider the vulnerability of local businesses or specific economic sectors have mainly focused on the potential and realized physical impacts of climate change and how local enterprises can adapt (Lo et al., 2019). As a result, the vulnerability of regional economic activities has been mainly defined and understood as the sensitivity of business operations to changes in their environment from the risk of floods and sea-level rise (Davlasheridze &amp; Geylani, 2017; Song et al., 2016), to rising temperature affecting tourism (Brouder &amp; Lundmark, 2011).</w:t>
      </w:r>
    </w:p>
    <w:p w14:paraId="25C80200" w14:textId="77777777" w:rsidR="004B35D8" w:rsidRPr="004B35D8" w:rsidRDefault="004B35D8" w:rsidP="005758F9">
      <w:pPr>
        <w:jc w:val="both"/>
        <w:rPr>
          <w:sz w:val="22"/>
          <w:szCs w:val="22"/>
          <w:lang w:val="en-US"/>
        </w:rPr>
      </w:pPr>
      <w:r w:rsidRPr="004B35D8">
        <w:rPr>
          <w:sz w:val="22"/>
          <w:szCs w:val="22"/>
          <w:lang w:val="en-US"/>
        </w:rPr>
        <w:t>Previous studies have examined similar topics from various perspectives. In the European context, Rodríguez-Pose and Bartalucci (2024) identified regional impacts of the green transition across five sectors (transportation, energy, agriculture, tourism and industry), considering reliance on fossil-fuels and CO</w:t>
      </w:r>
      <w:r w:rsidRPr="004B35D8">
        <w:rPr>
          <w:sz w:val="22"/>
          <w:szCs w:val="22"/>
          <w:vertAlign w:val="subscript"/>
          <w:lang w:val="en-US"/>
        </w:rPr>
        <w:t>2</w:t>
      </w:r>
      <w:r w:rsidRPr="004B35D8">
        <w:rPr>
          <w:sz w:val="22"/>
          <w:szCs w:val="22"/>
          <w:lang w:val="en-US"/>
        </w:rPr>
        <w:t xml:space="preserve"> emissions as direct factors of vulnerability, and labor and capital reallocation as indirect factors of vulnerability. Focusing specifically on socioeconomic risk, Vrontisi et al. (2024) studied the impact on the change of domestic production in 2050 from 2015 levels for the fossil-fuel related sectors, in terms of employment in these sectors and a series of socio-economic regional characteristics. They identified EU regions that face heightened vulnerability during the low</w:t>
      </w:r>
      <w:r w:rsidRPr="004B35D8">
        <w:rPr>
          <w:rFonts w:ascii="Cambria Math" w:hAnsi="Cambria Math" w:cs="Cambria Math"/>
          <w:sz w:val="22"/>
          <w:szCs w:val="22"/>
          <w:lang w:val="en-US"/>
        </w:rPr>
        <w:t>‐</w:t>
      </w:r>
      <w:r w:rsidRPr="004B35D8">
        <w:rPr>
          <w:sz w:val="22"/>
          <w:szCs w:val="22"/>
          <w:lang w:val="en-US"/>
        </w:rPr>
        <w:t>carbon transition. In addition, McDowall et al. (2023) mapped regional vulnerability in Europe by developing an indicator to assess declining employment in four carbon-intensive industries. In the United States, Carley et al. (2018) and Hincapie-Ossa et al. (2023) assessed county-level vulnerability to the energy transition using machine learning approaches, while Graham and Knittel (2024) evaluated the distribution of employment vulnerability by employing carbon footprints.</w:t>
      </w:r>
    </w:p>
    <w:p w14:paraId="050180BC" w14:textId="77777777" w:rsidR="004B35D8" w:rsidRPr="004B35D8" w:rsidRDefault="004B35D8" w:rsidP="005758F9">
      <w:pPr>
        <w:jc w:val="both"/>
        <w:rPr>
          <w:sz w:val="22"/>
          <w:szCs w:val="22"/>
          <w:lang w:val="en-US"/>
        </w:rPr>
      </w:pPr>
      <w:r w:rsidRPr="004B35D8">
        <w:rPr>
          <w:sz w:val="22"/>
          <w:szCs w:val="22"/>
          <w:lang w:val="en-US"/>
        </w:rPr>
        <w:t xml:space="preserve">Case studies further enrich this discussion. Voßbeck and Fastenrath (2024) investigated the resilience of regional industrial decarbonization pathways with insights from the building materials industry in Lower Austria, and Sasse and Trutnevyte (2023) demonstrated that a low-carbon electricity sector in Europe risks sustaining regional inequalities in benefits and vulnerabilities. </w:t>
      </w:r>
      <w:r w:rsidRPr="004B35D8">
        <w:rPr>
          <w:sz w:val="22"/>
          <w:szCs w:val="22"/>
          <w:lang w:val="en-US"/>
        </w:rPr>
        <w:lastRenderedPageBreak/>
        <w:t xml:space="preserve">Moreover, Jäger (2023) examined EU policies affecting energy-intensive industries, highlighting challenges at the sectoral level even when not directly focusing on regional disparities. </w:t>
      </w:r>
    </w:p>
    <w:p w14:paraId="25B471C2" w14:textId="77777777" w:rsidR="004B35D8" w:rsidRPr="004B35D8" w:rsidRDefault="004B35D8" w:rsidP="005758F9">
      <w:pPr>
        <w:jc w:val="both"/>
        <w:rPr>
          <w:sz w:val="22"/>
          <w:szCs w:val="22"/>
          <w:lang w:val="en-US"/>
        </w:rPr>
      </w:pPr>
      <w:r w:rsidRPr="004B35D8">
        <w:rPr>
          <w:sz w:val="22"/>
          <w:szCs w:val="22"/>
          <w:lang w:val="en-US"/>
        </w:rPr>
        <w:t xml:space="preserve">When it comes to local industry vulnerability, most existing studies have concentrated on the impacts of climate hazards on business operations. For instance, Davlasheridze and Geylani (2017) investigated the vulnerability of small businesses to floods and the mitigating effects of disaster loans, whereas Song et al. (2016) developed a theoretical framework for assessing the integrated vulnerability of enterprises to sea level rise. Similarly, Brouder and Lundmark (2011) explored intra-regional perceptions of vulnerability among winter-oriented tourism businesses in Northern Sweden. Against this backdrop, the concept of business vulnerability and risk can be expanded to measure the readiness of local industry to embrace decarbonization and transition to a greener economy. In this sense, vulnerability to decarbonization encompasses how businesses are prepared for a green transition. </w:t>
      </w:r>
    </w:p>
    <w:p w14:paraId="167CE191" w14:textId="77777777" w:rsidR="004B35D8" w:rsidRPr="004B35D8" w:rsidRDefault="004B35D8" w:rsidP="005758F9">
      <w:pPr>
        <w:jc w:val="both"/>
        <w:rPr>
          <w:sz w:val="22"/>
          <w:szCs w:val="22"/>
          <w:lang w:val="en-US"/>
        </w:rPr>
      </w:pPr>
      <w:r w:rsidRPr="004B35D8">
        <w:rPr>
          <w:sz w:val="22"/>
          <w:szCs w:val="22"/>
          <w:lang w:val="en-US"/>
        </w:rPr>
        <w:t>Vulnerability, however, is only one component of risk. The Sixth Assessment Report of IPCC (AR6) defines climate-related risks as a function of vulnerability, hazard, and exposure (IPCC, 2023). Here we adopt a reformulation of the IPCC risk assessment framework to study decarbonization risk instead of climate change risk, like some of the previous studies in this domain (Vrontisi et al., 2024; McDowall et al., 2023; Carley et al., 2018).</w:t>
      </w:r>
    </w:p>
    <w:p w14:paraId="516A5C6D" w14:textId="77777777" w:rsidR="004B35D8" w:rsidRPr="004B35D8" w:rsidRDefault="004B35D8" w:rsidP="005758F9">
      <w:pPr>
        <w:jc w:val="both"/>
        <w:rPr>
          <w:b/>
          <w:bCs/>
          <w:sz w:val="22"/>
          <w:szCs w:val="22"/>
          <w:lang w:val="en-US"/>
        </w:rPr>
      </w:pPr>
    </w:p>
    <w:p w14:paraId="4ACF1256" w14:textId="77777777" w:rsidR="002A5FA6" w:rsidRDefault="002A5FA6" w:rsidP="005758F9">
      <w:pPr>
        <w:jc w:val="both"/>
        <w:rPr>
          <w:b/>
          <w:bCs/>
          <w:sz w:val="22"/>
          <w:szCs w:val="22"/>
          <w:lang w:val="en-US"/>
        </w:rPr>
      </w:pPr>
      <w:r>
        <w:rPr>
          <w:b/>
          <w:bCs/>
          <w:sz w:val="22"/>
          <w:szCs w:val="22"/>
          <w:lang w:val="en-US"/>
        </w:rPr>
        <w:br w:type="page"/>
      </w:r>
    </w:p>
    <w:p w14:paraId="15AFC8CE" w14:textId="3148A42D" w:rsidR="00FB20FC" w:rsidRDefault="004B35D8" w:rsidP="005758F9">
      <w:pPr>
        <w:jc w:val="both"/>
        <w:rPr>
          <w:b/>
          <w:bCs/>
          <w:sz w:val="22"/>
          <w:szCs w:val="22"/>
          <w:lang w:val="en-US"/>
        </w:rPr>
      </w:pPr>
      <w:r w:rsidRPr="004B35D8">
        <w:rPr>
          <w:b/>
          <w:bCs/>
          <w:sz w:val="22"/>
          <w:szCs w:val="22"/>
          <w:lang w:val="en-US"/>
        </w:rPr>
        <w:lastRenderedPageBreak/>
        <w:t>Literature specific to transition risk for industry and regions</w:t>
      </w:r>
    </w:p>
    <w:p w14:paraId="7D033F0F" w14:textId="37DE649C" w:rsidR="008D2D7C" w:rsidRDefault="009E251F" w:rsidP="005758F9">
      <w:pPr>
        <w:jc w:val="both"/>
        <w:rPr>
          <w:sz w:val="22"/>
          <w:szCs w:val="22"/>
        </w:rPr>
      </w:pPr>
      <w:r w:rsidRPr="009E251F">
        <w:rPr>
          <w:sz w:val="22"/>
          <w:szCs w:val="22"/>
        </w:rPr>
        <w:t>Transition risk</w:t>
      </w:r>
      <w:r w:rsidR="008D2D7C">
        <w:rPr>
          <w:sz w:val="22"/>
          <w:szCs w:val="22"/>
        </w:rPr>
        <w:t xml:space="preserve"> </w:t>
      </w:r>
      <w:r w:rsidR="00317EC7" w:rsidRPr="00317EC7">
        <w:rPr>
          <w:sz w:val="22"/>
          <w:szCs w:val="22"/>
        </w:rPr>
        <w:t xml:space="preserve">refers to the economic, financial, and social risks that arise </w:t>
      </w:r>
      <w:r w:rsidR="00317EC7">
        <w:rPr>
          <w:sz w:val="22"/>
          <w:szCs w:val="22"/>
        </w:rPr>
        <w:t xml:space="preserve">from </w:t>
      </w:r>
      <w:r w:rsidR="00317EC7" w:rsidRPr="00317EC7">
        <w:rPr>
          <w:sz w:val="22"/>
          <w:szCs w:val="22"/>
        </w:rPr>
        <w:t>rapid structural changes required for decarbonization industries</w:t>
      </w:r>
      <w:r>
        <w:rPr>
          <w:sz w:val="22"/>
          <w:szCs w:val="22"/>
        </w:rPr>
        <w:t xml:space="preserve"> associated with moving </w:t>
      </w:r>
      <w:r w:rsidR="00317EC7" w:rsidRPr="00317EC7">
        <w:rPr>
          <w:sz w:val="22"/>
          <w:szCs w:val="22"/>
        </w:rPr>
        <w:t>to low-carbon</w:t>
      </w:r>
      <w:r>
        <w:rPr>
          <w:sz w:val="22"/>
          <w:szCs w:val="22"/>
        </w:rPr>
        <w:t xml:space="preserve"> economy</w:t>
      </w:r>
      <w:r w:rsidR="00317EC7" w:rsidRPr="00317EC7">
        <w:rPr>
          <w:sz w:val="22"/>
          <w:szCs w:val="22"/>
        </w:rPr>
        <w:t xml:space="preserve">. </w:t>
      </w:r>
      <w:r w:rsidR="008D2D7C">
        <w:rPr>
          <w:sz w:val="22"/>
          <w:szCs w:val="22"/>
        </w:rPr>
        <w:t>It is distinguished from physical climate risk, but can interact with it. Transition</w:t>
      </w:r>
      <w:r w:rsidR="00317EC7" w:rsidRPr="00317EC7">
        <w:rPr>
          <w:sz w:val="22"/>
          <w:szCs w:val="22"/>
        </w:rPr>
        <w:t xml:space="preserve"> risks are driven by policy changes (such as carbon pricing, emissions trading systems, and technology mandates), technological disruptions, market shifts, and evolving societal expectations</w:t>
      </w:r>
      <w:r w:rsidR="00BE1EB2">
        <w:rPr>
          <w:sz w:val="22"/>
          <w:szCs w:val="22"/>
        </w:rPr>
        <w:t xml:space="preserve">. The literature highlights that such risk is multifaced, encompassing </w:t>
      </w:r>
      <w:r w:rsidR="00317EC7" w:rsidRPr="00317EC7">
        <w:rPr>
          <w:sz w:val="22"/>
          <w:szCs w:val="22"/>
        </w:rPr>
        <w:t xml:space="preserve">asset stranding (e.g., obsolete plants), loss of competitiveness due to uneven global policies or carbon leakage risks (relocation of industry), financial instability from abrupt revaluations or defaults in </w:t>
      </w:r>
      <w:r w:rsidR="005C7860">
        <w:rPr>
          <w:sz w:val="22"/>
          <w:szCs w:val="22"/>
        </w:rPr>
        <w:t>declining</w:t>
      </w:r>
      <w:r w:rsidR="00317EC7" w:rsidRPr="00317EC7">
        <w:rPr>
          <w:sz w:val="22"/>
          <w:szCs w:val="22"/>
        </w:rPr>
        <w:t xml:space="preserve"> sectors (e.g., coal or steel), and social disruption including unemployment or regional decline</w:t>
      </w:r>
      <w:r w:rsidR="009425CA">
        <w:rPr>
          <w:sz w:val="22"/>
          <w:szCs w:val="22"/>
        </w:rPr>
        <w:t xml:space="preserve"> (</w:t>
      </w:r>
      <w:r w:rsidR="009425CA" w:rsidRPr="009425CA">
        <w:rPr>
          <w:sz w:val="22"/>
          <w:szCs w:val="22"/>
        </w:rPr>
        <w:t>Semieniuk</w:t>
      </w:r>
      <w:r w:rsidR="009425CA">
        <w:rPr>
          <w:sz w:val="22"/>
          <w:szCs w:val="22"/>
        </w:rPr>
        <w:t xml:space="preserve"> et al., 2020; </w:t>
      </w:r>
      <w:r w:rsidR="008D2D7C" w:rsidRPr="008D2D7C">
        <w:rPr>
          <w:sz w:val="22"/>
          <w:szCs w:val="22"/>
        </w:rPr>
        <w:t>Åhman</w:t>
      </w:r>
      <w:r w:rsidR="00C80CB7">
        <w:rPr>
          <w:sz w:val="22"/>
          <w:szCs w:val="22"/>
        </w:rPr>
        <w:t xml:space="preserve"> et al., 2017; Verrier and </w:t>
      </w:r>
      <w:r w:rsidR="00C80CB7" w:rsidRPr="00C80CB7">
        <w:rPr>
          <w:sz w:val="22"/>
          <w:szCs w:val="22"/>
        </w:rPr>
        <w:t>Strachan</w:t>
      </w:r>
      <w:r w:rsidR="00C80CB7">
        <w:rPr>
          <w:sz w:val="22"/>
          <w:szCs w:val="22"/>
        </w:rPr>
        <w:t>, 2024</w:t>
      </w:r>
      <w:r w:rsidR="009425CA">
        <w:rPr>
          <w:sz w:val="22"/>
          <w:szCs w:val="22"/>
        </w:rPr>
        <w:t>)</w:t>
      </w:r>
      <w:r w:rsidR="00317EC7" w:rsidRPr="00317EC7">
        <w:rPr>
          <w:sz w:val="22"/>
          <w:szCs w:val="22"/>
        </w:rPr>
        <w:t xml:space="preserve">. </w:t>
      </w:r>
    </w:p>
    <w:p w14:paraId="4D57F06E" w14:textId="67EB6973" w:rsidR="001F1F02" w:rsidRDefault="001F1F02" w:rsidP="005758F9">
      <w:pPr>
        <w:jc w:val="both"/>
        <w:rPr>
          <w:sz w:val="22"/>
          <w:szCs w:val="22"/>
        </w:rPr>
      </w:pPr>
      <w:r>
        <w:rPr>
          <w:sz w:val="22"/>
          <w:szCs w:val="22"/>
        </w:rPr>
        <w:t xml:space="preserve">The main climate policy instruments are </w:t>
      </w:r>
      <w:r w:rsidR="005C7860" w:rsidRPr="005C7860">
        <w:rPr>
          <w:sz w:val="22"/>
          <w:szCs w:val="22"/>
        </w:rPr>
        <w:t>emissions trading systems (ETS), carbon pricing, energy standards, carbon border adjustment mechanisms (CBAM), energy price reforms, and technology mandates.</w:t>
      </w:r>
      <w:r w:rsidR="005C7860">
        <w:rPr>
          <w:sz w:val="22"/>
          <w:szCs w:val="22"/>
        </w:rPr>
        <w:t xml:space="preserve"> </w:t>
      </w:r>
      <w:r>
        <w:rPr>
          <w:sz w:val="22"/>
          <w:szCs w:val="22"/>
        </w:rPr>
        <w:t xml:space="preserve">These might have a strong impact on certain regional and sectoral industrial realities. </w:t>
      </w:r>
      <w:r w:rsidR="005C7860" w:rsidRPr="005C7860">
        <w:rPr>
          <w:sz w:val="22"/>
          <w:szCs w:val="22"/>
        </w:rPr>
        <w:t>Widely used to internaliz</w:t>
      </w:r>
      <w:r>
        <w:rPr>
          <w:sz w:val="22"/>
          <w:szCs w:val="22"/>
        </w:rPr>
        <w:t xml:space="preserve"> </w:t>
      </w:r>
      <w:r w:rsidR="005C7860" w:rsidRPr="005C7860">
        <w:rPr>
          <w:sz w:val="22"/>
          <w:szCs w:val="22"/>
        </w:rPr>
        <w:t>e the cost of carbon emissions</w:t>
      </w:r>
      <w:r w:rsidR="005C7860">
        <w:rPr>
          <w:sz w:val="22"/>
          <w:szCs w:val="22"/>
        </w:rPr>
        <w:t xml:space="preserve">, </w:t>
      </w:r>
      <w:r w:rsidR="005C7860" w:rsidRPr="005C7860">
        <w:rPr>
          <w:sz w:val="22"/>
          <w:szCs w:val="22"/>
        </w:rPr>
        <w:t>emissions trading systems (ETS)</w:t>
      </w:r>
      <w:r w:rsidR="005C7860">
        <w:rPr>
          <w:sz w:val="22"/>
          <w:szCs w:val="22"/>
        </w:rPr>
        <w:t xml:space="preserve"> and</w:t>
      </w:r>
      <w:r w:rsidR="005C7860" w:rsidRPr="005C7860">
        <w:rPr>
          <w:sz w:val="22"/>
          <w:szCs w:val="22"/>
        </w:rPr>
        <w:t xml:space="preserve"> carbon pricing</w:t>
      </w:r>
      <w:r w:rsidR="005C7860">
        <w:rPr>
          <w:sz w:val="22"/>
          <w:szCs w:val="22"/>
        </w:rPr>
        <w:t xml:space="preserve"> c</w:t>
      </w:r>
      <w:r w:rsidR="005C7860" w:rsidRPr="005C7860">
        <w:rPr>
          <w:sz w:val="22"/>
          <w:szCs w:val="22"/>
        </w:rPr>
        <w:t>an drive innovation but may create short-term competitiveness or distributional challenges if not paired with compensatory measures</w:t>
      </w:r>
      <w:r w:rsidR="00C80CB7">
        <w:rPr>
          <w:sz w:val="22"/>
          <w:szCs w:val="22"/>
        </w:rPr>
        <w:t xml:space="preserve"> (</w:t>
      </w:r>
      <w:r w:rsidR="00C80CB7" w:rsidRPr="00C80CB7">
        <w:rPr>
          <w:sz w:val="22"/>
          <w:szCs w:val="22"/>
        </w:rPr>
        <w:t xml:space="preserve">Rissman </w:t>
      </w:r>
      <w:r w:rsidR="00C80CB7">
        <w:rPr>
          <w:sz w:val="22"/>
          <w:szCs w:val="22"/>
        </w:rPr>
        <w:t xml:space="preserve">et al., 2020; </w:t>
      </w:r>
      <w:r w:rsidR="00C80CB7" w:rsidRPr="00C80CB7">
        <w:rPr>
          <w:sz w:val="22"/>
          <w:szCs w:val="22"/>
        </w:rPr>
        <w:t>Bataille</w:t>
      </w:r>
      <w:r w:rsidR="00C80CB7">
        <w:rPr>
          <w:sz w:val="22"/>
          <w:szCs w:val="22"/>
        </w:rPr>
        <w:t xml:space="preserve">, 2020; </w:t>
      </w:r>
      <w:r w:rsidR="00C80CB7" w:rsidRPr="00C80CB7">
        <w:rPr>
          <w:sz w:val="22"/>
          <w:szCs w:val="22"/>
        </w:rPr>
        <w:t>Algers</w:t>
      </w:r>
      <w:r w:rsidR="00C80CB7">
        <w:rPr>
          <w:sz w:val="22"/>
          <w:szCs w:val="22"/>
        </w:rPr>
        <w:t xml:space="preserve"> and </w:t>
      </w:r>
      <w:r w:rsidR="00C80CB7" w:rsidRPr="00C80CB7">
        <w:rPr>
          <w:sz w:val="22"/>
          <w:szCs w:val="22"/>
        </w:rPr>
        <w:t>Åhman</w:t>
      </w:r>
      <w:r w:rsidR="00C80CB7">
        <w:rPr>
          <w:sz w:val="22"/>
          <w:szCs w:val="22"/>
        </w:rPr>
        <w:t>, 2024; Peñasco et al., 2021)</w:t>
      </w:r>
      <w:r w:rsidR="007F2747">
        <w:rPr>
          <w:sz w:val="22"/>
          <w:szCs w:val="22"/>
        </w:rPr>
        <w:t>.</w:t>
      </w:r>
    </w:p>
    <w:p w14:paraId="3292748C" w14:textId="0AAE5965" w:rsidR="005C7860" w:rsidRDefault="005C7860" w:rsidP="005758F9">
      <w:pPr>
        <w:jc w:val="both"/>
        <w:rPr>
          <w:sz w:val="22"/>
          <w:szCs w:val="22"/>
          <w:lang w:val="en-US"/>
        </w:rPr>
      </w:pPr>
      <w:r w:rsidRPr="005C7860">
        <w:rPr>
          <w:sz w:val="22"/>
          <w:szCs w:val="22"/>
        </w:rPr>
        <w:t>Distributional impacts are significant: while some regions or sectors may benefit from new opportunities (“sunrise” industries), others face decline (“sunset” industries) with associated job losses and economic challenges</w:t>
      </w:r>
      <w:r w:rsidR="00964736">
        <w:rPr>
          <w:sz w:val="22"/>
          <w:szCs w:val="22"/>
        </w:rPr>
        <w:t xml:space="preserve"> (</w:t>
      </w:r>
      <w:r w:rsidR="00964736" w:rsidRPr="00964736">
        <w:rPr>
          <w:sz w:val="22"/>
          <w:szCs w:val="22"/>
        </w:rPr>
        <w:t>Eicke</w:t>
      </w:r>
      <w:r w:rsidR="00964736">
        <w:rPr>
          <w:sz w:val="22"/>
          <w:szCs w:val="22"/>
        </w:rPr>
        <w:t xml:space="preserve"> and </w:t>
      </w:r>
      <w:r w:rsidR="00964736" w:rsidRPr="00964736">
        <w:rPr>
          <w:sz w:val="22"/>
          <w:szCs w:val="22"/>
        </w:rPr>
        <w:t>Goldthau</w:t>
      </w:r>
      <w:r w:rsidR="00964736">
        <w:rPr>
          <w:sz w:val="22"/>
          <w:szCs w:val="22"/>
        </w:rPr>
        <w:t>, 2021;</w:t>
      </w:r>
      <w:r w:rsidR="0037214B">
        <w:rPr>
          <w:sz w:val="22"/>
          <w:szCs w:val="22"/>
        </w:rPr>
        <w:t xml:space="preserve"> </w:t>
      </w:r>
      <w:r w:rsidR="0037214B" w:rsidRPr="0037214B">
        <w:rPr>
          <w:sz w:val="22"/>
          <w:szCs w:val="22"/>
        </w:rPr>
        <w:t>Abram</w:t>
      </w:r>
      <w:r w:rsidR="0037214B">
        <w:rPr>
          <w:sz w:val="22"/>
          <w:szCs w:val="22"/>
        </w:rPr>
        <w:t xml:space="preserve"> et al., 2022)</w:t>
      </w:r>
      <w:r w:rsidRPr="005C7860">
        <w:rPr>
          <w:sz w:val="22"/>
          <w:szCs w:val="22"/>
        </w:rPr>
        <w:t>. The literature emphasizes the need for policy mixes tailored to sectoral and regional contexts to mitigate negative distributional effects and support vulnerable communities</w:t>
      </w:r>
      <w:r w:rsidR="0037214B">
        <w:rPr>
          <w:sz w:val="22"/>
          <w:szCs w:val="22"/>
        </w:rPr>
        <w:t>.</w:t>
      </w:r>
    </w:p>
    <w:p w14:paraId="7FC8B472" w14:textId="60768295" w:rsidR="002A5FA6" w:rsidRDefault="005C7860" w:rsidP="005758F9">
      <w:pPr>
        <w:tabs>
          <w:tab w:val="left" w:pos="7937"/>
        </w:tabs>
        <w:jc w:val="both"/>
        <w:rPr>
          <w:sz w:val="22"/>
          <w:szCs w:val="22"/>
        </w:rPr>
      </w:pPr>
      <w:r>
        <w:rPr>
          <w:sz w:val="22"/>
          <w:szCs w:val="22"/>
        </w:rPr>
        <w:tab/>
      </w:r>
    </w:p>
    <w:p w14:paraId="0944E6F5" w14:textId="7DF46FE6" w:rsidR="002A5FA6" w:rsidRDefault="00183C79" w:rsidP="005758F9">
      <w:pPr>
        <w:jc w:val="both"/>
        <w:rPr>
          <w:b/>
          <w:bCs/>
        </w:rPr>
      </w:pPr>
      <w:r>
        <w:br w:type="page"/>
      </w:r>
      <w:r w:rsidR="002A5FA6" w:rsidRPr="002A5FA6">
        <w:rPr>
          <w:b/>
          <w:bCs/>
        </w:rPr>
        <w:lastRenderedPageBreak/>
        <w:t xml:space="preserve">Abram, S., Atkins, E., Dietzel, A., Jenkins, K., Kiamba, L., Kirshner, J., Kreienkamp, J., Parkhill, K., Pegram, T., &amp; Santos Ayllón, L. M. (2022). Just Transition: A whole-systems approach to decarbonisation. </w:t>
      </w:r>
      <w:r w:rsidR="002A5FA6" w:rsidRPr="002A5FA6">
        <w:rPr>
          <w:b/>
          <w:bCs/>
          <w:i/>
          <w:iCs/>
        </w:rPr>
        <w:t>Climate Policy</w:t>
      </w:r>
      <w:r w:rsidR="002A5FA6" w:rsidRPr="002A5FA6">
        <w:rPr>
          <w:b/>
          <w:bCs/>
        </w:rPr>
        <w:t xml:space="preserve">, </w:t>
      </w:r>
      <w:r w:rsidR="002A5FA6" w:rsidRPr="002A5FA6">
        <w:rPr>
          <w:b/>
          <w:bCs/>
          <w:i/>
          <w:iCs/>
        </w:rPr>
        <w:t>22</w:t>
      </w:r>
      <w:r w:rsidR="002A5FA6" w:rsidRPr="002A5FA6">
        <w:rPr>
          <w:b/>
          <w:bCs/>
        </w:rPr>
        <w:t xml:space="preserve">(8), 1033–1049. </w:t>
      </w:r>
      <w:hyperlink r:id="rId5" w:history="1">
        <w:r w:rsidR="002A5FA6" w:rsidRPr="002A5FA6">
          <w:rPr>
            <w:rStyle w:val="Hyperlink"/>
            <w:b/>
            <w:bCs/>
          </w:rPr>
          <w:t>https://doi.org/10.1080/14693062.2022.2108365</w:t>
        </w:r>
      </w:hyperlink>
    </w:p>
    <w:p w14:paraId="3EE11185" w14:textId="2885775E" w:rsidR="005758F9" w:rsidRDefault="005758F9" w:rsidP="005758F9">
      <w:pPr>
        <w:jc w:val="both"/>
      </w:pPr>
      <w:r w:rsidRPr="005758F9">
        <w:t xml:space="preserve">Abram et al. (2022) is useful </w:t>
      </w:r>
      <w:r w:rsidR="000062F0">
        <w:t>primari</w:t>
      </w:r>
      <w:r w:rsidRPr="005758F9">
        <w:t>ly for conceptual</w:t>
      </w:r>
      <w:r w:rsidR="000062F0">
        <w:t>izing</w:t>
      </w:r>
      <w:r w:rsidRPr="005758F9">
        <w:t xml:space="preserve"> a multidimensional, regional transition-risk lens</w:t>
      </w:r>
      <w:r>
        <w:t xml:space="preserve">, </w:t>
      </w:r>
      <w:r w:rsidR="000062F0">
        <w:t>particular</w:t>
      </w:r>
      <w:r w:rsidRPr="005758F9">
        <w:t xml:space="preserve">ly </w:t>
      </w:r>
      <w:r w:rsidR="000062F0">
        <w:t>its</w:t>
      </w:r>
      <w:r w:rsidRPr="005758F9">
        <w:t xml:space="preserve"> distributional and governance channels</w:t>
      </w:r>
      <w:r>
        <w:t>.</w:t>
      </w:r>
    </w:p>
    <w:p w14:paraId="237CFBB1" w14:textId="165DFCE6" w:rsidR="005758F9" w:rsidRDefault="005758F9" w:rsidP="005758F9">
      <w:pPr>
        <w:jc w:val="both"/>
      </w:pPr>
      <w:r w:rsidRPr="005758F9">
        <w:t>Defines Just Transition as a whole-systems decarbonisation process (non-linear, cross-sector, cross-scale), arguing narrow “techno-economic” framings miss key social impacts.</w:t>
      </w:r>
      <w:r>
        <w:t xml:space="preserve"> </w:t>
      </w:r>
      <w:r w:rsidRPr="005758F9">
        <w:t xml:space="preserve">Emphasises local context </w:t>
      </w:r>
      <w:r>
        <w:t>and</w:t>
      </w:r>
      <w:r w:rsidRPr="005758F9">
        <w:t xml:space="preserve"> global–local linkages, and that job creation alone is not a sufficient metric for just outcomes.</w:t>
      </w:r>
      <w:r>
        <w:t xml:space="preserve"> </w:t>
      </w:r>
      <w:r w:rsidRPr="005758F9">
        <w:t xml:space="preserve">Strengthens the argument that “transition risk” for regions is not only </w:t>
      </w:r>
      <w:r w:rsidR="000062F0">
        <w:t xml:space="preserve">a matter of </w:t>
      </w:r>
      <w:r w:rsidRPr="005758F9">
        <w:t xml:space="preserve">cost exposure but also </w:t>
      </w:r>
      <w:r w:rsidR="000062F0">
        <w:t xml:space="preserve">of </w:t>
      </w:r>
      <w:r w:rsidRPr="005758F9">
        <w:t xml:space="preserve">social vulnerability </w:t>
      </w:r>
      <w:r>
        <w:t>and</w:t>
      </w:r>
      <w:r w:rsidRPr="005758F9">
        <w:t xml:space="preserve"> governance capacity (procedural legitimacy, inclusion, trust, safety nets).</w:t>
      </w:r>
      <w:r>
        <w:t xml:space="preserve"> It can help </w:t>
      </w:r>
      <w:r w:rsidR="000062F0">
        <w:t>frame</w:t>
      </w:r>
      <w:r>
        <w:t xml:space="preserve"> </w:t>
      </w:r>
      <w:r w:rsidRPr="005758F9">
        <w:t>TRI as a tool to flag whe</w:t>
      </w:r>
      <w:r w:rsidR="000062F0">
        <w:t>n</w:t>
      </w:r>
      <w:r w:rsidRPr="005758F9">
        <w:t xml:space="preserve"> transition policies may trigger regressive impacts unless accompanied by compensatory and participatory measures.</w:t>
      </w:r>
    </w:p>
    <w:p w14:paraId="0856CF15" w14:textId="77777777" w:rsidR="005758F9" w:rsidRPr="005758F9" w:rsidRDefault="005758F9" w:rsidP="005758F9">
      <w:pPr>
        <w:jc w:val="both"/>
        <w:rPr>
          <w:sz w:val="22"/>
          <w:szCs w:val="22"/>
        </w:rPr>
      </w:pPr>
    </w:p>
    <w:p w14:paraId="335D031F" w14:textId="1F373EB0" w:rsidR="002A5FA6" w:rsidRDefault="002A5FA6" w:rsidP="005758F9">
      <w:pPr>
        <w:jc w:val="both"/>
        <w:rPr>
          <w:b/>
          <w:bCs/>
        </w:rPr>
      </w:pPr>
      <w:r w:rsidRPr="002A5FA6">
        <w:rPr>
          <w:b/>
          <w:bCs/>
        </w:rPr>
        <w:t xml:space="preserve">Åhman, M., Nilsson, L. J., &amp; Johansson, B. (2017). Global climate policy and deep decarbonization of energy-intensive industries. </w:t>
      </w:r>
      <w:r w:rsidRPr="002A5FA6">
        <w:rPr>
          <w:b/>
          <w:bCs/>
          <w:i/>
          <w:iCs/>
        </w:rPr>
        <w:t>Climate Policy</w:t>
      </w:r>
      <w:r w:rsidRPr="002A5FA6">
        <w:rPr>
          <w:b/>
          <w:bCs/>
        </w:rPr>
        <w:t xml:space="preserve">, </w:t>
      </w:r>
      <w:r w:rsidRPr="002A5FA6">
        <w:rPr>
          <w:b/>
          <w:bCs/>
          <w:i/>
          <w:iCs/>
        </w:rPr>
        <w:t>17</w:t>
      </w:r>
      <w:r w:rsidRPr="002A5FA6">
        <w:rPr>
          <w:b/>
          <w:bCs/>
        </w:rPr>
        <w:t xml:space="preserve">(5), 634–649. </w:t>
      </w:r>
      <w:hyperlink r:id="rId6" w:history="1">
        <w:r w:rsidRPr="002A5FA6">
          <w:rPr>
            <w:rStyle w:val="Hyperlink"/>
            <w:b/>
            <w:bCs/>
          </w:rPr>
          <w:t>https://doi.org/10.1080/14693062.2016.1167009</w:t>
        </w:r>
      </w:hyperlink>
    </w:p>
    <w:p w14:paraId="408482FE" w14:textId="125D4546" w:rsidR="002764BE" w:rsidRDefault="002764BE" w:rsidP="005758F9">
      <w:pPr>
        <w:jc w:val="both"/>
      </w:pPr>
      <w:r w:rsidRPr="002764BE">
        <w:t xml:space="preserve">Åhman, Nilsson &amp; Johansson (2017) is highly useful for grounding transition risk in energy-intensive industries (EIIs) and for motivating the specific policy levers </w:t>
      </w:r>
      <w:r>
        <w:t>the</w:t>
      </w:r>
      <w:r w:rsidRPr="002764BE">
        <w:t xml:space="preserve"> index should reflect.</w:t>
      </w:r>
    </w:p>
    <w:p w14:paraId="5223CABB" w14:textId="4D7A377C" w:rsidR="002764BE" w:rsidRPr="002764BE" w:rsidRDefault="002764BE" w:rsidP="005758F9">
      <w:pPr>
        <w:jc w:val="both"/>
      </w:pPr>
      <w:r w:rsidRPr="002764BE">
        <w:t xml:space="preserve">Shows why EIIs face unique transition challenges: limited abatement </w:t>
      </w:r>
      <w:r w:rsidR="000062F0">
        <w:rPr>
          <w:kern w:val="0"/>
          <w14:ligatures w14:val="none"/>
        </w:rPr>
        <w:t>gains from best-available technologies, a need for breakthrough process changes (electrification, biomass feedstocks, CCS), large-scale plants, long investment cycles, and weak co-benefits; therefore,</w:t>
      </w:r>
      <w:r w:rsidRPr="002764BE">
        <w:t xml:space="preserve"> policy must be long-term and innovation-focused.</w:t>
      </w:r>
      <w:r>
        <w:t xml:space="preserve"> </w:t>
      </w:r>
      <w:r w:rsidRPr="002764BE">
        <w:t>Explains how existing climate policy has often shielded EIIs (free allocation/exemptions/compensation), limiting effective carbon-price signals and deep decarbonization incentives.</w:t>
      </w:r>
      <w:r>
        <w:t xml:space="preserve"> </w:t>
      </w:r>
      <w:r w:rsidRPr="002764BE">
        <w:t xml:space="preserve">Frames transition pressure as a mix of carbon costs, energy costs, trade exposure, and carbon leakage concerns, </w:t>
      </w:r>
      <w:r w:rsidR="000062F0">
        <w:t>rather</w:t>
      </w:r>
      <w:r>
        <w:t xml:space="preserve"> </w:t>
      </w:r>
      <w:r w:rsidR="000062F0">
        <w:t>than</w:t>
      </w:r>
      <w:r w:rsidRPr="002764BE">
        <w:t xml:space="preserve"> </w:t>
      </w:r>
      <w:r w:rsidR="000062F0">
        <w:t>as simply</w:t>
      </w:r>
      <w:r w:rsidRPr="002764BE">
        <w:t xml:space="preserve"> current emissions</w:t>
      </w:r>
      <w:r>
        <w:t xml:space="preserve">. </w:t>
      </w:r>
      <w:r w:rsidRPr="002764BE">
        <w:t>Supports redefining “exposure” beyond emissions toward competitiveness/policy-cost exposure (ETS/carbon pricing + indirect power costs + compensation rules) and trade-related exposure (leakage, border measures).</w:t>
      </w:r>
    </w:p>
    <w:p w14:paraId="7CF4AAB0" w14:textId="77777777" w:rsidR="002764BE" w:rsidRPr="002A5FA6" w:rsidRDefault="002764BE" w:rsidP="005758F9">
      <w:pPr>
        <w:jc w:val="both"/>
        <w:rPr>
          <w:b/>
          <w:bCs/>
        </w:rPr>
      </w:pPr>
    </w:p>
    <w:p w14:paraId="25452662" w14:textId="77777777" w:rsidR="008A54AC" w:rsidRDefault="002A5FA6" w:rsidP="005758F9">
      <w:pPr>
        <w:jc w:val="both"/>
        <w:rPr>
          <w:b/>
          <w:bCs/>
        </w:rPr>
      </w:pPr>
      <w:r w:rsidRPr="002A5FA6">
        <w:rPr>
          <w:b/>
          <w:bCs/>
        </w:rPr>
        <w:lastRenderedPageBreak/>
        <w:t xml:space="preserve">Algers, J., &amp; Åhman, M. (2024). Phase-in and phase-out policies in the global steel transition. </w:t>
      </w:r>
      <w:r w:rsidRPr="002A5FA6">
        <w:rPr>
          <w:b/>
          <w:bCs/>
          <w:i/>
          <w:iCs/>
        </w:rPr>
        <w:t>Climate Policy</w:t>
      </w:r>
      <w:r w:rsidRPr="002A5FA6">
        <w:rPr>
          <w:b/>
          <w:bCs/>
        </w:rPr>
        <w:t xml:space="preserve">, </w:t>
      </w:r>
      <w:r w:rsidRPr="002A5FA6">
        <w:rPr>
          <w:b/>
          <w:bCs/>
          <w:i/>
          <w:iCs/>
        </w:rPr>
        <w:t>24</w:t>
      </w:r>
      <w:r w:rsidRPr="002A5FA6">
        <w:rPr>
          <w:b/>
          <w:bCs/>
        </w:rPr>
        <w:t xml:space="preserve">, 1163–1176. </w:t>
      </w:r>
      <w:hyperlink r:id="rId7" w:history="1">
        <w:r w:rsidRPr="002A5FA6">
          <w:rPr>
            <w:rStyle w:val="Hyperlink"/>
            <w:b/>
            <w:bCs/>
          </w:rPr>
          <w:t>https://doi.org/10.1080/14693062.2024.2353127</w:t>
        </w:r>
      </w:hyperlink>
    </w:p>
    <w:p w14:paraId="34B09D04" w14:textId="0AF07F2C" w:rsidR="008A54AC" w:rsidRPr="008A54AC" w:rsidRDefault="008A54AC" w:rsidP="005758F9">
      <w:pPr>
        <w:jc w:val="both"/>
      </w:pPr>
      <w:r w:rsidRPr="008A54AC">
        <w:t xml:space="preserve">Algers &amp; Åhman (2024) is very useful for sharpening </w:t>
      </w:r>
      <w:r>
        <w:t>the</w:t>
      </w:r>
      <w:r w:rsidRPr="008A54AC">
        <w:t xml:space="preserve"> policy-lever framing of transition risk in steel</w:t>
      </w:r>
      <w:r>
        <w:t xml:space="preserve">, </w:t>
      </w:r>
      <w:r w:rsidRPr="008A54AC">
        <w:t xml:space="preserve">especially </w:t>
      </w:r>
      <w:r>
        <w:t xml:space="preserve">on </w:t>
      </w:r>
      <w:r w:rsidRPr="008A54AC">
        <w:t>the “</w:t>
      </w:r>
      <w:r w:rsidRPr="008A54AC">
        <w:rPr>
          <w:b/>
          <w:bCs/>
        </w:rPr>
        <w:t xml:space="preserve">phase-out </w:t>
      </w:r>
      <w:r w:rsidRPr="008A54AC">
        <w:t xml:space="preserve">” side and the risk of </w:t>
      </w:r>
      <w:r w:rsidRPr="008A54AC">
        <w:rPr>
          <w:b/>
          <w:bCs/>
        </w:rPr>
        <w:t>overcapacity and trade conflict</w:t>
      </w:r>
      <w:r w:rsidRPr="008A54AC">
        <w:t>.</w:t>
      </w:r>
    </w:p>
    <w:p w14:paraId="53FD16C7" w14:textId="7F6ACCDA" w:rsidR="008A54AC" w:rsidRPr="008A54AC" w:rsidRDefault="008A54AC" w:rsidP="005758F9">
      <w:pPr>
        <w:jc w:val="both"/>
      </w:pPr>
      <w:r w:rsidRPr="008A54AC">
        <w:t xml:space="preserve">Introduces a clear phase-in vs phase-out lens: policies are currently biased toward </w:t>
      </w:r>
      <w:r w:rsidRPr="008A54AC">
        <w:rPr>
          <w:i/>
          <w:iCs/>
        </w:rPr>
        <w:t>phasing in</w:t>
      </w:r>
      <w:r w:rsidRPr="008A54AC">
        <w:t xml:space="preserve"> green capacity (subsidies, procurement, finance), while the </w:t>
      </w:r>
      <w:r w:rsidRPr="008A54AC">
        <w:rPr>
          <w:i/>
          <w:iCs/>
        </w:rPr>
        <w:t>phase-out</w:t>
      </w:r>
      <w:r w:rsidRPr="008A54AC">
        <w:t xml:space="preserve"> of fossil steelmaking is underdeveloped. Without phase-out, green investments may not “crowd out” dirty production, limiting absolute emissions reductions</w:t>
      </w:r>
      <w:r>
        <w:t xml:space="preserve">. </w:t>
      </w:r>
      <w:r>
        <w:rPr>
          <w:rStyle w:val="Strong"/>
        </w:rPr>
        <w:t>Carbon pricing + free allocation phase-out</w:t>
      </w:r>
      <w:r>
        <w:t xml:space="preserve">: The paper </w:t>
      </w:r>
      <w:r w:rsidRPr="008A54AC">
        <w:t>discusses EU ETS tightening and the gradual phase-out of free allowances alongside CBAM</w:t>
      </w:r>
      <w:r>
        <w:t xml:space="preserve">: </w:t>
      </w:r>
      <w:r w:rsidRPr="008A54AC">
        <w:t xml:space="preserve">useful for defining exposure as </w:t>
      </w:r>
      <w:r w:rsidRPr="008A54AC">
        <w:rPr>
          <w:i/>
          <w:iCs/>
        </w:rPr>
        <w:t>net policy cost pressure</w:t>
      </w:r>
      <w:r w:rsidRPr="008A54AC">
        <w:t xml:space="preserve">, not </w:t>
      </w:r>
      <w:r>
        <w:t>just</w:t>
      </w:r>
      <w:r w:rsidRPr="008A54AC">
        <w:t xml:space="preserve"> emissions</w:t>
      </w:r>
      <w:r>
        <w:t xml:space="preserve">. </w:t>
      </w:r>
      <w:r w:rsidRPr="008A54AC">
        <w:rPr>
          <w:b/>
          <w:bCs/>
        </w:rPr>
        <w:t>Trade-related instruments (CBAM / green trade barriers / clubs)</w:t>
      </w:r>
      <w:r w:rsidRPr="008A54AC">
        <w:t>: frames trade as a risk channel via competitiveness pressure and conflict, supporting indicators like export intensity, import competition, and CBAM-relevant product exposure.</w:t>
      </w:r>
    </w:p>
    <w:p w14:paraId="344255E8" w14:textId="77777777" w:rsidR="00413243" w:rsidRDefault="00413243" w:rsidP="005758F9">
      <w:pPr>
        <w:jc w:val="both"/>
        <w:rPr>
          <w:b/>
          <w:bCs/>
        </w:rPr>
      </w:pPr>
    </w:p>
    <w:p w14:paraId="431A30EC" w14:textId="0E4CD2DE" w:rsidR="002A5FA6" w:rsidRDefault="002A5FA6" w:rsidP="005758F9">
      <w:pPr>
        <w:jc w:val="both"/>
        <w:rPr>
          <w:b/>
          <w:bCs/>
        </w:rPr>
      </w:pPr>
      <w:r w:rsidRPr="002A5FA6">
        <w:rPr>
          <w:b/>
          <w:bCs/>
        </w:rPr>
        <w:t xml:space="preserve">Bashir, M., Shahbaz, M., Beiling, &amp; Alam, K. (2023). Evaluating the roles of energy innovation, fossil fuel costs and environmental compliance towards energy transition in advanced industrial economies. </w:t>
      </w:r>
      <w:r w:rsidRPr="002A5FA6">
        <w:rPr>
          <w:b/>
          <w:bCs/>
          <w:i/>
          <w:iCs/>
        </w:rPr>
        <w:t>Journal of Environmental Management</w:t>
      </w:r>
      <w:r w:rsidRPr="002A5FA6">
        <w:rPr>
          <w:b/>
          <w:bCs/>
        </w:rPr>
        <w:t xml:space="preserve">, </w:t>
      </w:r>
      <w:r w:rsidRPr="002A5FA6">
        <w:rPr>
          <w:b/>
          <w:bCs/>
          <w:i/>
          <w:iCs/>
        </w:rPr>
        <w:t>351</w:t>
      </w:r>
      <w:r w:rsidRPr="002A5FA6">
        <w:rPr>
          <w:b/>
          <w:bCs/>
        </w:rPr>
        <w:t xml:space="preserve">, 119709. </w:t>
      </w:r>
      <w:hyperlink r:id="rId8" w:history="1">
        <w:r w:rsidRPr="002A5FA6">
          <w:rPr>
            <w:rStyle w:val="Hyperlink"/>
            <w:b/>
            <w:bCs/>
          </w:rPr>
          <w:t>https://doi.org/10.1016/j.jenvman.2023.119709</w:t>
        </w:r>
      </w:hyperlink>
    </w:p>
    <w:p w14:paraId="6496ADBC" w14:textId="398729A6" w:rsidR="008A54AC" w:rsidRPr="008A54AC" w:rsidRDefault="008A54AC" w:rsidP="005758F9">
      <w:pPr>
        <w:jc w:val="both"/>
      </w:pPr>
      <w:r w:rsidRPr="008A54AC">
        <w:t>Bashir et al. (2023) is useful as empirical support for including energy innovation, fossil fuel cost/price pressure, and environmental policy commitment as drivers of the energy transition</w:t>
      </w:r>
      <w:r>
        <w:t xml:space="preserve">; </w:t>
      </w:r>
      <w:r w:rsidRPr="008A54AC">
        <w:t>variables that can be reinterpreted as regional capabilities/exposure channels</w:t>
      </w:r>
      <w:r>
        <w:t xml:space="preserve"> in the risk index.</w:t>
      </w:r>
    </w:p>
    <w:p w14:paraId="317C89DA" w14:textId="138B54DF" w:rsidR="00CC5D40" w:rsidRPr="002A5FA6" w:rsidRDefault="00CC5D40" w:rsidP="005758F9">
      <w:pPr>
        <w:jc w:val="both"/>
      </w:pPr>
      <w:r w:rsidRPr="00CC5D40">
        <w:t>Using a G20 panel (1995–2019), the study reports that environmental innovation, renewable energy, economic growth, and environmental compliance/commitment facilitate the energy transition, while fossil fuels and environmental degradation hinder it. It frames energy transition as shaped by a policy–technology–price nexus: (i) technological/innovation capacity, (ii) fossil fuel cost conditions, and (iii) compliance with environmental agreements and governance efforts.</w:t>
      </w:r>
    </w:p>
    <w:p w14:paraId="77294B22" w14:textId="77777777" w:rsidR="00413243" w:rsidRDefault="00413243" w:rsidP="005758F9">
      <w:pPr>
        <w:jc w:val="both"/>
        <w:rPr>
          <w:b/>
          <w:bCs/>
        </w:rPr>
      </w:pPr>
    </w:p>
    <w:p w14:paraId="794C1E83" w14:textId="6FE67527" w:rsidR="002A5FA6" w:rsidRDefault="002A5FA6" w:rsidP="005758F9">
      <w:pPr>
        <w:jc w:val="both"/>
        <w:rPr>
          <w:b/>
          <w:bCs/>
        </w:rPr>
      </w:pPr>
      <w:r w:rsidRPr="002A5FA6">
        <w:rPr>
          <w:b/>
          <w:bCs/>
        </w:rPr>
        <w:t>Bataille, C. G. F. (2020). Physical and policy pathways to net</w:t>
      </w:r>
      <w:r w:rsidRPr="002A5FA6">
        <w:rPr>
          <w:rFonts w:ascii="Cambria Math" w:hAnsi="Cambria Math" w:cs="Cambria Math"/>
          <w:b/>
          <w:bCs/>
        </w:rPr>
        <w:t>‐</w:t>
      </w:r>
      <w:r w:rsidRPr="002A5FA6">
        <w:rPr>
          <w:b/>
          <w:bCs/>
        </w:rPr>
        <w:t xml:space="preserve">zero emissions industry. </w:t>
      </w:r>
      <w:r w:rsidRPr="002A5FA6">
        <w:rPr>
          <w:b/>
          <w:bCs/>
          <w:i/>
          <w:iCs/>
        </w:rPr>
        <w:t>WIREs Climate Change</w:t>
      </w:r>
      <w:r w:rsidRPr="002A5FA6">
        <w:rPr>
          <w:b/>
          <w:bCs/>
        </w:rPr>
        <w:t xml:space="preserve">, </w:t>
      </w:r>
      <w:r w:rsidRPr="002A5FA6">
        <w:rPr>
          <w:b/>
          <w:bCs/>
          <w:i/>
          <w:iCs/>
        </w:rPr>
        <w:t>11</w:t>
      </w:r>
      <w:r w:rsidRPr="002A5FA6">
        <w:rPr>
          <w:b/>
          <w:bCs/>
        </w:rPr>
        <w:t xml:space="preserve">(2), e633. </w:t>
      </w:r>
      <w:hyperlink r:id="rId9" w:history="1">
        <w:r w:rsidRPr="002A5FA6">
          <w:rPr>
            <w:rStyle w:val="Hyperlink"/>
            <w:b/>
            <w:bCs/>
          </w:rPr>
          <w:t>https://doi.org/10.1002/wcc.633</w:t>
        </w:r>
      </w:hyperlink>
    </w:p>
    <w:p w14:paraId="612F448D" w14:textId="06343BD6" w:rsidR="00D56C11" w:rsidRDefault="00D56C11" w:rsidP="005758F9">
      <w:pPr>
        <w:jc w:val="both"/>
      </w:pPr>
      <w:r w:rsidRPr="00D56C11">
        <w:lastRenderedPageBreak/>
        <w:t>Bataille (2020) is a very strong anchor because it (i) defines what “net-zero industry” requires in physical pathways, and (ii) argues that achieving it depends on comprehensive, place-specific policy packages</w:t>
      </w:r>
      <w:r>
        <w:t>.</w:t>
      </w:r>
    </w:p>
    <w:p w14:paraId="7238DC20" w14:textId="0E54B794" w:rsidR="00D56C11" w:rsidRDefault="00D56C11" w:rsidP="005758F9">
      <w:pPr>
        <w:jc w:val="both"/>
      </w:pPr>
      <w:r w:rsidRPr="00D56C11">
        <w:t>EIIs are “hard to abate” because core processes are near thermodynamic limits, rely on high-temperature heat and/or process emissions, have long-lived, lumpy capital, and face tight margins and trade exposure. Three “physical pathways” for industrial decarbonization: (1) material efficiency, (2) circularity (higher volume and quality recycling), and (3) production decarbonization (electrification, hydrogen, biomass feedstocks, CCUS, alternative chemistries).</w:t>
      </w:r>
    </w:p>
    <w:p w14:paraId="123729EB" w14:textId="77DC78DA" w:rsidR="00D56C11" w:rsidRPr="00D56C11" w:rsidRDefault="00D56C11" w:rsidP="00D56C11">
      <w:pPr>
        <w:jc w:val="both"/>
      </w:pPr>
      <w:r w:rsidRPr="00D56C11">
        <w:rPr>
          <w:b/>
          <w:bCs/>
        </w:rPr>
        <w:t>Exposure / transition pressure:</w:t>
      </w:r>
      <w:r w:rsidRPr="00D56C11">
        <w:t xml:space="preserve"> energy intensity and power price exposure; trade exposure/competitiveness constraints; carbon-cost pressure (with explicit mention of competitiveness protection). </w:t>
      </w:r>
    </w:p>
    <w:p w14:paraId="7B708182" w14:textId="60153D07" w:rsidR="00D56C11" w:rsidRPr="00D56C11" w:rsidRDefault="00D56C11" w:rsidP="005758F9">
      <w:pPr>
        <w:jc w:val="both"/>
      </w:pPr>
      <w:r w:rsidRPr="00D56C11">
        <w:rPr>
          <w:b/>
          <w:bCs/>
        </w:rPr>
        <w:t>Capability / readiness:</w:t>
      </w:r>
      <w:r w:rsidRPr="00D56C11">
        <w:t xml:space="preserve"> innovation and demonstration capacity; infrastructure readiness (grid, hydrogen, CO₂ transport/storage); recycling/circularity capacity; access to low-cost renewables/biomass/CO₂ storage as regional endowments.</w:t>
      </w:r>
    </w:p>
    <w:p w14:paraId="10C0F5B2" w14:textId="77777777" w:rsidR="00413243" w:rsidRDefault="00413243" w:rsidP="005758F9">
      <w:pPr>
        <w:jc w:val="both"/>
        <w:rPr>
          <w:b/>
          <w:bCs/>
        </w:rPr>
      </w:pPr>
    </w:p>
    <w:p w14:paraId="54706FA6" w14:textId="1CE82430" w:rsidR="002A5FA6" w:rsidRPr="002A5FA6" w:rsidRDefault="002A5FA6" w:rsidP="005758F9">
      <w:pPr>
        <w:jc w:val="both"/>
        <w:rPr>
          <w:b/>
          <w:bCs/>
        </w:rPr>
      </w:pPr>
      <w:r w:rsidRPr="002A5FA6">
        <w:rPr>
          <w:b/>
          <w:bCs/>
        </w:rPr>
        <w:t xml:space="preserve">Eicke, L., &amp; Goldthau, A. (2021). Are we at risk of an uneven low-carbon transition? Assessing evidence from a mixed-method elite study. </w:t>
      </w:r>
      <w:r w:rsidRPr="002A5FA6">
        <w:rPr>
          <w:b/>
          <w:bCs/>
          <w:i/>
          <w:iCs/>
        </w:rPr>
        <w:t>Environmental Science &amp; Policy</w:t>
      </w:r>
      <w:r w:rsidRPr="002A5FA6">
        <w:rPr>
          <w:b/>
          <w:bCs/>
        </w:rPr>
        <w:t xml:space="preserve">, </w:t>
      </w:r>
      <w:r w:rsidRPr="002A5FA6">
        <w:rPr>
          <w:b/>
          <w:bCs/>
          <w:i/>
          <w:iCs/>
        </w:rPr>
        <w:t>124</w:t>
      </w:r>
      <w:r w:rsidRPr="002A5FA6">
        <w:rPr>
          <w:b/>
          <w:bCs/>
        </w:rPr>
        <w:t xml:space="preserve">, 370–379. </w:t>
      </w:r>
      <w:hyperlink r:id="rId10" w:history="1">
        <w:r w:rsidRPr="002A5FA6">
          <w:rPr>
            <w:rStyle w:val="Hyperlink"/>
            <w:b/>
            <w:bCs/>
          </w:rPr>
          <w:t>https://doi.org/10.1016/j.envsci.2021.07.009</w:t>
        </w:r>
      </w:hyperlink>
    </w:p>
    <w:p w14:paraId="00E69499" w14:textId="2835A5B0" w:rsidR="004F236E" w:rsidRDefault="004F236E" w:rsidP="005758F9">
      <w:pPr>
        <w:jc w:val="both"/>
      </w:pPr>
      <w:r w:rsidRPr="004F236E">
        <w:t>Eicke &amp; Goldthau (2021) is very useful for framing transition risk as uneven, relative, and feedback-driven</w:t>
      </w:r>
      <w:r>
        <w:t xml:space="preserve">, </w:t>
      </w:r>
      <w:r w:rsidRPr="004F236E">
        <w:t xml:space="preserve">and for justifying variables on finance access, technology capability, </w:t>
      </w:r>
      <w:r>
        <w:t xml:space="preserve">and </w:t>
      </w:r>
      <w:r w:rsidRPr="004F236E">
        <w:t>trade exposure</w:t>
      </w:r>
      <w:r>
        <w:t>.</w:t>
      </w:r>
    </w:p>
    <w:p w14:paraId="47739774" w14:textId="0C154262" w:rsidR="004F236E" w:rsidRDefault="004F236E" w:rsidP="004F236E">
      <w:pPr>
        <w:jc w:val="both"/>
        <w:rPr>
          <w:b/>
          <w:bCs/>
        </w:rPr>
      </w:pPr>
      <w:r w:rsidRPr="004F236E">
        <w:t>Defines an “uneven low-carbon transition” as a divide between transition leaders and laggards driven by unequal access to low-carbon finance and technology/know-how.</w:t>
      </w:r>
      <w:r>
        <w:t xml:space="preserve"> Important variables to measure are:</w:t>
      </w:r>
    </w:p>
    <w:p w14:paraId="2FC817C7" w14:textId="77777777" w:rsidR="004F236E" w:rsidRDefault="004F236E" w:rsidP="004F236E">
      <w:pPr>
        <w:pStyle w:val="ListParagraph"/>
        <w:numPr>
          <w:ilvl w:val="0"/>
          <w:numId w:val="2"/>
        </w:numPr>
        <w:jc w:val="both"/>
      </w:pPr>
      <w:r w:rsidRPr="004F236E">
        <w:rPr>
          <w:b/>
          <w:bCs/>
        </w:rPr>
        <w:t>Finance access / cost of capital</w:t>
      </w:r>
      <w:r w:rsidRPr="004F236E">
        <w:t xml:space="preserve"> (or proxies): investment attractiveness, financial constraints, public finance/guarantees. </w:t>
      </w:r>
    </w:p>
    <w:p w14:paraId="04D5DD30" w14:textId="77777777" w:rsidR="004F236E" w:rsidRDefault="004F236E" w:rsidP="004F236E">
      <w:pPr>
        <w:pStyle w:val="ListParagraph"/>
        <w:numPr>
          <w:ilvl w:val="0"/>
          <w:numId w:val="2"/>
        </w:numPr>
        <w:jc w:val="both"/>
      </w:pPr>
      <w:r w:rsidRPr="004F236E">
        <w:rPr>
          <w:b/>
          <w:bCs/>
        </w:rPr>
        <w:t>Technology &amp; know-how capability</w:t>
      </w:r>
      <w:r w:rsidRPr="004F236E">
        <w:t xml:space="preserve">: patents/innovation concentration, technology transfer capacity, manufacturing capability. </w:t>
      </w:r>
    </w:p>
    <w:p w14:paraId="4782B31E" w14:textId="77777777" w:rsidR="004F236E" w:rsidRDefault="004F236E" w:rsidP="005758F9">
      <w:pPr>
        <w:pStyle w:val="ListParagraph"/>
        <w:numPr>
          <w:ilvl w:val="0"/>
          <w:numId w:val="2"/>
        </w:numPr>
        <w:jc w:val="both"/>
      </w:pPr>
      <w:r w:rsidRPr="004F236E">
        <w:rPr>
          <w:b/>
          <w:bCs/>
        </w:rPr>
        <w:t>Trade / market-access exposure</w:t>
      </w:r>
      <w:r w:rsidRPr="004F236E">
        <w:t xml:space="preserve">: export dependence in exposed sectors, vulnerability to CBAM-like measures, integration in buyer-driven low-carbon supply chains. </w:t>
      </w:r>
    </w:p>
    <w:p w14:paraId="3ED4BDB1" w14:textId="3A46C1B9" w:rsidR="004F236E" w:rsidRDefault="004F236E" w:rsidP="005758F9">
      <w:pPr>
        <w:pStyle w:val="ListParagraph"/>
        <w:numPr>
          <w:ilvl w:val="0"/>
          <w:numId w:val="2"/>
        </w:numPr>
        <w:jc w:val="both"/>
      </w:pPr>
      <w:r w:rsidRPr="004F236E">
        <w:rPr>
          <w:b/>
          <w:bCs/>
        </w:rPr>
        <w:t>Stranded-asset risk proxies</w:t>
      </w:r>
      <w:r w:rsidRPr="004F236E">
        <w:t xml:space="preserve">: fossil/lock-in intensity and capital embeddedness (they generalize this beyond fossil producers to carbon-locked infrastructure). </w:t>
      </w:r>
    </w:p>
    <w:p w14:paraId="6571A56F" w14:textId="77777777" w:rsidR="002A5FA6" w:rsidRDefault="002A5FA6" w:rsidP="005758F9">
      <w:pPr>
        <w:jc w:val="both"/>
        <w:rPr>
          <w:b/>
          <w:bCs/>
        </w:rPr>
      </w:pPr>
      <w:r w:rsidRPr="002A5FA6">
        <w:rPr>
          <w:b/>
          <w:bCs/>
        </w:rPr>
        <w:lastRenderedPageBreak/>
        <w:t xml:space="preserve">Haites, E., Bertoldi, P., König, M., Bataille, C., Creutzig, F., Dasgupta, D., De La Rue Du Can, S., Khennas, S., Kim, Y.-G., Nilsson, L., Roy, J., &amp; Sari, A. (2023). Contribution of carbon pricing to meeting a mid-century net zero target. </w:t>
      </w:r>
      <w:r w:rsidRPr="002A5FA6">
        <w:rPr>
          <w:b/>
          <w:bCs/>
          <w:i/>
          <w:iCs/>
        </w:rPr>
        <w:t>Climate Policy</w:t>
      </w:r>
      <w:r w:rsidRPr="002A5FA6">
        <w:rPr>
          <w:b/>
          <w:bCs/>
        </w:rPr>
        <w:t xml:space="preserve">, </w:t>
      </w:r>
      <w:r w:rsidRPr="002A5FA6">
        <w:rPr>
          <w:b/>
          <w:bCs/>
          <w:i/>
          <w:iCs/>
        </w:rPr>
        <w:t>24</w:t>
      </w:r>
      <w:r w:rsidRPr="002A5FA6">
        <w:rPr>
          <w:b/>
          <w:bCs/>
        </w:rPr>
        <w:t xml:space="preserve">, 1–12. </w:t>
      </w:r>
      <w:hyperlink r:id="rId11" w:history="1">
        <w:r w:rsidRPr="002A5FA6">
          <w:rPr>
            <w:rStyle w:val="Hyperlink"/>
            <w:b/>
            <w:bCs/>
          </w:rPr>
          <w:t>https://doi.org/10.1080/14693062.2023.2170312</w:t>
        </w:r>
      </w:hyperlink>
    </w:p>
    <w:p w14:paraId="536C49D4" w14:textId="77777777" w:rsidR="009321A7" w:rsidRDefault="00413243" w:rsidP="005758F9">
      <w:pPr>
        <w:jc w:val="both"/>
      </w:pPr>
      <w:r w:rsidRPr="00413243">
        <w:t xml:space="preserve">Haites et al. (2023/2024) </w:t>
      </w:r>
      <w:r>
        <w:t xml:space="preserve">explain why EITE sectors (e.g., steel, cement, chemicals, refining, pulp &amp; paper) are central to net-zero and hard to decarbonize: their </w:t>
      </w:r>
      <w:r w:rsidRPr="00413243">
        <w:rPr>
          <w:rStyle w:val="Strong"/>
          <w:b w:val="0"/>
          <w:bCs w:val="0"/>
        </w:rPr>
        <w:t>marginal abatement costs often exceed prevailing carbon prices</w:t>
      </w:r>
      <w:r w:rsidRPr="00413243">
        <w:t xml:space="preserve">, so existing carbon pricing has had </w:t>
      </w:r>
      <w:r w:rsidRPr="00413243">
        <w:rPr>
          <w:rStyle w:val="Strong"/>
          <w:b w:val="0"/>
          <w:bCs w:val="0"/>
        </w:rPr>
        <w:t>limited direct impact</w:t>
      </w:r>
      <w:r w:rsidRPr="00413243">
        <w:t xml:space="preserve"> on their emissions.</w:t>
      </w:r>
      <w:r w:rsidR="009321A7">
        <w:t xml:space="preserve"> It </w:t>
      </w:r>
      <w:r w:rsidR="009321A7" w:rsidRPr="009321A7">
        <w:t>supports defining exposure as net policy/competitiveness pressure (carbon price × emissions intensity, mediated by free allocation/compensation) plus trade exposure and leakage risk</w:t>
      </w:r>
      <w:r w:rsidR="009321A7">
        <w:t>.</w:t>
      </w:r>
    </w:p>
    <w:p w14:paraId="57759834" w14:textId="77777777" w:rsidR="002A5FA6" w:rsidRDefault="002A5FA6" w:rsidP="005758F9">
      <w:pPr>
        <w:jc w:val="both"/>
        <w:rPr>
          <w:b/>
          <w:bCs/>
        </w:rPr>
      </w:pPr>
      <w:r w:rsidRPr="002A5FA6">
        <w:rPr>
          <w:b/>
          <w:bCs/>
        </w:rPr>
        <w:t xml:space="preserve">Meadowcroft, J., &amp; Rosenbloom, D. (2023). Governing the net-zero transition: Strategy, policy, and politics. </w:t>
      </w:r>
      <w:r w:rsidRPr="002A5FA6">
        <w:rPr>
          <w:b/>
          <w:bCs/>
          <w:i/>
          <w:iCs/>
        </w:rPr>
        <w:t>Proceedings of the National Academy of Sciences of the United States of America</w:t>
      </w:r>
      <w:r w:rsidRPr="002A5FA6">
        <w:rPr>
          <w:b/>
          <w:bCs/>
        </w:rPr>
        <w:t xml:space="preserve">, </w:t>
      </w:r>
      <w:r w:rsidRPr="002A5FA6">
        <w:rPr>
          <w:b/>
          <w:bCs/>
          <w:i/>
          <w:iCs/>
        </w:rPr>
        <w:t>120</w:t>
      </w:r>
      <w:r w:rsidRPr="002A5FA6">
        <w:rPr>
          <w:b/>
          <w:bCs/>
        </w:rPr>
        <w:t xml:space="preserve">. </w:t>
      </w:r>
      <w:hyperlink r:id="rId12" w:history="1">
        <w:r w:rsidRPr="002A5FA6">
          <w:rPr>
            <w:rStyle w:val="Hyperlink"/>
            <w:b/>
            <w:bCs/>
          </w:rPr>
          <w:t>https://doi.org/10.1073/pnas.2207727120</w:t>
        </w:r>
      </w:hyperlink>
    </w:p>
    <w:p w14:paraId="42CDFEBC" w14:textId="4158FE81" w:rsidR="00841FDF" w:rsidRPr="002A5FA6" w:rsidRDefault="00841FDF" w:rsidP="005758F9">
      <w:pPr>
        <w:jc w:val="both"/>
      </w:pPr>
      <w:r w:rsidRPr="00841FDF">
        <w:t>It argues net zero requires multiple transitions across distinct consumption–production systems, and that governance needs attention to sectoral and regional transitions rather than treating the economy as undifferentiated.</w:t>
      </w:r>
      <w:r>
        <w:t xml:space="preserve"> I</w:t>
      </w:r>
      <w:r w:rsidRPr="00841FDF">
        <w:t>t explicitly highlights that transitions have distributive consequences across sectors and regions, which helps justify adding/strengthening justice, vulnerability, and institutional capacity dimensions.</w:t>
      </w:r>
    </w:p>
    <w:p w14:paraId="5C55D805" w14:textId="77777777" w:rsidR="002A5FA6" w:rsidRPr="002A5FA6" w:rsidRDefault="002A5FA6" w:rsidP="005758F9">
      <w:pPr>
        <w:jc w:val="both"/>
        <w:rPr>
          <w:b/>
          <w:bCs/>
        </w:rPr>
      </w:pPr>
      <w:r w:rsidRPr="002A5FA6">
        <w:rPr>
          <w:b/>
          <w:bCs/>
        </w:rPr>
        <w:t xml:space="preserve">Rissman, J., Bataille, C., Masanet, E., Aden, N., Morrow, W., Zhou, N., Elliott, N., Dell, R., Heeren, N., Huckestein, B., Cresko, J., Miller, S., Roy, J., Fennell, P., Cremmins, B., Blank, T. K., Hone, D., Williams, E., De La Rue Du Can, S., … Helseth, J. (2020). Technologies and policies to decarbonize global industry: Review and assessment of mitigation drivers through 2070. </w:t>
      </w:r>
      <w:r w:rsidRPr="002A5FA6">
        <w:rPr>
          <w:b/>
          <w:bCs/>
          <w:i/>
          <w:iCs/>
        </w:rPr>
        <w:t>Applied Energy</w:t>
      </w:r>
      <w:r w:rsidRPr="002A5FA6">
        <w:rPr>
          <w:b/>
          <w:bCs/>
        </w:rPr>
        <w:t xml:space="preserve">. </w:t>
      </w:r>
      <w:hyperlink r:id="rId13" w:history="1">
        <w:r w:rsidRPr="002A5FA6">
          <w:rPr>
            <w:rStyle w:val="Hyperlink"/>
            <w:b/>
            <w:bCs/>
          </w:rPr>
          <w:t>https://doi.org/10.1016/j.apenergy.2020.114848</w:t>
        </w:r>
      </w:hyperlink>
    </w:p>
    <w:p w14:paraId="78F927D5" w14:textId="56F88875" w:rsidR="002A5FA6" w:rsidRPr="002A5FA6" w:rsidRDefault="002A5FA6" w:rsidP="005758F9">
      <w:pPr>
        <w:jc w:val="both"/>
        <w:rPr>
          <w:b/>
          <w:bCs/>
        </w:rPr>
      </w:pPr>
      <w:r w:rsidRPr="002A5FA6">
        <w:rPr>
          <w:b/>
          <w:bCs/>
        </w:rPr>
        <w:t>Semieniuk, G., Campiglio, E., Mercure, J., Volz, U., &amp; Edwards, N. (2020). Low</w:t>
      </w:r>
      <w:r w:rsidRPr="002A5FA6">
        <w:rPr>
          <w:rFonts w:ascii="Cambria Math" w:hAnsi="Cambria Math" w:cs="Cambria Math"/>
          <w:b/>
          <w:bCs/>
        </w:rPr>
        <w:t>‐</w:t>
      </w:r>
      <w:r w:rsidRPr="002A5FA6">
        <w:rPr>
          <w:b/>
          <w:bCs/>
        </w:rPr>
        <w:t xml:space="preserve">carbon transition risks for finance. </w:t>
      </w:r>
      <w:r w:rsidRPr="002A5FA6">
        <w:rPr>
          <w:b/>
          <w:bCs/>
          <w:i/>
          <w:iCs/>
        </w:rPr>
        <w:t>Wiley Interdisciplinary Reviews: Climate Change</w:t>
      </w:r>
      <w:r w:rsidRPr="002A5FA6">
        <w:rPr>
          <w:b/>
          <w:bCs/>
        </w:rPr>
        <w:t xml:space="preserve">, </w:t>
      </w:r>
      <w:r w:rsidRPr="002A5FA6">
        <w:rPr>
          <w:b/>
          <w:bCs/>
          <w:i/>
          <w:iCs/>
        </w:rPr>
        <w:t>12</w:t>
      </w:r>
      <w:r w:rsidRPr="002A5FA6">
        <w:rPr>
          <w:b/>
          <w:bCs/>
        </w:rPr>
        <w:t xml:space="preserve">. </w:t>
      </w:r>
      <w:hyperlink r:id="rId14" w:history="1">
        <w:r w:rsidRPr="002A5FA6">
          <w:rPr>
            <w:rStyle w:val="Hyperlink"/>
            <w:b/>
            <w:bCs/>
          </w:rPr>
          <w:t>https://doi.org/10.1002/wcc.678</w:t>
        </w:r>
      </w:hyperlink>
    </w:p>
    <w:p w14:paraId="7C210666" w14:textId="04778A16" w:rsidR="002A5FA6" w:rsidRPr="002A5FA6" w:rsidRDefault="002A5FA6" w:rsidP="005758F9">
      <w:pPr>
        <w:jc w:val="both"/>
        <w:rPr>
          <w:b/>
          <w:bCs/>
        </w:rPr>
      </w:pPr>
      <w:r w:rsidRPr="002A5FA6">
        <w:rPr>
          <w:b/>
          <w:bCs/>
        </w:rPr>
        <w:t>Sovacool, B. (2024). The low</w:t>
      </w:r>
      <w:r w:rsidRPr="002A5FA6">
        <w:rPr>
          <w:rFonts w:ascii="Cambria Math" w:hAnsi="Cambria Math" w:cs="Cambria Math"/>
          <w:b/>
          <w:bCs/>
        </w:rPr>
        <w:t>‐</w:t>
      </w:r>
      <w:r w:rsidRPr="002A5FA6">
        <w:rPr>
          <w:b/>
          <w:bCs/>
        </w:rPr>
        <w:t xml:space="preserve">carbon risk society: Dilemmas of risk–risk tradeoffs in energy innovations, transitions, and climate policy. </w:t>
      </w:r>
      <w:r w:rsidRPr="002A5FA6">
        <w:rPr>
          <w:b/>
          <w:bCs/>
          <w:i/>
          <w:iCs/>
        </w:rPr>
        <w:t>Risk Analysis</w:t>
      </w:r>
      <w:r w:rsidRPr="002A5FA6">
        <w:rPr>
          <w:b/>
          <w:bCs/>
        </w:rPr>
        <w:t xml:space="preserve">, </w:t>
      </w:r>
      <w:r w:rsidRPr="002A5FA6">
        <w:rPr>
          <w:b/>
          <w:bCs/>
          <w:i/>
          <w:iCs/>
        </w:rPr>
        <w:t>45</w:t>
      </w:r>
      <w:r w:rsidRPr="002A5FA6">
        <w:rPr>
          <w:b/>
          <w:bCs/>
        </w:rPr>
        <w:t xml:space="preserve">, 78–107. </w:t>
      </w:r>
      <w:hyperlink r:id="rId15" w:history="1">
        <w:r w:rsidRPr="002A5FA6">
          <w:rPr>
            <w:rStyle w:val="Hyperlink"/>
            <w:b/>
            <w:bCs/>
          </w:rPr>
          <w:t>https://doi.org/10.1111/risa.14667</w:t>
        </w:r>
      </w:hyperlink>
    </w:p>
    <w:p w14:paraId="19FF674D" w14:textId="77777777" w:rsidR="002A5FA6" w:rsidRPr="002A5FA6" w:rsidRDefault="002A5FA6" w:rsidP="005758F9">
      <w:pPr>
        <w:jc w:val="both"/>
        <w:rPr>
          <w:b/>
          <w:bCs/>
        </w:rPr>
      </w:pPr>
      <w:r w:rsidRPr="002A5FA6">
        <w:rPr>
          <w:b/>
          <w:bCs/>
        </w:rPr>
        <w:t xml:space="preserve">Sun, J., Yang, Y., &amp; Zhou, P. (2024). Low-carbon transition risks in the energy sector: A systematic review. </w:t>
      </w:r>
      <w:r w:rsidRPr="002A5FA6">
        <w:rPr>
          <w:b/>
          <w:bCs/>
          <w:i/>
          <w:iCs/>
        </w:rPr>
        <w:t>Sustainable Production and Consumption</w:t>
      </w:r>
      <w:r w:rsidRPr="002A5FA6">
        <w:rPr>
          <w:b/>
          <w:bCs/>
        </w:rPr>
        <w:t xml:space="preserve">. </w:t>
      </w:r>
      <w:hyperlink r:id="rId16" w:history="1">
        <w:r w:rsidRPr="002A5FA6">
          <w:rPr>
            <w:rStyle w:val="Hyperlink"/>
            <w:b/>
            <w:bCs/>
          </w:rPr>
          <w:t>https://doi.org/10.1016/j.spc.2024.07.025</w:t>
        </w:r>
      </w:hyperlink>
    </w:p>
    <w:p w14:paraId="762AAC31" w14:textId="77777777" w:rsidR="002A5FA6" w:rsidRPr="002A5FA6" w:rsidRDefault="002A5FA6" w:rsidP="005758F9">
      <w:pPr>
        <w:jc w:val="both"/>
        <w:rPr>
          <w:b/>
          <w:bCs/>
        </w:rPr>
      </w:pPr>
      <w:r w:rsidRPr="002A5FA6">
        <w:rPr>
          <w:b/>
          <w:bCs/>
        </w:rPr>
        <w:lastRenderedPageBreak/>
        <w:t xml:space="preserve">Svobodova, K., Owen, J., Kemp, D., Moudrý, V., Lèbre, É., Stringer, M., &amp; Sovacool, B. (2022). Decarbonization, population disruption and resource inventories in the global energy transition. </w:t>
      </w:r>
      <w:r w:rsidRPr="002A5FA6">
        <w:rPr>
          <w:b/>
          <w:bCs/>
          <w:i/>
          <w:iCs/>
        </w:rPr>
        <w:t>Nature Communications</w:t>
      </w:r>
      <w:r w:rsidRPr="002A5FA6">
        <w:rPr>
          <w:b/>
          <w:bCs/>
        </w:rPr>
        <w:t xml:space="preserve">, </w:t>
      </w:r>
      <w:r w:rsidRPr="002A5FA6">
        <w:rPr>
          <w:b/>
          <w:bCs/>
          <w:i/>
          <w:iCs/>
        </w:rPr>
        <w:t>13</w:t>
      </w:r>
      <w:r w:rsidRPr="002A5FA6">
        <w:rPr>
          <w:b/>
          <w:bCs/>
        </w:rPr>
        <w:t xml:space="preserve">. </w:t>
      </w:r>
      <w:hyperlink r:id="rId17" w:history="1">
        <w:r w:rsidRPr="002A5FA6">
          <w:rPr>
            <w:rStyle w:val="Hyperlink"/>
            <w:b/>
            <w:bCs/>
          </w:rPr>
          <w:t>https://doi.org/10.1038/s41467-022-35391-2</w:t>
        </w:r>
      </w:hyperlink>
    </w:p>
    <w:p w14:paraId="5E1CCEFB" w14:textId="77777777" w:rsidR="002A5FA6" w:rsidRPr="002A5FA6" w:rsidRDefault="002A5FA6" w:rsidP="005758F9">
      <w:pPr>
        <w:jc w:val="both"/>
        <w:rPr>
          <w:b/>
          <w:bCs/>
        </w:rPr>
      </w:pPr>
      <w:r w:rsidRPr="002A5FA6">
        <w:rPr>
          <w:b/>
          <w:bCs/>
        </w:rPr>
        <w:t xml:space="preserve">Verrier, B., &amp; Strachan, N. (2024). Sunset and sunrise business strategies shaping national energy transitions. </w:t>
      </w:r>
      <w:r w:rsidRPr="002A5FA6">
        <w:rPr>
          <w:b/>
          <w:bCs/>
          <w:i/>
          <w:iCs/>
        </w:rPr>
        <w:t>Renewable and Sustainable Energy Reviews</w:t>
      </w:r>
      <w:r w:rsidRPr="002A5FA6">
        <w:rPr>
          <w:b/>
          <w:bCs/>
        </w:rPr>
        <w:t xml:space="preserve">, </w:t>
      </w:r>
      <w:r w:rsidRPr="002A5FA6">
        <w:rPr>
          <w:b/>
          <w:bCs/>
          <w:i/>
          <w:iCs/>
        </w:rPr>
        <w:t>195</w:t>
      </w:r>
      <w:r w:rsidRPr="002A5FA6">
        <w:rPr>
          <w:b/>
          <w:bCs/>
        </w:rPr>
        <w:t xml:space="preserve">, 114330. </w:t>
      </w:r>
      <w:hyperlink r:id="rId18" w:history="1">
        <w:r w:rsidRPr="002A5FA6">
          <w:rPr>
            <w:rStyle w:val="Hyperlink"/>
            <w:b/>
            <w:bCs/>
          </w:rPr>
          <w:t>https://doi.org/10.1016/j.rser.2024.114330</w:t>
        </w:r>
      </w:hyperlink>
    </w:p>
    <w:p w14:paraId="123D64B4" w14:textId="77777777" w:rsidR="002A5FA6" w:rsidRPr="002A5FA6" w:rsidRDefault="002A5FA6" w:rsidP="005758F9">
      <w:pPr>
        <w:jc w:val="both"/>
        <w:rPr>
          <w:b/>
          <w:bCs/>
        </w:rPr>
      </w:pPr>
      <w:r w:rsidRPr="002A5FA6">
        <w:rPr>
          <w:b/>
          <w:bCs/>
        </w:rPr>
        <w:t xml:space="preserve">Zhang, J., Wirjanto, T., Porth, L., &amp; Tan, K. S. (2025). </w:t>
      </w:r>
      <w:r w:rsidRPr="002A5FA6">
        <w:rPr>
          <w:b/>
          <w:bCs/>
          <w:i/>
          <w:iCs/>
        </w:rPr>
        <w:t>Strategic Investment to Mitigate Transition Risks</w:t>
      </w:r>
      <w:r w:rsidRPr="002A5FA6">
        <w:rPr>
          <w:b/>
          <w:bCs/>
        </w:rPr>
        <w:t xml:space="preserve">. </w:t>
      </w:r>
      <w:hyperlink r:id="rId19" w:history="1">
        <w:r w:rsidRPr="002A5FA6">
          <w:rPr>
            <w:rStyle w:val="Hyperlink"/>
            <w:b/>
            <w:bCs/>
          </w:rPr>
          <w:t>https://consensus.app/papers/strategic-investment-to-mitigate-transition-risks-zhang-wirjanto/d73d1245f3905d2ba17e886422279ca1/</w:t>
        </w:r>
      </w:hyperlink>
    </w:p>
    <w:p w14:paraId="50EBD8FF" w14:textId="584D07FC" w:rsidR="00183C79" w:rsidRPr="002A5FA6" w:rsidRDefault="00183C79" w:rsidP="005758F9">
      <w:pPr>
        <w:jc w:val="both"/>
        <w:rPr>
          <w:b/>
          <w:bCs/>
        </w:rPr>
      </w:pPr>
    </w:p>
    <w:p w14:paraId="59B11838" w14:textId="77777777" w:rsidR="009425CA" w:rsidRPr="002A5FA6" w:rsidRDefault="009425CA" w:rsidP="005758F9">
      <w:pPr>
        <w:tabs>
          <w:tab w:val="left" w:pos="7937"/>
        </w:tabs>
        <w:jc w:val="both"/>
        <w:rPr>
          <w:b/>
          <w:bCs/>
          <w:sz w:val="22"/>
          <w:szCs w:val="22"/>
        </w:rPr>
      </w:pPr>
    </w:p>
    <w:sectPr w:rsidR="009425CA" w:rsidRPr="002A5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5F1"/>
    <w:multiLevelType w:val="multilevel"/>
    <w:tmpl w:val="70EA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C356A"/>
    <w:multiLevelType w:val="hybridMultilevel"/>
    <w:tmpl w:val="58C29C4A"/>
    <w:lvl w:ilvl="0" w:tplc="F1C21EF8">
      <w:start w:val="1"/>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9545977">
    <w:abstractNumId w:val="0"/>
  </w:num>
  <w:num w:numId="2" w16cid:durableId="465665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FC"/>
    <w:rsid w:val="000062F0"/>
    <w:rsid w:val="000824A8"/>
    <w:rsid w:val="00183C79"/>
    <w:rsid w:val="001C42E4"/>
    <w:rsid w:val="001F1F02"/>
    <w:rsid w:val="002764BE"/>
    <w:rsid w:val="002A5FA6"/>
    <w:rsid w:val="00317EC7"/>
    <w:rsid w:val="0037214B"/>
    <w:rsid w:val="003E6204"/>
    <w:rsid w:val="00413243"/>
    <w:rsid w:val="00467368"/>
    <w:rsid w:val="004B35D8"/>
    <w:rsid w:val="004F236E"/>
    <w:rsid w:val="005758F9"/>
    <w:rsid w:val="00590225"/>
    <w:rsid w:val="005C7860"/>
    <w:rsid w:val="00603615"/>
    <w:rsid w:val="00635CF5"/>
    <w:rsid w:val="00790B12"/>
    <w:rsid w:val="007F2747"/>
    <w:rsid w:val="007F75CB"/>
    <w:rsid w:val="00841FDF"/>
    <w:rsid w:val="008A54AC"/>
    <w:rsid w:val="008D2D7C"/>
    <w:rsid w:val="009238E6"/>
    <w:rsid w:val="009321A7"/>
    <w:rsid w:val="009425CA"/>
    <w:rsid w:val="00964736"/>
    <w:rsid w:val="009E251F"/>
    <w:rsid w:val="00BE0CDD"/>
    <w:rsid w:val="00BE1EB2"/>
    <w:rsid w:val="00C80CB7"/>
    <w:rsid w:val="00CC5D40"/>
    <w:rsid w:val="00D56C11"/>
    <w:rsid w:val="00FB20F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ecimalSymbol w:val="."/>
  <w:listSeparator w:val=","/>
  <w14:docId w14:val="7422AB67"/>
  <w15:chartTrackingRefBased/>
  <w15:docId w15:val="{DA0ADAC9-76F4-814C-BB6B-210FFBD8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0FC"/>
  </w:style>
  <w:style w:type="paragraph" w:styleId="Heading1">
    <w:name w:val="heading 1"/>
    <w:basedOn w:val="Normal"/>
    <w:next w:val="Normal"/>
    <w:link w:val="Heading1Char"/>
    <w:uiPriority w:val="9"/>
    <w:qFormat/>
    <w:rsid w:val="00FB2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0FC"/>
    <w:rPr>
      <w:rFonts w:eastAsiaTheme="majorEastAsia" w:cstheme="majorBidi"/>
      <w:color w:val="272727" w:themeColor="text1" w:themeTint="D8"/>
    </w:rPr>
  </w:style>
  <w:style w:type="paragraph" w:styleId="Title">
    <w:name w:val="Title"/>
    <w:basedOn w:val="Normal"/>
    <w:next w:val="Normal"/>
    <w:link w:val="TitleChar"/>
    <w:uiPriority w:val="10"/>
    <w:qFormat/>
    <w:rsid w:val="00FB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0FC"/>
    <w:pPr>
      <w:spacing w:before="160"/>
      <w:jc w:val="center"/>
    </w:pPr>
    <w:rPr>
      <w:i/>
      <w:iCs/>
      <w:color w:val="404040" w:themeColor="text1" w:themeTint="BF"/>
    </w:rPr>
  </w:style>
  <w:style w:type="character" w:customStyle="1" w:styleId="QuoteChar">
    <w:name w:val="Quote Char"/>
    <w:basedOn w:val="DefaultParagraphFont"/>
    <w:link w:val="Quote"/>
    <w:uiPriority w:val="29"/>
    <w:rsid w:val="00FB20FC"/>
    <w:rPr>
      <w:i/>
      <w:iCs/>
      <w:color w:val="404040" w:themeColor="text1" w:themeTint="BF"/>
    </w:rPr>
  </w:style>
  <w:style w:type="paragraph" w:styleId="ListParagraph">
    <w:name w:val="List Paragraph"/>
    <w:basedOn w:val="Normal"/>
    <w:uiPriority w:val="34"/>
    <w:qFormat/>
    <w:rsid w:val="00FB20FC"/>
    <w:pPr>
      <w:ind w:left="720"/>
      <w:contextualSpacing/>
    </w:pPr>
  </w:style>
  <w:style w:type="character" w:styleId="IntenseEmphasis">
    <w:name w:val="Intense Emphasis"/>
    <w:basedOn w:val="DefaultParagraphFont"/>
    <w:uiPriority w:val="21"/>
    <w:qFormat/>
    <w:rsid w:val="00FB20FC"/>
    <w:rPr>
      <w:i/>
      <w:iCs/>
      <w:color w:val="0F4761" w:themeColor="accent1" w:themeShade="BF"/>
    </w:rPr>
  </w:style>
  <w:style w:type="paragraph" w:styleId="IntenseQuote">
    <w:name w:val="Intense Quote"/>
    <w:basedOn w:val="Normal"/>
    <w:next w:val="Normal"/>
    <w:link w:val="IntenseQuoteChar"/>
    <w:uiPriority w:val="30"/>
    <w:qFormat/>
    <w:rsid w:val="00FB2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0FC"/>
    <w:rPr>
      <w:i/>
      <w:iCs/>
      <w:color w:val="0F4761" w:themeColor="accent1" w:themeShade="BF"/>
    </w:rPr>
  </w:style>
  <w:style w:type="character" w:styleId="IntenseReference">
    <w:name w:val="Intense Reference"/>
    <w:basedOn w:val="DefaultParagraphFont"/>
    <w:uiPriority w:val="32"/>
    <w:qFormat/>
    <w:rsid w:val="00FB20FC"/>
    <w:rPr>
      <w:b/>
      <w:bCs/>
      <w:smallCaps/>
      <w:color w:val="0F4761" w:themeColor="accent1" w:themeShade="BF"/>
      <w:spacing w:val="5"/>
    </w:rPr>
  </w:style>
  <w:style w:type="character" w:styleId="Hyperlink">
    <w:name w:val="Hyperlink"/>
    <w:basedOn w:val="DefaultParagraphFont"/>
    <w:uiPriority w:val="99"/>
    <w:unhideWhenUsed/>
    <w:rsid w:val="004B35D8"/>
    <w:rPr>
      <w:color w:val="467886" w:themeColor="hyperlink"/>
      <w:u w:val="single"/>
    </w:rPr>
  </w:style>
  <w:style w:type="character" w:styleId="UnresolvedMention">
    <w:name w:val="Unresolved Mention"/>
    <w:basedOn w:val="DefaultParagraphFont"/>
    <w:uiPriority w:val="99"/>
    <w:semiHidden/>
    <w:unhideWhenUsed/>
    <w:rsid w:val="004B35D8"/>
    <w:rPr>
      <w:color w:val="605E5C"/>
      <w:shd w:val="clear" w:color="auto" w:fill="E1DFDD"/>
    </w:rPr>
  </w:style>
  <w:style w:type="character" w:styleId="FollowedHyperlink">
    <w:name w:val="FollowedHyperlink"/>
    <w:basedOn w:val="DefaultParagraphFont"/>
    <w:uiPriority w:val="99"/>
    <w:semiHidden/>
    <w:unhideWhenUsed/>
    <w:rsid w:val="004B35D8"/>
    <w:rPr>
      <w:color w:val="96607D" w:themeColor="followedHyperlink"/>
      <w:u w:val="single"/>
    </w:rPr>
  </w:style>
  <w:style w:type="character" w:styleId="Strong">
    <w:name w:val="Strong"/>
    <w:basedOn w:val="DefaultParagraphFont"/>
    <w:uiPriority w:val="22"/>
    <w:qFormat/>
    <w:rsid w:val="008A54AC"/>
    <w:rPr>
      <w:b/>
      <w:bCs/>
    </w:rPr>
  </w:style>
  <w:style w:type="character" w:styleId="Emphasis">
    <w:name w:val="Emphasis"/>
    <w:basedOn w:val="DefaultParagraphFont"/>
    <w:uiPriority w:val="20"/>
    <w:qFormat/>
    <w:rsid w:val="00CC5D40"/>
    <w:rPr>
      <w:i/>
      <w:iCs/>
    </w:rPr>
  </w:style>
  <w:style w:type="paragraph" w:styleId="NormalWeb">
    <w:name w:val="Normal (Web)"/>
    <w:basedOn w:val="Normal"/>
    <w:uiPriority w:val="99"/>
    <w:semiHidden/>
    <w:unhideWhenUsed/>
    <w:rsid w:val="004F23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nvman.2023.119709" TargetMode="External"/><Relationship Id="rId13" Type="http://schemas.openxmlformats.org/officeDocument/2006/relationships/hyperlink" Target="https://doi.org/10.1016/j.apenergy.2020.114848" TargetMode="External"/><Relationship Id="rId18" Type="http://schemas.openxmlformats.org/officeDocument/2006/relationships/hyperlink" Target="https://doi.org/10.1016/j.rser.2024.11433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80/14693062.2024.2353127" TargetMode="External"/><Relationship Id="rId12" Type="http://schemas.openxmlformats.org/officeDocument/2006/relationships/hyperlink" Target="https://doi.org/10.1073/pnas.2207727120" TargetMode="External"/><Relationship Id="rId17" Type="http://schemas.openxmlformats.org/officeDocument/2006/relationships/hyperlink" Target="https://doi.org/10.1038/s41467-022-35391-2" TargetMode="External"/><Relationship Id="rId2" Type="http://schemas.openxmlformats.org/officeDocument/2006/relationships/styles" Target="styles.xml"/><Relationship Id="rId16" Type="http://schemas.openxmlformats.org/officeDocument/2006/relationships/hyperlink" Target="https://doi.org/10.1016/j.spc.2024.07.02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80/14693062.2016.1167009" TargetMode="External"/><Relationship Id="rId11" Type="http://schemas.openxmlformats.org/officeDocument/2006/relationships/hyperlink" Target="https://doi.org/10.1080/14693062.2023.2170312" TargetMode="External"/><Relationship Id="rId5" Type="http://schemas.openxmlformats.org/officeDocument/2006/relationships/hyperlink" Target="https://doi.org/10.1080/14693062.2022.2108365" TargetMode="External"/><Relationship Id="rId15" Type="http://schemas.openxmlformats.org/officeDocument/2006/relationships/hyperlink" Target="https://doi.org/10.1111/risa.14667" TargetMode="External"/><Relationship Id="rId10" Type="http://schemas.openxmlformats.org/officeDocument/2006/relationships/hyperlink" Target="https://doi.org/10.1016/j.envsci.2021.07.009" TargetMode="External"/><Relationship Id="rId19" Type="http://schemas.openxmlformats.org/officeDocument/2006/relationships/hyperlink" Target="https://consensus.app/papers/strategic-investment-to-mitigate-transition-risks-zhang-wirjanto/d73d1245f3905d2ba17e886422279ca1/" TargetMode="External"/><Relationship Id="rId4" Type="http://schemas.openxmlformats.org/officeDocument/2006/relationships/webSettings" Target="webSettings.xml"/><Relationship Id="rId9" Type="http://schemas.openxmlformats.org/officeDocument/2006/relationships/hyperlink" Target="https://doi.org/10.1002/wcc.633" TargetMode="External"/><Relationship Id="rId14" Type="http://schemas.openxmlformats.org/officeDocument/2006/relationships/hyperlink" Target="https://doi.org/10.1002/wcc.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Coppola</dc:creator>
  <cp:keywords/>
  <dc:description/>
  <cp:lastModifiedBy>Giorgio Coppola</cp:lastModifiedBy>
  <cp:revision>12</cp:revision>
  <dcterms:created xsi:type="dcterms:W3CDTF">2026-02-05T11:23:00Z</dcterms:created>
  <dcterms:modified xsi:type="dcterms:W3CDTF">2026-02-11T11:20:00Z</dcterms:modified>
</cp:coreProperties>
</file>