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03A5" w14:textId="7A6DC945" w:rsidR="008D1AAD" w:rsidRPr="008D1AAD" w:rsidRDefault="008D1AAD" w:rsidP="008D1AAD">
      <w:pPr>
        <w:jc w:val="both"/>
        <w:rPr>
          <w:b/>
          <w:bCs/>
          <w:sz w:val="28"/>
          <w:szCs w:val="28"/>
          <w:lang w:val="en-US"/>
        </w:rPr>
      </w:pPr>
      <w:r w:rsidRPr="008D1AAD">
        <w:rPr>
          <w:b/>
          <w:bCs/>
          <w:sz w:val="28"/>
          <w:szCs w:val="28"/>
          <w:lang w:val="en-US"/>
        </w:rPr>
        <w:t>A Systemic Framework for Assessing the Risk of Decarbonization to Regional Manufacturing Activities in the European Union</w:t>
      </w:r>
    </w:p>
    <w:p w14:paraId="67D5185F" w14:textId="2ADA10C6" w:rsidR="00644FE9" w:rsidRPr="00861160" w:rsidRDefault="008D1AAD" w:rsidP="008D1AAD">
      <w:pPr>
        <w:jc w:val="both"/>
        <w:rPr>
          <w:lang w:val="en-US"/>
        </w:rPr>
      </w:pPr>
      <w:r w:rsidRPr="00861160">
        <w:rPr>
          <w:lang w:val="en-US"/>
        </w:rPr>
        <w:t>Climate Policy – Resubmission Plan</w:t>
      </w:r>
    </w:p>
    <w:p w14:paraId="484CD3BA" w14:textId="5B28B8D4" w:rsidR="00B701A4" w:rsidRPr="00861160" w:rsidRDefault="008D1AAD" w:rsidP="008D1AAD">
      <w:pPr>
        <w:jc w:val="both"/>
        <w:rPr>
          <w:lang w:val="en-US"/>
        </w:rPr>
      </w:pPr>
      <w:r w:rsidRPr="00861160">
        <w:rPr>
          <w:lang w:val="en-US"/>
        </w:rPr>
        <w:t>February 2026</w:t>
      </w:r>
    </w:p>
    <w:p w14:paraId="6190E6EB" w14:textId="77777777" w:rsidR="00B701A4" w:rsidRPr="00861160" w:rsidRDefault="00B701A4" w:rsidP="008D1AAD">
      <w:pPr>
        <w:jc w:val="both"/>
        <w:rPr>
          <w:lang w:val="en-US"/>
        </w:rPr>
      </w:pPr>
    </w:p>
    <w:p w14:paraId="6B1F6DB2" w14:textId="425C8313" w:rsidR="008D1AAD" w:rsidRDefault="008D1AAD" w:rsidP="008D1AAD">
      <w:pPr>
        <w:pStyle w:val="ListParagraph"/>
        <w:numPr>
          <w:ilvl w:val="0"/>
          <w:numId w:val="1"/>
        </w:numPr>
        <w:jc w:val="both"/>
        <w:rPr>
          <w:b/>
          <w:bCs/>
          <w:sz w:val="22"/>
          <w:szCs w:val="22"/>
          <w:lang w:val="de-DE"/>
        </w:rPr>
      </w:pPr>
      <w:r>
        <w:rPr>
          <w:b/>
          <w:bCs/>
          <w:sz w:val="22"/>
          <w:szCs w:val="22"/>
          <w:lang w:val="de-DE"/>
        </w:rPr>
        <w:t>Literature review</w:t>
      </w:r>
    </w:p>
    <w:p w14:paraId="3848B98F" w14:textId="6EAECB52" w:rsidR="008D1AAD" w:rsidRDefault="008D1AAD" w:rsidP="008D1AAD">
      <w:pPr>
        <w:ind w:left="360"/>
        <w:jc w:val="both"/>
        <w:rPr>
          <w:sz w:val="22"/>
          <w:szCs w:val="22"/>
          <w:lang w:val="en-US"/>
        </w:rPr>
      </w:pPr>
      <w:r w:rsidRPr="008D1AAD">
        <w:rPr>
          <w:sz w:val="22"/>
          <w:szCs w:val="22"/>
          <w:lang w:val="en-US"/>
        </w:rPr>
        <w:t>Right now, the literature review doe</w:t>
      </w:r>
      <w:r>
        <w:rPr>
          <w:sz w:val="22"/>
          <w:szCs w:val="22"/>
          <w:lang w:val="en-US"/>
        </w:rPr>
        <w:t>sn’t</w:t>
      </w:r>
      <w:r w:rsidR="00861160">
        <w:rPr>
          <w:sz w:val="22"/>
          <w:szCs w:val="22"/>
          <w:lang w:val="en-US"/>
        </w:rPr>
        <w:t xml:space="preserve"> fully</w:t>
      </w:r>
      <w:r>
        <w:rPr>
          <w:sz w:val="22"/>
          <w:szCs w:val="22"/>
          <w:lang w:val="en-US"/>
        </w:rPr>
        <w:t xml:space="preserve"> justify why this composite indicator and these dimension/variables are appropriate for the research question the paper wants to answer. We need</w:t>
      </w:r>
      <w:r w:rsidR="00861160">
        <w:rPr>
          <w:sz w:val="22"/>
          <w:szCs w:val="22"/>
          <w:lang w:val="en-US"/>
        </w:rPr>
        <w:t xml:space="preserve"> a more complete view of the literature about</w:t>
      </w:r>
    </w:p>
    <w:p w14:paraId="6D5AD6A7" w14:textId="2CE6A0F8" w:rsidR="008D1AAD" w:rsidRDefault="008D1AAD" w:rsidP="008D1AAD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en-US"/>
        </w:rPr>
      </w:pPr>
      <w:r w:rsidRPr="008D1AAD">
        <w:rPr>
          <w:b/>
          <w:bCs/>
          <w:sz w:val="22"/>
          <w:szCs w:val="22"/>
          <w:lang w:val="en-US"/>
        </w:rPr>
        <w:t>Transition risk for industry and region</w:t>
      </w:r>
      <w:r w:rsidR="00861160">
        <w:rPr>
          <w:b/>
          <w:bCs/>
          <w:sz w:val="22"/>
          <w:szCs w:val="22"/>
          <w:lang w:val="en-US"/>
        </w:rPr>
        <w:t>s</w:t>
      </w:r>
      <w:r w:rsidRPr="008D1AAD">
        <w:rPr>
          <w:b/>
          <w:bCs/>
          <w:sz w:val="22"/>
          <w:szCs w:val="22"/>
          <w:lang w:val="en-US"/>
        </w:rPr>
        <w:t>:</w:t>
      </w:r>
      <w:r>
        <w:rPr>
          <w:sz w:val="22"/>
          <w:szCs w:val="22"/>
          <w:lang w:val="en-US"/>
        </w:rPr>
        <w:t xml:space="preserve"> What “transition risk” means in industrial decarbonization and distributional impact; what policy levers matter (ETS/carbon pricing, standards, CBAM, energy prices, technology mandates) and thow they map to measurable variables.</w:t>
      </w:r>
    </w:p>
    <w:p w14:paraId="6E81C81D" w14:textId="3A1EE420" w:rsidR="008D1AAD" w:rsidRPr="008D1AAD" w:rsidRDefault="008D1AAD" w:rsidP="008D1AAD">
      <w:pPr>
        <w:pStyle w:val="ListParagraph"/>
        <w:numPr>
          <w:ilvl w:val="0"/>
          <w:numId w:val="2"/>
        </w:numPr>
        <w:jc w:val="both"/>
        <w:rPr>
          <w:b/>
          <w:bCs/>
          <w:sz w:val="22"/>
          <w:szCs w:val="22"/>
          <w:lang w:val="en-US"/>
        </w:rPr>
      </w:pPr>
      <w:r w:rsidRPr="008D1AAD">
        <w:rPr>
          <w:b/>
          <w:bCs/>
          <w:sz w:val="22"/>
          <w:szCs w:val="22"/>
          <w:lang w:val="en-US"/>
        </w:rPr>
        <w:t>Regional adaptability/economic geography/ path developmen</w:t>
      </w:r>
      <w:r w:rsidR="00861160">
        <w:rPr>
          <w:b/>
          <w:bCs/>
          <w:sz w:val="22"/>
          <w:szCs w:val="22"/>
          <w:lang w:val="en-US"/>
        </w:rPr>
        <w:t>t</w:t>
      </w:r>
      <w:r w:rsidRPr="008D1AAD">
        <w:rPr>
          <w:b/>
          <w:bCs/>
          <w:sz w:val="22"/>
          <w:szCs w:val="22"/>
          <w:lang w:val="en-US"/>
        </w:rPr>
        <w:t>:</w:t>
      </w:r>
      <w:r>
        <w:rPr>
          <w:b/>
          <w:bCs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Regional innovation systems, path dependency, global value chains and their relationship to vulnerability/capability.</w:t>
      </w:r>
    </w:p>
    <w:p w14:paraId="5B1D99B0" w14:textId="235CC0C8" w:rsidR="008D1AAD" w:rsidRPr="008D1AAD" w:rsidRDefault="008D1AAD" w:rsidP="008D1AAD">
      <w:pPr>
        <w:pStyle w:val="ListParagraph"/>
        <w:numPr>
          <w:ilvl w:val="0"/>
          <w:numId w:val="2"/>
        </w:numPr>
        <w:jc w:val="both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Composite indicators for policy: </w:t>
      </w:r>
      <w:r>
        <w:rPr>
          <w:sz w:val="22"/>
          <w:szCs w:val="22"/>
          <w:lang w:val="en-US"/>
        </w:rPr>
        <w:t xml:space="preserve">Why composite indices are useful policy tools, transparency, sensitivity, weighting, normalizaiton choices (map the literature and best practices). Connect to </w:t>
      </w:r>
      <w:r w:rsidRPr="008D1AAD">
        <w:rPr>
          <w:sz w:val="22"/>
          <w:szCs w:val="22"/>
        </w:rPr>
        <w:t>OECD/JRC composite indicator guidance</w:t>
      </w:r>
      <w:r>
        <w:rPr>
          <w:sz w:val="22"/>
          <w:szCs w:val="22"/>
        </w:rPr>
        <w:t>.</w:t>
      </w:r>
    </w:p>
    <w:p w14:paraId="4E34146F" w14:textId="26858CBF" w:rsidR="008D1AAD" w:rsidRPr="00861160" w:rsidRDefault="00861160" w:rsidP="00861160">
      <w:pPr>
        <w:ind w:left="360"/>
        <w:jc w:val="both"/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Moreover, we should c</w:t>
      </w:r>
      <w:r w:rsidR="008D1AAD" w:rsidRPr="00861160">
        <w:rPr>
          <w:sz w:val="22"/>
          <w:szCs w:val="22"/>
          <w:lang w:val="en-US"/>
        </w:rPr>
        <w:t xml:space="preserve">larify </w:t>
      </w:r>
      <w:r>
        <w:rPr>
          <w:sz w:val="22"/>
          <w:szCs w:val="22"/>
          <w:lang w:val="en-US"/>
        </w:rPr>
        <w:t xml:space="preserve">the </w:t>
      </w:r>
      <w:r w:rsidR="008D1AAD" w:rsidRPr="00861160">
        <w:rPr>
          <w:sz w:val="22"/>
          <w:szCs w:val="22"/>
          <w:lang w:val="en-US"/>
        </w:rPr>
        <w:t>contribution</w:t>
      </w:r>
      <w:r>
        <w:rPr>
          <w:sz w:val="22"/>
          <w:szCs w:val="22"/>
          <w:lang w:val="en-US"/>
        </w:rPr>
        <w:t xml:space="preserve"> of the paper</w:t>
      </w:r>
      <w:r w:rsidR="008D1AAD" w:rsidRPr="00861160">
        <w:rPr>
          <w:sz w:val="22"/>
          <w:szCs w:val="22"/>
          <w:lang w:val="en-US"/>
        </w:rPr>
        <w:t>:</w:t>
      </w:r>
      <w:r w:rsidR="008D1AAD" w:rsidRPr="00861160">
        <w:rPr>
          <w:b/>
          <w:bCs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we use o</w:t>
      </w:r>
      <w:r w:rsidR="008D1AAD" w:rsidRPr="00861160">
        <w:rPr>
          <w:sz w:val="22"/>
          <w:szCs w:val="22"/>
          <w:lang w:val="en-US"/>
        </w:rPr>
        <w:t xml:space="preserve">pen-data, </w:t>
      </w:r>
      <w:r>
        <w:rPr>
          <w:sz w:val="22"/>
          <w:szCs w:val="22"/>
          <w:lang w:val="en-US"/>
        </w:rPr>
        <w:t xml:space="preserve">we create a </w:t>
      </w:r>
      <w:r w:rsidR="008D1AAD" w:rsidRPr="00861160">
        <w:rPr>
          <w:sz w:val="22"/>
          <w:szCs w:val="22"/>
          <w:lang w:val="en-US"/>
        </w:rPr>
        <w:t xml:space="preserve">NUTS2 x manufacturing subsector diagnostic index, </w:t>
      </w:r>
      <w:r>
        <w:rPr>
          <w:sz w:val="22"/>
          <w:szCs w:val="22"/>
          <w:lang w:val="en-US"/>
        </w:rPr>
        <w:t xml:space="preserve">should be considere as a </w:t>
      </w:r>
      <w:r w:rsidR="008D1AAD" w:rsidRPr="00861160">
        <w:rPr>
          <w:sz w:val="22"/>
          <w:szCs w:val="22"/>
          <w:lang w:val="en-US"/>
        </w:rPr>
        <w:t>sceening tool.</w:t>
      </w:r>
    </w:p>
    <w:p w14:paraId="0AA7E6C9" w14:textId="77777777" w:rsidR="00296C31" w:rsidRPr="00296C31" w:rsidRDefault="00296C31" w:rsidP="00296C31">
      <w:pPr>
        <w:ind w:left="360"/>
        <w:jc w:val="both"/>
        <w:rPr>
          <w:b/>
          <w:bCs/>
          <w:sz w:val="22"/>
          <w:szCs w:val="22"/>
          <w:lang w:val="en-US"/>
        </w:rPr>
      </w:pPr>
    </w:p>
    <w:p w14:paraId="3DEF31A4" w14:textId="697624AE" w:rsidR="008D1AAD" w:rsidRDefault="008D1AAD" w:rsidP="008D1AAD">
      <w:pPr>
        <w:pStyle w:val="ListParagraph"/>
        <w:numPr>
          <w:ilvl w:val="0"/>
          <w:numId w:val="1"/>
        </w:numPr>
        <w:jc w:val="both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Adjust framework removing </w:t>
      </w:r>
      <w:r w:rsidR="00B22FBF">
        <w:rPr>
          <w:b/>
          <w:bCs/>
          <w:sz w:val="22"/>
          <w:szCs w:val="22"/>
          <w:lang w:val="en-US"/>
        </w:rPr>
        <w:t>“</w:t>
      </w:r>
      <w:r>
        <w:rPr>
          <w:b/>
          <w:bCs/>
          <w:sz w:val="22"/>
          <w:szCs w:val="22"/>
          <w:lang w:val="en-US"/>
        </w:rPr>
        <w:t>Scenario</w:t>
      </w:r>
      <w:r w:rsidR="00B22FBF">
        <w:rPr>
          <w:b/>
          <w:bCs/>
          <w:sz w:val="22"/>
          <w:szCs w:val="22"/>
          <w:lang w:val="en-US"/>
        </w:rPr>
        <w:t>”</w:t>
      </w:r>
    </w:p>
    <w:p w14:paraId="6A980B46" w14:textId="1BA56289" w:rsidR="008D1AAD" w:rsidRDefault="00EC18DE" w:rsidP="008D1AAD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Revise Figure 1b to show the risk structure used: Transition pressure (Exposure) and Adaptive capacity constraints (Vulnerability). </w:t>
      </w:r>
      <w:r>
        <w:rPr>
          <w:sz w:val="22"/>
          <w:szCs w:val="22"/>
        </w:rPr>
        <w:t>The</w:t>
      </w:r>
      <w:r w:rsidRPr="00EC18DE">
        <w:rPr>
          <w:sz w:val="22"/>
          <w:szCs w:val="22"/>
        </w:rPr>
        <w:t xml:space="preserve"> index is conditional on a baseline EU policy environment; scenarios are an optional extension and are discussed as future work</w:t>
      </w:r>
      <w:r>
        <w:rPr>
          <w:sz w:val="22"/>
          <w:szCs w:val="22"/>
        </w:rPr>
        <w:t>.</w:t>
      </w:r>
    </w:p>
    <w:p w14:paraId="54603E0E" w14:textId="6768C7A3" w:rsidR="00EC18DE" w:rsidRDefault="00EC18DE" w:rsidP="008D1AAD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Exposure should be defined as something like: “</w:t>
      </w:r>
      <w:r w:rsidRPr="00EC18DE">
        <w:rPr>
          <w:sz w:val="22"/>
          <w:szCs w:val="22"/>
        </w:rPr>
        <w:t>exposure to transition pressures associated with emissions- and energy-intensive production structures</w:t>
      </w:r>
      <w:r>
        <w:rPr>
          <w:sz w:val="22"/>
          <w:szCs w:val="22"/>
        </w:rPr>
        <w:t>”.</w:t>
      </w:r>
    </w:p>
    <w:p w14:paraId="534A0082" w14:textId="77777777" w:rsidR="00296C31" w:rsidRDefault="00296C31" w:rsidP="00296C31">
      <w:pPr>
        <w:ind w:left="360"/>
        <w:jc w:val="both"/>
        <w:rPr>
          <w:b/>
          <w:bCs/>
          <w:sz w:val="22"/>
          <w:szCs w:val="22"/>
          <w:lang w:val="en-US"/>
        </w:rPr>
      </w:pPr>
    </w:p>
    <w:p w14:paraId="0A9CD7D9" w14:textId="0762B84A" w:rsidR="00EC18DE" w:rsidRPr="00296C31" w:rsidRDefault="00EC18DE" w:rsidP="00296C31">
      <w:pPr>
        <w:pStyle w:val="ListParagraph"/>
        <w:numPr>
          <w:ilvl w:val="0"/>
          <w:numId w:val="1"/>
        </w:numPr>
        <w:jc w:val="both"/>
        <w:rPr>
          <w:b/>
          <w:bCs/>
          <w:sz w:val="22"/>
          <w:szCs w:val="22"/>
          <w:lang w:val="en-US"/>
        </w:rPr>
      </w:pPr>
      <w:r w:rsidRPr="00296C31">
        <w:rPr>
          <w:b/>
          <w:bCs/>
          <w:sz w:val="22"/>
          <w:szCs w:val="22"/>
          <w:lang w:val="en-US"/>
        </w:rPr>
        <w:t>Redesign indicators and denominators (per employee) and rebuild dimensions from literature</w:t>
      </w:r>
    </w:p>
    <w:p w14:paraId="451EC6FE" w14:textId="77777777" w:rsidR="00EC18DE" w:rsidRDefault="00EC18DE" w:rsidP="00EC18DE">
      <w:pPr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By now:</w:t>
      </w:r>
    </w:p>
    <w:p w14:paraId="3A8783D9" w14:textId="77777777" w:rsidR="00EC18DE" w:rsidRPr="00EC18DE" w:rsidRDefault="00EC18DE" w:rsidP="00EC18DE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en-US"/>
        </w:rPr>
      </w:pPr>
      <w:r w:rsidRPr="00EC18DE">
        <w:rPr>
          <w:sz w:val="22"/>
          <w:szCs w:val="22"/>
          <w:lang w:val="en-US"/>
        </w:rPr>
        <w:lastRenderedPageBreak/>
        <w:t>some indicators (</w:t>
      </w:r>
      <w:r w:rsidRPr="00EC18DE">
        <w:rPr>
          <w:sz w:val="22"/>
          <w:szCs w:val="22"/>
        </w:rPr>
        <w:t>Energy_Consumption, GHG_Emissions, GFCF, BERD) are converted to “per enterprise”,</w:t>
      </w:r>
    </w:p>
    <w:p w14:paraId="2BA1CCFB" w14:textId="70C6804F" w:rsidR="009F320C" w:rsidRPr="009F320C" w:rsidRDefault="009F320C" w:rsidP="009F320C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we </w:t>
      </w:r>
      <w:r w:rsidRPr="009F320C">
        <w:rPr>
          <w:sz w:val="22"/>
          <w:szCs w:val="22"/>
        </w:rPr>
        <w:t>impute missing values with country</w:t>
      </w:r>
      <w:r>
        <w:rPr>
          <w:sz w:val="22"/>
          <w:szCs w:val="22"/>
        </w:rPr>
        <w:t xml:space="preserve"> x </w:t>
      </w:r>
      <w:r w:rsidRPr="009F320C">
        <w:rPr>
          <w:sz w:val="22"/>
          <w:szCs w:val="22"/>
        </w:rPr>
        <w:t>sector medians</w:t>
      </w:r>
      <w:r w:rsidR="00EC18DE" w:rsidRPr="00EC18DE">
        <w:rPr>
          <w:sz w:val="22"/>
          <w:szCs w:val="22"/>
        </w:rPr>
        <w:t xml:space="preserve"> </w:t>
      </w:r>
      <w:r>
        <w:rPr>
          <w:sz w:val="22"/>
          <w:szCs w:val="22"/>
        </w:rPr>
        <w:t>(not mentioned in the manuscript)</w:t>
      </w:r>
    </w:p>
    <w:p w14:paraId="5E176C18" w14:textId="0A3538DC" w:rsidR="009F320C" w:rsidRDefault="009F320C" w:rsidP="009F320C">
      <w:pPr>
        <w:ind w:left="36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We should:</w:t>
      </w:r>
    </w:p>
    <w:p w14:paraId="32427911" w14:textId="3F051DA7" w:rsidR="008D1AAD" w:rsidRPr="000C4753" w:rsidRDefault="009F320C" w:rsidP="008D1AAD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en-US"/>
        </w:rPr>
      </w:pPr>
      <w:r w:rsidRPr="009F320C">
        <w:rPr>
          <w:b/>
          <w:bCs/>
          <w:sz w:val="22"/>
          <w:szCs w:val="22"/>
          <w:lang w:val="en-US"/>
        </w:rPr>
        <w:t xml:space="preserve">Denominators: replace “per enterprise” with “per employee” </w:t>
      </w:r>
    </w:p>
    <w:p w14:paraId="57BC1A3A" w14:textId="753C8524" w:rsidR="000C4753" w:rsidRPr="009F320C" w:rsidRDefault="000C4753" w:rsidP="008D1AAD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Mention in the manuscript </w:t>
      </w:r>
      <w:r w:rsidRPr="000C4753">
        <w:rPr>
          <w:b/>
          <w:bCs/>
          <w:sz w:val="22"/>
          <w:szCs w:val="22"/>
          <w:lang w:val="en-US"/>
        </w:rPr>
        <w:t xml:space="preserve">everything </w:t>
      </w:r>
      <w:r>
        <w:rPr>
          <w:b/>
          <w:bCs/>
          <w:sz w:val="22"/>
          <w:szCs w:val="22"/>
          <w:lang w:val="en-US"/>
        </w:rPr>
        <w:t>done in the code</w:t>
      </w:r>
      <w:r w:rsidR="00A77ED7">
        <w:rPr>
          <w:b/>
          <w:bCs/>
          <w:sz w:val="22"/>
          <w:szCs w:val="22"/>
          <w:lang w:val="en-US"/>
        </w:rPr>
        <w:t xml:space="preserve"> </w:t>
      </w:r>
      <w:r w:rsidR="00A77ED7">
        <w:rPr>
          <w:sz w:val="22"/>
          <w:szCs w:val="22"/>
          <w:lang w:val="en-US"/>
        </w:rPr>
        <w:t>(imputation of missing values, …)</w:t>
      </w:r>
    </w:p>
    <w:p w14:paraId="3B9D96E2" w14:textId="52849190" w:rsidR="009F320C" w:rsidRPr="009F320C" w:rsidRDefault="009F320C" w:rsidP="008D1AAD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en-US"/>
        </w:rPr>
      </w:pPr>
      <w:r w:rsidRPr="009F320C">
        <w:rPr>
          <w:b/>
          <w:bCs/>
          <w:sz w:val="22"/>
          <w:szCs w:val="22"/>
        </w:rPr>
        <w:t>Add “</w:t>
      </w:r>
      <w:r w:rsidR="00A77ED7">
        <w:rPr>
          <w:b/>
          <w:bCs/>
          <w:sz w:val="22"/>
          <w:szCs w:val="22"/>
        </w:rPr>
        <w:t>adaptive response</w:t>
      </w:r>
      <w:r w:rsidRPr="009F320C">
        <w:rPr>
          <w:b/>
          <w:bCs/>
          <w:sz w:val="22"/>
          <w:szCs w:val="22"/>
        </w:rPr>
        <w:t xml:space="preserve">” concepts reviewers </w:t>
      </w:r>
      <w:r>
        <w:rPr>
          <w:b/>
          <w:bCs/>
          <w:sz w:val="22"/>
          <w:szCs w:val="22"/>
        </w:rPr>
        <w:t>indicated</w:t>
      </w:r>
      <w:r w:rsidRPr="009F320C">
        <w:rPr>
          <w:b/>
          <w:bCs/>
          <w:sz w:val="22"/>
          <w:szCs w:val="22"/>
        </w:rPr>
        <w:t xml:space="preserve"> </w:t>
      </w:r>
      <w:r w:rsidRPr="009F320C">
        <w:rPr>
          <w:sz w:val="22"/>
          <w:szCs w:val="22"/>
        </w:rPr>
        <w:t>(</w:t>
      </w:r>
      <w:r w:rsidR="000C4753">
        <w:rPr>
          <w:sz w:val="22"/>
          <w:szCs w:val="22"/>
        </w:rPr>
        <w:t xml:space="preserve">regional </w:t>
      </w:r>
      <w:r w:rsidRPr="009F320C">
        <w:rPr>
          <w:sz w:val="22"/>
          <w:szCs w:val="22"/>
        </w:rPr>
        <w:t>diversification, clusters, opportunities)</w:t>
      </w:r>
      <w:r>
        <w:rPr>
          <w:sz w:val="22"/>
          <w:szCs w:val="22"/>
        </w:rPr>
        <w:t>:</w:t>
      </w:r>
    </w:p>
    <w:p w14:paraId="7734B82D" w14:textId="37178B68" w:rsidR="009F320C" w:rsidRDefault="009F320C" w:rsidP="009F320C">
      <w:pPr>
        <w:pStyle w:val="ListParagraph"/>
        <w:numPr>
          <w:ilvl w:val="1"/>
          <w:numId w:val="2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Regional diversification / industrial structure index across manufacturing sectors (more diversification = lower vulnerability)</w:t>
      </w:r>
      <w:r w:rsidR="000C4753" w:rsidRPr="000C4753">
        <w:rPr>
          <w:b/>
          <w:bCs/>
          <w:sz w:val="22"/>
          <w:szCs w:val="22"/>
          <w:lang w:val="en-US"/>
        </w:rPr>
        <w:t xml:space="preserve"> </w:t>
      </w:r>
    </w:p>
    <w:p w14:paraId="0B80BFC5" w14:textId="77777777" w:rsidR="009F320C" w:rsidRDefault="009F320C" w:rsidP="009F320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9F320C">
        <w:rPr>
          <w:b/>
          <w:bCs/>
          <w:sz w:val="22"/>
          <w:szCs w:val="22"/>
        </w:rPr>
        <w:t>Add an “opportunity/capability” proxy</w:t>
      </w:r>
      <w:r w:rsidRPr="009F320C">
        <w:rPr>
          <w:sz w:val="22"/>
          <w:szCs w:val="22"/>
        </w:rPr>
        <w:t xml:space="preserve"> </w:t>
      </w:r>
    </w:p>
    <w:p w14:paraId="67C9AF00" w14:textId="1DA3B6CF" w:rsidR="009F320C" w:rsidRDefault="009F320C" w:rsidP="009F320C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9F320C">
        <w:rPr>
          <w:sz w:val="22"/>
          <w:szCs w:val="22"/>
        </w:rPr>
        <w:t>e.g., green-tech patenting share / related innovation specialization / smart specialization intensity (depending on available open data)</w:t>
      </w:r>
    </w:p>
    <w:p w14:paraId="37030EF8" w14:textId="595B4645" w:rsidR="009F320C" w:rsidRDefault="009F320C" w:rsidP="009F320C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Probably at regional level (no subsector)</w:t>
      </w:r>
    </w:p>
    <w:p w14:paraId="62E979E1" w14:textId="77777777" w:rsidR="009F320C" w:rsidRPr="009F320C" w:rsidRDefault="009F320C" w:rsidP="009F320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More research about supply chain logic and data</w:t>
      </w:r>
    </w:p>
    <w:p w14:paraId="3133DA86" w14:textId="5CDF6ABE" w:rsidR="009F320C" w:rsidRPr="00A77ED7" w:rsidRDefault="009F320C" w:rsidP="009F320C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C</w:t>
      </w:r>
      <w:r w:rsidRPr="009F320C">
        <w:rPr>
          <w:sz w:val="22"/>
          <w:szCs w:val="22"/>
        </w:rPr>
        <w:t xml:space="preserve">arbon-intensive </w:t>
      </w:r>
      <w:r>
        <w:rPr>
          <w:sz w:val="22"/>
          <w:szCs w:val="22"/>
        </w:rPr>
        <w:t>i</w:t>
      </w:r>
      <w:r w:rsidRPr="009F320C">
        <w:rPr>
          <w:sz w:val="22"/>
          <w:szCs w:val="22"/>
        </w:rPr>
        <w:t xml:space="preserve">mport dependency as </w:t>
      </w:r>
      <w:r w:rsidRPr="009F320C">
        <w:rPr>
          <w:i/>
          <w:iCs/>
          <w:sz w:val="22"/>
          <w:szCs w:val="22"/>
        </w:rPr>
        <w:t>risk increasing</w:t>
      </w:r>
    </w:p>
    <w:p w14:paraId="6AF759BE" w14:textId="64F14004" w:rsidR="00A77ED7" w:rsidRPr="009F320C" w:rsidRDefault="00A77ED7" w:rsidP="00A77ED7">
      <w:pPr>
        <w:pStyle w:val="ListParagraph"/>
        <w:numPr>
          <w:ilvl w:val="2"/>
          <w:numId w:val="2"/>
        </w:num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CBAM impacts (what industries are covered by, which regions have more concentration of these industries, …)</w:t>
      </w:r>
    </w:p>
    <w:p w14:paraId="4517CD90" w14:textId="3F4729A9" w:rsidR="009F320C" w:rsidRDefault="009F320C" w:rsidP="009F320C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9F320C">
        <w:rPr>
          <w:sz w:val="22"/>
          <w:szCs w:val="22"/>
        </w:rPr>
        <w:t xml:space="preserve">Export openness / global linkages as potentially </w:t>
      </w:r>
      <w:r w:rsidRPr="009F320C">
        <w:rPr>
          <w:i/>
          <w:iCs/>
          <w:sz w:val="22"/>
          <w:szCs w:val="22"/>
        </w:rPr>
        <w:t>capability enhancing</w:t>
      </w:r>
      <w:r w:rsidRPr="009F320C">
        <w:rPr>
          <w:sz w:val="22"/>
          <w:szCs w:val="22"/>
        </w:rPr>
        <w:t xml:space="preserve"> </w:t>
      </w:r>
      <w:r w:rsidR="00E81964">
        <w:rPr>
          <w:sz w:val="22"/>
          <w:szCs w:val="22"/>
        </w:rPr>
        <w:t>(or irrelevant – therefore, exclude) – do more research</w:t>
      </w:r>
      <w:r w:rsidR="00C23754">
        <w:rPr>
          <w:sz w:val="22"/>
          <w:szCs w:val="22"/>
        </w:rPr>
        <w:t xml:space="preserve"> (discussion)</w:t>
      </w:r>
    </w:p>
    <w:p w14:paraId="38FCE5F6" w14:textId="0A88F682" w:rsidR="00E81964" w:rsidRPr="00E81964" w:rsidRDefault="00E81964" w:rsidP="00E8196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Institutions: </w:t>
      </w:r>
      <w:r w:rsidRPr="00E81964">
        <w:rPr>
          <w:b/>
          <w:bCs/>
          <w:sz w:val="22"/>
          <w:szCs w:val="22"/>
        </w:rPr>
        <w:t>Quality of Government (QoG) EU Regional dataset</w:t>
      </w:r>
      <w:r w:rsidR="00C23754">
        <w:rPr>
          <w:b/>
          <w:bCs/>
          <w:sz w:val="22"/>
          <w:szCs w:val="22"/>
        </w:rPr>
        <w:t xml:space="preserve"> </w:t>
      </w:r>
      <w:r w:rsidR="00C23754">
        <w:rPr>
          <w:sz w:val="22"/>
          <w:szCs w:val="22"/>
        </w:rPr>
        <w:t>– relationship btw QoG and Risk</w:t>
      </w:r>
    </w:p>
    <w:p w14:paraId="26B1C0A4" w14:textId="5DA0D7A9" w:rsidR="00E81964" w:rsidRPr="00C23754" w:rsidRDefault="00E81964" w:rsidP="00E8196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RE potential should be included, both at regional </w:t>
      </w:r>
      <w:r w:rsidRPr="00C23754">
        <w:rPr>
          <w:sz w:val="22"/>
          <w:szCs w:val="22"/>
        </w:rPr>
        <w:t>and ideally at subsectoral level</w:t>
      </w:r>
      <w:r w:rsidR="00C23754" w:rsidRPr="00C23754">
        <w:rPr>
          <w:sz w:val="22"/>
          <w:szCs w:val="22"/>
        </w:rPr>
        <w:t xml:space="preserve"> (discussion</w:t>
      </w:r>
      <w:r w:rsidR="00C23754">
        <w:rPr>
          <w:sz w:val="22"/>
          <w:szCs w:val="22"/>
        </w:rPr>
        <w:t xml:space="preserve"> for subsector</w:t>
      </w:r>
      <w:r w:rsidR="00C23754" w:rsidRPr="00C23754">
        <w:rPr>
          <w:sz w:val="22"/>
          <w:szCs w:val="22"/>
        </w:rPr>
        <w:t>)</w:t>
      </w:r>
    </w:p>
    <w:p w14:paraId="6627C18E" w14:textId="77777777" w:rsidR="00234A32" w:rsidRDefault="00234A32" w:rsidP="00234A32">
      <w:pPr>
        <w:ind w:left="360"/>
        <w:jc w:val="both"/>
        <w:rPr>
          <w:sz w:val="22"/>
          <w:szCs w:val="22"/>
        </w:rPr>
      </w:pPr>
    </w:p>
    <w:p w14:paraId="4CCF8BE8" w14:textId="674AED92" w:rsidR="00234A32" w:rsidRDefault="00EC2795" w:rsidP="00234A32">
      <w:pPr>
        <w:pStyle w:val="ListParagraph"/>
        <w:numPr>
          <w:ilvl w:val="0"/>
          <w:numId w:val="1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Rebuild</w:t>
      </w:r>
      <w:r w:rsidR="00234A32">
        <w:rPr>
          <w:b/>
          <w:bCs/>
          <w:sz w:val="22"/>
          <w:szCs w:val="22"/>
        </w:rPr>
        <w:t xml:space="preserve"> Exposure</w:t>
      </w:r>
    </w:p>
    <w:p w14:paraId="2D9040B1" w14:textId="35AF1E28" w:rsidR="00234A32" w:rsidRDefault="00EC2795" w:rsidP="00234A32">
      <w:pPr>
        <w:ind w:left="360"/>
        <w:jc w:val="both"/>
        <w:rPr>
          <w:b/>
          <w:bCs/>
          <w:sz w:val="22"/>
          <w:szCs w:val="22"/>
        </w:rPr>
      </w:pPr>
      <w:r>
        <w:rPr>
          <w:kern w:val="0"/>
          <w:sz w:val="22"/>
          <w:szCs w:val="22"/>
          <w14:ligatures w14:val="none"/>
        </w:rPr>
        <w:t>Reviewers' comments: exposure is oversimplified and disconnected from “cost and competitiveness pressures” → currently only accounts for current emission levels → for now it’s just being exposed to its own emissions → should be thought of as</w:t>
      </w:r>
      <w:r w:rsidR="00234A32">
        <w:rPr>
          <w:sz w:val="22"/>
          <w:szCs w:val="22"/>
        </w:rPr>
        <w:t xml:space="preserve"> “</w:t>
      </w:r>
      <w:r w:rsidR="00234A32" w:rsidRPr="00234A32">
        <w:rPr>
          <w:b/>
          <w:bCs/>
          <w:sz w:val="22"/>
          <w:szCs w:val="22"/>
        </w:rPr>
        <w:t>transition pressure sensitivity</w:t>
      </w:r>
      <w:r w:rsidR="00234A32">
        <w:rPr>
          <w:b/>
          <w:bCs/>
          <w:sz w:val="22"/>
          <w:szCs w:val="22"/>
        </w:rPr>
        <w:t>”.</w:t>
      </w:r>
    </w:p>
    <w:p w14:paraId="03AF3847" w14:textId="1688ADC0" w:rsidR="00234A32" w:rsidRDefault="00234A32" w:rsidP="00234A32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Ideally, the exposure index should include:</w:t>
      </w:r>
    </w:p>
    <w:p w14:paraId="4DE30435" w14:textId="3FA0A9C7" w:rsidR="00234A32" w:rsidRDefault="00234A32" w:rsidP="00234A32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234A32">
        <w:rPr>
          <w:b/>
          <w:bCs/>
          <w:sz w:val="22"/>
          <w:szCs w:val="22"/>
        </w:rPr>
        <w:t>Emission and energy intensity</w:t>
      </w:r>
      <w:r>
        <w:rPr>
          <w:sz w:val="22"/>
          <w:szCs w:val="22"/>
        </w:rPr>
        <w:t xml:space="preserve"> per employee</w:t>
      </w:r>
    </w:p>
    <w:p w14:paraId="750D392A" w14:textId="35872AC7" w:rsidR="00234A32" w:rsidRDefault="00234A32" w:rsidP="00234A32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234A32">
        <w:rPr>
          <w:b/>
          <w:bCs/>
          <w:sz w:val="22"/>
          <w:szCs w:val="22"/>
        </w:rPr>
        <w:t>Policy-cost sensitivity proxy</w:t>
      </w:r>
      <w:r w:rsidRPr="00234A32">
        <w:rPr>
          <w:sz w:val="22"/>
          <w:szCs w:val="22"/>
        </w:rPr>
        <w:t>, e.g. an ETS</w:t>
      </w:r>
      <w:r>
        <w:rPr>
          <w:sz w:val="22"/>
          <w:szCs w:val="22"/>
        </w:rPr>
        <w:t xml:space="preserve"> and </w:t>
      </w:r>
      <w:r w:rsidRPr="00234A32">
        <w:rPr>
          <w:sz w:val="22"/>
          <w:szCs w:val="22"/>
        </w:rPr>
        <w:t>energy-cost exposure proxy (even stylized)</w:t>
      </w:r>
    </w:p>
    <w:p w14:paraId="26535703" w14:textId="6D9E2D67" w:rsidR="00234A32" w:rsidRDefault="00EC2795" w:rsidP="00234A32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Add Scope 2 and Scope 3 emissions</w:t>
      </w:r>
      <w:r w:rsidR="00234A32" w:rsidRPr="00234A32">
        <w:rPr>
          <w:sz w:val="22"/>
          <w:szCs w:val="22"/>
        </w:rPr>
        <w:t xml:space="preserve"> at the sector level</w:t>
      </w:r>
      <w:r>
        <w:rPr>
          <w:sz w:val="22"/>
          <w:szCs w:val="22"/>
        </w:rPr>
        <w:t xml:space="preserve"> (for a region or a country</w:t>
      </w:r>
      <w:r w:rsidR="00C23754">
        <w:rPr>
          <w:sz w:val="22"/>
          <w:szCs w:val="22"/>
        </w:rPr>
        <w:t xml:space="preserve"> – Alice Di Bella at CMCC</w:t>
      </w:r>
      <w:r>
        <w:rPr>
          <w:sz w:val="22"/>
          <w:szCs w:val="22"/>
        </w:rPr>
        <w:t>)</w:t>
      </w:r>
    </w:p>
    <w:p w14:paraId="7F6DB456" w14:textId="0EDA27F7" w:rsidR="00234A32" w:rsidRDefault="00234A32" w:rsidP="00234A32">
      <w:pPr>
        <w:ind w:left="360"/>
        <w:jc w:val="both"/>
        <w:rPr>
          <w:sz w:val="22"/>
          <w:szCs w:val="22"/>
        </w:rPr>
      </w:pPr>
    </w:p>
    <w:p w14:paraId="1EB4CF24" w14:textId="33F344DA" w:rsidR="00234A32" w:rsidRDefault="00EC2795" w:rsidP="00234A32">
      <w:pPr>
        <w:pStyle w:val="ListParagraph"/>
        <w:numPr>
          <w:ilvl w:val="0"/>
          <w:numId w:val="1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Add a</w:t>
      </w:r>
      <w:r w:rsidR="00234A32" w:rsidRPr="00234A32">
        <w:rPr>
          <w:b/>
          <w:bCs/>
          <w:sz w:val="22"/>
          <w:szCs w:val="22"/>
        </w:rPr>
        <w:t xml:space="preserve"> sensitivity paragraph</w:t>
      </w:r>
    </w:p>
    <w:p w14:paraId="7A175545" w14:textId="741D0A3F" w:rsidR="00234A32" w:rsidRPr="00234A32" w:rsidRDefault="00234A32" w:rsidP="00234A32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We should at least do the following sensitivity ananylsis:</w:t>
      </w:r>
    </w:p>
    <w:p w14:paraId="1CB88FC6" w14:textId="77777777" w:rsidR="00234A32" w:rsidRDefault="00234A32" w:rsidP="00234A32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 w:rsidRPr="00234A32">
        <w:rPr>
          <w:sz w:val="22"/>
          <w:szCs w:val="22"/>
        </w:rPr>
        <w:t>Weighting sensitivity: equal weights (baseline) vs alternative (e.g., PCA-based or literature-informed)</w:t>
      </w:r>
    </w:p>
    <w:p w14:paraId="4BEB9E31" w14:textId="77777777" w:rsidR="00234A32" w:rsidRDefault="00234A32" w:rsidP="00234A32">
      <w:pPr>
        <w:pStyle w:val="ListParagraph"/>
        <w:numPr>
          <w:ilvl w:val="0"/>
          <w:numId w:val="5"/>
        </w:numPr>
        <w:tabs>
          <w:tab w:val="num" w:pos="720"/>
        </w:tabs>
        <w:jc w:val="both"/>
        <w:rPr>
          <w:sz w:val="22"/>
          <w:szCs w:val="22"/>
        </w:rPr>
      </w:pPr>
      <w:r w:rsidRPr="00234A32">
        <w:rPr>
          <w:sz w:val="22"/>
          <w:szCs w:val="22"/>
        </w:rPr>
        <w:t>Aggregation sensitivity: geometric vs arithmetic at key steps</w:t>
      </w:r>
    </w:p>
    <w:p w14:paraId="6727904B" w14:textId="77777777" w:rsidR="00234A32" w:rsidRDefault="00234A32" w:rsidP="00234A32">
      <w:pPr>
        <w:pStyle w:val="ListParagraph"/>
        <w:numPr>
          <w:ilvl w:val="0"/>
          <w:numId w:val="5"/>
        </w:numPr>
        <w:tabs>
          <w:tab w:val="num" w:pos="720"/>
        </w:tabs>
        <w:jc w:val="both"/>
        <w:rPr>
          <w:sz w:val="22"/>
          <w:szCs w:val="22"/>
        </w:rPr>
      </w:pPr>
      <w:r w:rsidRPr="00234A32">
        <w:rPr>
          <w:sz w:val="22"/>
          <w:szCs w:val="22"/>
        </w:rPr>
        <w:t>Alpha sensitivity in TRI = Exposure^α * Vulnerability^(1-α)</w:t>
      </w:r>
      <w:r>
        <w:rPr>
          <w:sz w:val="22"/>
          <w:szCs w:val="22"/>
        </w:rPr>
        <w:t xml:space="preserve">: </w:t>
      </w:r>
      <w:r w:rsidRPr="00234A32">
        <w:rPr>
          <w:sz w:val="22"/>
          <w:szCs w:val="22"/>
        </w:rPr>
        <w:t>show results for α = 0.25, 0.5, 0.75</w:t>
      </w:r>
    </w:p>
    <w:p w14:paraId="6B066003" w14:textId="73D76DD3" w:rsidR="00234A32" w:rsidRDefault="00234A32" w:rsidP="00234A32">
      <w:pPr>
        <w:pStyle w:val="ListParagraph"/>
        <w:numPr>
          <w:ilvl w:val="0"/>
          <w:numId w:val="5"/>
        </w:numPr>
        <w:tabs>
          <w:tab w:val="num" w:pos="720"/>
        </w:tabs>
        <w:jc w:val="both"/>
        <w:rPr>
          <w:sz w:val="22"/>
          <w:szCs w:val="22"/>
        </w:rPr>
      </w:pPr>
      <w:r w:rsidRPr="00234A32">
        <w:rPr>
          <w:sz w:val="22"/>
          <w:szCs w:val="22"/>
        </w:rPr>
        <w:t>Rank stability: Spearman correlations of region rankings, overlap of top decile</w:t>
      </w:r>
    </w:p>
    <w:p w14:paraId="6D3AF54E" w14:textId="77777777" w:rsidR="00234A32" w:rsidRPr="00234A32" w:rsidRDefault="00234A32" w:rsidP="00234A32">
      <w:pPr>
        <w:ind w:left="360"/>
        <w:jc w:val="both"/>
        <w:rPr>
          <w:sz w:val="22"/>
          <w:szCs w:val="22"/>
        </w:rPr>
      </w:pPr>
    </w:p>
    <w:p w14:paraId="0500A897" w14:textId="69633A71" w:rsidR="00234A32" w:rsidRPr="00296C31" w:rsidRDefault="00296C31" w:rsidP="00296C3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Discussion should be anchored to literature</w:t>
      </w:r>
    </w:p>
    <w:p w14:paraId="78D1F8AC" w14:textId="6AE5DB53" w:rsidR="00296C31" w:rsidRPr="00296C31" w:rsidRDefault="00296C31" w:rsidP="00296C31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We should create a new separate section for discussion explaining:</w:t>
      </w:r>
    </w:p>
    <w:p w14:paraId="5EB1F6E8" w14:textId="77777777" w:rsidR="00296C31" w:rsidRDefault="00296C31" w:rsidP="00296C31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 xml:space="preserve">What patterns </w:t>
      </w:r>
      <w:r>
        <w:rPr>
          <w:sz w:val="22"/>
          <w:szCs w:val="22"/>
        </w:rPr>
        <w:t>we</w:t>
      </w:r>
      <w:r w:rsidRPr="00296C31">
        <w:rPr>
          <w:sz w:val="22"/>
          <w:szCs w:val="22"/>
        </w:rPr>
        <w:t xml:space="preserve"> find and why they make sense (connect back to theory)</w:t>
      </w:r>
    </w:p>
    <w:p w14:paraId="3A071E7D" w14:textId="0AEAB41D" w:rsidR="00296C31" w:rsidRDefault="00296C31" w:rsidP="00296C31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Comparison to existing studies (e.g., whether high-risk regions align with other regional vulnerability / just transition findings)</w:t>
      </w:r>
    </w:p>
    <w:p w14:paraId="13ABC323" w14:textId="77777777" w:rsidR="00296C31" w:rsidRDefault="00296C31" w:rsidP="00296C31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Policy use-cases (“so what”): how a region/admin would use the index (screening → diagnose which pillar drives vulnerability → targeted policy menu)</w:t>
      </w:r>
    </w:p>
    <w:p w14:paraId="31081F24" w14:textId="45F99A93" w:rsidR="00296C31" w:rsidRDefault="00296C31" w:rsidP="00296C31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Limitations (scope-3, static nature, data gaps, normalization/imputation choices, not causal, etc.)</w:t>
      </w:r>
    </w:p>
    <w:p w14:paraId="56D1400F" w14:textId="77777777" w:rsidR="00296C31" w:rsidRDefault="00296C31" w:rsidP="00296C31">
      <w:pPr>
        <w:jc w:val="both"/>
        <w:rPr>
          <w:sz w:val="22"/>
          <w:szCs w:val="22"/>
        </w:rPr>
      </w:pPr>
    </w:p>
    <w:p w14:paraId="3283A017" w14:textId="331D93F3" w:rsidR="00296C31" w:rsidRPr="00296C31" w:rsidRDefault="00296C31" w:rsidP="00296C31">
      <w:pPr>
        <w:pStyle w:val="ListParagraph"/>
        <w:numPr>
          <w:ilvl w:val="0"/>
          <w:numId w:val="1"/>
        </w:numPr>
        <w:jc w:val="both"/>
        <w:rPr>
          <w:b/>
          <w:bCs/>
          <w:sz w:val="22"/>
          <w:szCs w:val="22"/>
        </w:rPr>
      </w:pPr>
      <w:r w:rsidRPr="00296C31">
        <w:rPr>
          <w:b/>
          <w:bCs/>
          <w:sz w:val="22"/>
          <w:szCs w:val="22"/>
        </w:rPr>
        <w:t>Method transparency and reproducibility</w:t>
      </w:r>
    </w:p>
    <w:p w14:paraId="26E47201" w14:textId="77777777" w:rsidR="00296C31" w:rsidRDefault="00296C31" w:rsidP="00296C31">
      <w:pPr>
        <w:ind w:left="360"/>
        <w:jc w:val="both"/>
        <w:rPr>
          <w:sz w:val="22"/>
          <w:szCs w:val="22"/>
        </w:rPr>
      </w:pPr>
      <w:r w:rsidRPr="00296C31">
        <w:rPr>
          <w:sz w:val="22"/>
          <w:szCs w:val="22"/>
        </w:rPr>
        <w:t>Even though Section 4 includes formulas, it does not fully specify:</w:t>
      </w:r>
    </w:p>
    <w:p w14:paraId="3D4DCCE9" w14:textId="77777777" w:rsidR="00296C31" w:rsidRDefault="00296C31" w:rsidP="00296C31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data sources and years,</w:t>
      </w:r>
    </w:p>
    <w:p w14:paraId="4C3DE9E5" w14:textId="77777777" w:rsidR="00296C31" w:rsidRDefault="00296C31" w:rsidP="00296C31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sector/region coverage,</w:t>
      </w:r>
    </w:p>
    <w:p w14:paraId="6F53311E" w14:textId="77777777" w:rsidR="00296C31" w:rsidRDefault="00296C31" w:rsidP="00296C31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missing-data handling and imputation,normalization rules,</w:t>
      </w:r>
    </w:p>
    <w:p w14:paraId="78014144" w14:textId="62624739" w:rsidR="00296C31" w:rsidRPr="00296C31" w:rsidRDefault="00296C31" w:rsidP="00296C31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aggregation steps at each level (indicator → dimension → vulnerability → risk),</w:t>
      </w:r>
    </w:p>
    <w:p w14:paraId="69EAD5B2" w14:textId="2C3EC42F" w:rsidR="00296C31" w:rsidRPr="00296C31" w:rsidRDefault="00296C31" w:rsidP="00296C31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and how to reproduce (code/data availability</w:t>
      </w:r>
      <w:r>
        <w:rPr>
          <w:sz w:val="22"/>
          <w:szCs w:val="22"/>
        </w:rPr>
        <w:t>/R replication package</w:t>
      </w:r>
      <w:r w:rsidRPr="00296C31">
        <w:rPr>
          <w:sz w:val="22"/>
          <w:szCs w:val="22"/>
        </w:rPr>
        <w:t>)</w:t>
      </w:r>
    </w:p>
    <w:p w14:paraId="6D2559BA" w14:textId="3418EA81" w:rsidR="00296C31" w:rsidRDefault="00296C31" w:rsidP="00234A32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We should add:</w:t>
      </w:r>
    </w:p>
    <w:p w14:paraId="136A99A7" w14:textId="77777777" w:rsidR="00296C31" w:rsidRDefault="00296C31" w:rsidP="00296C31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Tables 1 and 2 from Supplementary into the main manuscript (Reviewer 2 request)</w:t>
      </w:r>
    </w:p>
    <w:p w14:paraId="28E07B3F" w14:textId="371DF5C7" w:rsidR="00296C31" w:rsidRPr="00296C31" w:rsidRDefault="00296C31" w:rsidP="00296C31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Add a “Data and preprocessing” subsection that documents:</w:t>
      </w:r>
    </w:p>
    <w:p w14:paraId="46E4FA53" w14:textId="77777777" w:rsidR="00296C31" w:rsidRPr="00296C31" w:rsidRDefault="00296C31" w:rsidP="00296C31">
      <w:pPr>
        <w:numPr>
          <w:ilvl w:val="0"/>
          <w:numId w:val="13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coverage (NUTS2 list, sectors, years)</w:t>
      </w:r>
    </w:p>
    <w:p w14:paraId="59642535" w14:textId="77777777" w:rsidR="00296C31" w:rsidRPr="00296C31" w:rsidRDefault="00296C31" w:rsidP="00296C31">
      <w:pPr>
        <w:numPr>
          <w:ilvl w:val="0"/>
          <w:numId w:val="13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filtering rules (excluded regions etc.)</w:t>
      </w:r>
    </w:p>
    <w:p w14:paraId="71F44109" w14:textId="77777777" w:rsidR="00296C31" w:rsidRPr="00296C31" w:rsidRDefault="00296C31" w:rsidP="00296C31">
      <w:pPr>
        <w:numPr>
          <w:ilvl w:val="0"/>
          <w:numId w:val="13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imputation rule (country×sector median)</w:t>
      </w:r>
    </w:p>
    <w:p w14:paraId="426FEDDB" w14:textId="77777777" w:rsidR="00296C31" w:rsidRPr="00296C31" w:rsidRDefault="00296C31" w:rsidP="00296C31">
      <w:pPr>
        <w:numPr>
          <w:ilvl w:val="0"/>
          <w:numId w:val="13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normalization (min-max to [0.01,0.99], reversal rules)</w:t>
      </w:r>
    </w:p>
    <w:p w14:paraId="1F06DAAD" w14:textId="3D23FE0F" w:rsidR="00296C31" w:rsidRPr="00C23754" w:rsidRDefault="00296C31" w:rsidP="00C23754">
      <w:pPr>
        <w:pStyle w:val="ListParagraph"/>
        <w:numPr>
          <w:ilvl w:val="0"/>
          <w:numId w:val="12"/>
        </w:numPr>
        <w:jc w:val="both"/>
        <w:rPr>
          <w:sz w:val="22"/>
          <w:szCs w:val="22"/>
        </w:rPr>
      </w:pPr>
      <w:r w:rsidRPr="00296C31">
        <w:rPr>
          <w:sz w:val="22"/>
          <w:szCs w:val="22"/>
        </w:rPr>
        <w:t>Add a short “Reproducibility statement”:</w:t>
      </w:r>
      <w:r>
        <w:rPr>
          <w:sz w:val="22"/>
          <w:szCs w:val="22"/>
        </w:rPr>
        <w:t xml:space="preserve"> </w:t>
      </w:r>
      <w:r w:rsidRPr="00296C31">
        <w:rPr>
          <w:sz w:val="22"/>
          <w:szCs w:val="22"/>
        </w:rPr>
        <w:t>code repository + data availability + versioning</w:t>
      </w:r>
      <w:r>
        <w:rPr>
          <w:sz w:val="22"/>
          <w:szCs w:val="22"/>
        </w:rPr>
        <w:t xml:space="preserve"> (eventually using a R replication package).</w:t>
      </w:r>
    </w:p>
    <w:sectPr w:rsidR="00296C31" w:rsidRPr="00C23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65D2"/>
    <w:multiLevelType w:val="multilevel"/>
    <w:tmpl w:val="4B648B06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344A"/>
    <w:multiLevelType w:val="multilevel"/>
    <w:tmpl w:val="5B7611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D51F9"/>
    <w:multiLevelType w:val="multilevel"/>
    <w:tmpl w:val="5CB028DE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70232"/>
    <w:multiLevelType w:val="multilevel"/>
    <w:tmpl w:val="BC62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47AF7"/>
    <w:multiLevelType w:val="multilevel"/>
    <w:tmpl w:val="3D58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A4B4B"/>
    <w:multiLevelType w:val="multilevel"/>
    <w:tmpl w:val="837E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B15AB"/>
    <w:multiLevelType w:val="hybridMultilevel"/>
    <w:tmpl w:val="46C4607C"/>
    <w:lvl w:ilvl="0" w:tplc="F4782D5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B7848"/>
    <w:multiLevelType w:val="hybridMultilevel"/>
    <w:tmpl w:val="591C1902"/>
    <w:lvl w:ilvl="0" w:tplc="4372E2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F742B3"/>
    <w:multiLevelType w:val="multilevel"/>
    <w:tmpl w:val="29F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406B5"/>
    <w:multiLevelType w:val="multilevel"/>
    <w:tmpl w:val="5CB028DE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A3B56"/>
    <w:multiLevelType w:val="multilevel"/>
    <w:tmpl w:val="7B92FF2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948E4"/>
    <w:multiLevelType w:val="multilevel"/>
    <w:tmpl w:val="31F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D4A2E"/>
    <w:multiLevelType w:val="multilevel"/>
    <w:tmpl w:val="3A5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17825">
    <w:abstractNumId w:val="6"/>
  </w:num>
  <w:num w:numId="2" w16cid:durableId="1720518269">
    <w:abstractNumId w:val="7"/>
  </w:num>
  <w:num w:numId="3" w16cid:durableId="870383966">
    <w:abstractNumId w:val="12"/>
  </w:num>
  <w:num w:numId="4" w16cid:durableId="366761011">
    <w:abstractNumId w:val="3"/>
  </w:num>
  <w:num w:numId="5" w16cid:durableId="1974171181">
    <w:abstractNumId w:val="9"/>
  </w:num>
  <w:num w:numId="6" w16cid:durableId="1779252377">
    <w:abstractNumId w:val="8"/>
  </w:num>
  <w:num w:numId="7" w16cid:durableId="1468431147">
    <w:abstractNumId w:val="11"/>
  </w:num>
  <w:num w:numId="8" w16cid:durableId="1787846536">
    <w:abstractNumId w:val="4"/>
  </w:num>
  <w:num w:numId="9" w16cid:durableId="2096854410">
    <w:abstractNumId w:val="5"/>
  </w:num>
  <w:num w:numId="10" w16cid:durableId="108672223">
    <w:abstractNumId w:val="2"/>
  </w:num>
  <w:num w:numId="11" w16cid:durableId="1922904807">
    <w:abstractNumId w:val="1"/>
  </w:num>
  <w:num w:numId="12" w16cid:durableId="1351108575">
    <w:abstractNumId w:val="0"/>
  </w:num>
  <w:num w:numId="13" w16cid:durableId="136338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E9"/>
    <w:rsid w:val="000C4753"/>
    <w:rsid w:val="001F312B"/>
    <w:rsid w:val="00234A32"/>
    <w:rsid w:val="00296C31"/>
    <w:rsid w:val="00603615"/>
    <w:rsid w:val="00644FE9"/>
    <w:rsid w:val="00790B12"/>
    <w:rsid w:val="00861160"/>
    <w:rsid w:val="008D1AAD"/>
    <w:rsid w:val="009F320C"/>
    <w:rsid w:val="00A77ED7"/>
    <w:rsid w:val="00B22FBF"/>
    <w:rsid w:val="00B701A4"/>
    <w:rsid w:val="00C23754"/>
    <w:rsid w:val="00E81964"/>
    <w:rsid w:val="00EC18DE"/>
    <w:rsid w:val="00EC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89D17"/>
  <w15:chartTrackingRefBased/>
  <w15:docId w15:val="{690DC52D-ADA1-D948-A52A-855D0454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E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4A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6C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Coppola</dc:creator>
  <cp:keywords/>
  <dc:description/>
  <cp:lastModifiedBy>Giorgio Coppola</cp:lastModifiedBy>
  <cp:revision>7</cp:revision>
  <dcterms:created xsi:type="dcterms:W3CDTF">2026-02-04T09:49:00Z</dcterms:created>
  <dcterms:modified xsi:type="dcterms:W3CDTF">2026-02-11T11:20:00Z</dcterms:modified>
</cp:coreProperties>
</file>