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 A Progress Report</w:t>
      </w:r>
    </w:p>
    <w:p>
      <w:pPr>
        <w:jc w:val="center"/>
      </w:pPr>
      <w:r>
        <w:t>Weather x Post-MoU Interaction Analysis: Results, Diagnostics, and Interpretation</w:t>
      </w:r>
    </w:p>
    <w:p>
      <w:pPr>
        <w:jc w:val="center"/>
      </w:pPr>
      <w:r>
        <w:t>Giorgio Coppola | MDS Thesis, Hertie School | March 2025</w:t>
      </w:r>
    </w:p>
    <w:p/>
    <w:p>
      <w:pPr>
        <w:pStyle w:val="Heading1"/>
      </w:pPr>
      <w:r>
        <w:t>1. Research Design</w:t>
      </w:r>
    </w:p>
    <w:p>
      <w:r>
        <w:t>The thesis asks whether the 2017 EU-Libya Memorandum of Understanding (MoU) made the Central Mediterranean Route (CMR) more dangerous for migrants. The primary analysis (Model A) tests a specific mechanism: did the MoU amplify the lethality of adverse sea conditions?</w:t>
      </w:r>
    </w:p>
    <w:p>
      <w:pPr>
        <w:pStyle w:val="Heading2"/>
      </w:pPr>
      <w:r>
        <w:t>1.1 Estimand</w:t>
      </w:r>
    </w:p>
    <w:p>
      <w:r>
        <w:t>The theoretical estimand is the change in the weather-mortality gradient: how much more sensitive did per-incident mortality become to weather conditions after the MoU? This is a causal interaction, not a standard ATT. On the multiplicative scale, exp(beta_3) is the ratio of the post-MoU weather IRR to the pre-MoU weather IRR.</w:t>
      </w:r>
    </w:p>
    <w:p>
      <w:pPr>
        <w:pStyle w:val="Heading2"/>
      </w:pPr>
      <w:r>
        <w:t>1.2 Model Specification</w:t>
      </w:r>
    </w:p>
    <w:p>
      <w:r>
        <w:t>dead_missing_i ~ NegBin(mu_i), log(mu_i) = alpha_g + lambda_t + beta_3(Weather_i x Post_t) + X'gamma</w:t>
      </w:r>
    </w:p>
    <w:p>
      <w:r>
        <w:t>where dead_missing is the total dead + missing per incident (&gt;= 1 for all CMR incidents by construction), alpha_g is a grid fixed effect (1-degree), lambda_t includes year and month-of-year FE, Weather is SWH, wind speed, or wind gust at the incident location on the day of the incident (ERA5), and Post is a binary indicator for dates &gt;= Feb 2, 2017.</w:t>
      </w:r>
    </w:p>
    <w:p>
      <w:pPr>
        <w:pStyle w:val="Heading2"/>
      </w:pPr>
      <w:r>
        <w:t>1.3 Identification Assumptions</w:t>
      </w:r>
    </w:p>
    <w:p>
      <w:r>
        <w:t>1. Weather exogeneity conditional on FE (physics determines weather, not policy)</w:t>
        <w:br/>
        <w:t>2. MoU exogeneity (no parents in the DAG)</w:t>
        <w:br/>
        <w:t>3. Gradient stability: absent the MoU, the weather-mortality gradient would have remained stable over time (testable with placebos)</w:t>
        <w:br/>
        <w:t>4. Exclusion restriction for the interaction</w:t>
        <w:br/>
        <w:t>5. SUTVA</w:t>
        <w:br/>
        <w:t>6. No anticipation</w:t>
      </w:r>
    </w:p>
    <w:p>
      <w:pPr>
        <w:pStyle w:val="Heading2"/>
      </w:pPr>
      <w:r>
        <w:t>1.4 Why No Control Routes</w:t>
      </w:r>
    </w:p>
    <w:p>
      <w:r>
        <w:t>The Eastern Mediterranean Route is contaminated by the 2016 EU-Turkey deal. The Western Mediterranean and West African Atlantic routes have fundamentally different climate, sea conditions, and smuggler networks. Cross-route parallel gradient trends are not credible. The analysis relies on within-CMR temporal variation and placebo treatment dates.</w:t>
      </w:r>
    </w:p>
    <w:p>
      <w:pPr>
        <w:pStyle w:val="Heading1"/>
      </w:pPr>
      <w:r>
        <w:t>2. Data</w:t>
      </w:r>
    </w:p>
    <w:p>
      <w:pPr>
        <w:pStyle w:val="Heading2"/>
      </w:pPr>
      <w:r>
        <w:t>2.1 IOM Missing Migrants Project</w:t>
      </w:r>
    </w:p>
    <w:p>
      <w:r>
        <w:t>1,381 CMR incidents (type 'Incident' only), geocoded, 2014-2025. Outcome: dead + missing per incident (min = 1, median = 2, mean = 14.4, max = 550). Var/Mean ratio = 113.9 (strong overdispersion). Pre-MoU: 239 incidents. Post-MoU: 1,142 incidents.</w:t>
      </w:r>
    </w:p>
    <w:p>
      <w:pPr>
        <w:pStyle w:val="Heading2"/>
      </w:pPr>
      <w:r>
        <w:t>2.2 ERA5 Weather</w:t>
      </w:r>
    </w:p>
    <w:p>
      <w:r>
        <w:t>Daily weather extracted at each incident's nearest grid cell on the day of the incident (day 0) and 7 preceding days. Variables: significant wave height (SWH, 0.5 deg), wind speed (u10/v10 -&gt; speed, 0.25 deg), 10-m wind gust (i10fg, 0.25 deg), SST (0.25 deg), mean wave period (0.5 deg), total precipitation (0.25 deg). Max wave height (hmax) had a grid index bug (now fixed, pending re-extraction).</w:t>
      </w:r>
    </w:p>
    <w:p>
      <w:pPr>
        <w:pStyle w:val="Heading2"/>
      </w:pPr>
      <w:r>
        <w:t>2.3 Estimation Sample</w:t>
      </w:r>
    </w:p>
    <w:p>
      <w:r>
        <w:t>After dropping 149 incidents with missing SWH (coastal grid cells without wave data) and 25 singleton grid cells dropped by fixest: N = 1,207 incidents (211 pre-MoU, 996 post-MoU) for the primary specification.</w:t>
      </w:r>
    </w:p>
    <w:p>
      <w:pPr>
        <w:pStyle w:val="Heading1"/>
      </w:pPr>
      <w:r>
        <w:t>3. Weather Overlap Diagnostic</w:t>
      </w:r>
    </w:p>
    <w:p>
      <w:r>
        <w:t>A prerequisite for the interaction design: do incidents occur under comparable weather conditions in both periods? If post-MoU incidents only occur in calm seas, beta_3 is identified off extrapolation.</w:t>
      </w:r>
    </w:p>
    <w:tbl>
      <w:tblPr>
        <w:tblStyle w:val="LightShading-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b/>
                <w:sz w:val="18"/>
              </w:rPr>
              <w:t>Variable</w:t>
            </w:r>
          </w:p>
        </w:tc>
        <w:tc>
          <w:tcPr>
            <w:tcW w:type="dxa" w:w="960"/>
          </w:tcPr>
          <w:p>
            <w:pPr>
              <w:jc w:val="center"/>
            </w:pPr>
            <w:r>
              <w:rPr>
                <w:b/>
                <w:sz w:val="18"/>
              </w:rPr>
              <w:t>n pre</w:t>
            </w:r>
          </w:p>
        </w:tc>
        <w:tc>
          <w:tcPr>
            <w:tcW w:type="dxa" w:w="960"/>
          </w:tcPr>
          <w:p>
            <w:pPr>
              <w:jc w:val="center"/>
            </w:pPr>
            <w:r>
              <w:rPr>
                <w:b/>
                <w:sz w:val="18"/>
              </w:rPr>
              <w:t>Mean pre</w:t>
            </w:r>
          </w:p>
        </w:tc>
        <w:tc>
          <w:tcPr>
            <w:tcW w:type="dxa" w:w="960"/>
          </w:tcPr>
          <w:p>
            <w:pPr>
              <w:jc w:val="center"/>
            </w:pPr>
            <w:r>
              <w:rPr>
                <w:b/>
                <w:sz w:val="18"/>
              </w:rPr>
              <w:t>Median pre</w:t>
            </w:r>
          </w:p>
        </w:tc>
        <w:tc>
          <w:tcPr>
            <w:tcW w:type="dxa" w:w="960"/>
          </w:tcPr>
          <w:p>
            <w:pPr>
              <w:jc w:val="center"/>
            </w:pPr>
            <w:r>
              <w:rPr>
                <w:b/>
                <w:sz w:val="18"/>
              </w:rPr>
              <w:t>n post</w:t>
            </w:r>
          </w:p>
        </w:tc>
        <w:tc>
          <w:tcPr>
            <w:tcW w:type="dxa" w:w="960"/>
          </w:tcPr>
          <w:p>
            <w:pPr>
              <w:jc w:val="center"/>
            </w:pPr>
            <w:r>
              <w:rPr>
                <w:b/>
                <w:sz w:val="18"/>
              </w:rPr>
              <w:t>Mean post</w:t>
            </w:r>
          </w:p>
        </w:tc>
        <w:tc>
          <w:tcPr>
            <w:tcW w:type="dxa" w:w="960"/>
          </w:tcPr>
          <w:p>
            <w:pPr>
              <w:jc w:val="center"/>
            </w:pPr>
            <w:r>
              <w:rPr>
                <w:b/>
                <w:sz w:val="18"/>
              </w:rPr>
              <w:t>Median post</w:t>
            </w:r>
          </w:p>
        </w:tc>
        <w:tc>
          <w:tcPr>
            <w:tcW w:type="dxa" w:w="960"/>
          </w:tcPr>
          <w:p>
            <w:pPr>
              <w:jc w:val="center"/>
            </w:pPr>
            <w:r>
              <w:rPr>
                <w:b/>
                <w:sz w:val="18"/>
              </w:rPr>
              <w:t>KS stat</w:t>
            </w:r>
          </w:p>
        </w:tc>
        <w:tc>
          <w:tcPr>
            <w:tcW w:type="dxa" w:w="960"/>
          </w:tcPr>
          <w:p>
            <w:pPr>
              <w:jc w:val="center"/>
            </w:pPr>
            <w:r>
              <w:rPr>
                <w:b/>
                <w:sz w:val="18"/>
              </w:rPr>
              <w:t>KS p</w:t>
            </w:r>
          </w:p>
        </w:tc>
      </w:tr>
      <w:tr>
        <w:tc>
          <w:tcPr>
            <w:tcW w:type="dxa" w:w="960"/>
          </w:tcPr>
          <w:p>
            <w:pPr>
              <w:jc w:val="center"/>
            </w:pPr>
            <w:r>
              <w:rPr>
                <w:sz w:val="18"/>
              </w:rPr>
              <w:t>SWH (m)</w:t>
            </w:r>
          </w:p>
        </w:tc>
        <w:tc>
          <w:tcPr>
            <w:tcW w:type="dxa" w:w="960"/>
          </w:tcPr>
          <w:p>
            <w:pPr>
              <w:jc w:val="center"/>
            </w:pPr>
            <w:r>
              <w:rPr>
                <w:sz w:val="18"/>
              </w:rPr>
              <w:t>211</w:t>
            </w:r>
          </w:p>
        </w:tc>
        <w:tc>
          <w:tcPr>
            <w:tcW w:type="dxa" w:w="960"/>
          </w:tcPr>
          <w:p>
            <w:pPr>
              <w:jc w:val="center"/>
            </w:pPr>
            <w:r>
              <w:rPr>
                <w:sz w:val="18"/>
              </w:rPr>
              <w:t>0.81</w:t>
            </w:r>
          </w:p>
        </w:tc>
        <w:tc>
          <w:tcPr>
            <w:tcW w:type="dxa" w:w="960"/>
          </w:tcPr>
          <w:p>
            <w:pPr>
              <w:jc w:val="center"/>
            </w:pPr>
            <w:r>
              <w:rPr>
                <w:sz w:val="18"/>
              </w:rPr>
              <w:t>0.67</w:t>
            </w:r>
          </w:p>
        </w:tc>
        <w:tc>
          <w:tcPr>
            <w:tcW w:type="dxa" w:w="960"/>
          </w:tcPr>
          <w:p>
            <w:pPr>
              <w:jc w:val="center"/>
            </w:pPr>
            <w:r>
              <w:rPr>
                <w:sz w:val="18"/>
              </w:rPr>
              <w:t>1021</w:t>
            </w:r>
          </w:p>
        </w:tc>
        <w:tc>
          <w:tcPr>
            <w:tcW w:type="dxa" w:w="960"/>
          </w:tcPr>
          <w:p>
            <w:pPr>
              <w:jc w:val="center"/>
            </w:pPr>
            <w:r>
              <w:rPr>
                <w:sz w:val="18"/>
              </w:rPr>
              <w:t>0.69</w:t>
            </w:r>
          </w:p>
        </w:tc>
        <w:tc>
          <w:tcPr>
            <w:tcW w:type="dxa" w:w="960"/>
          </w:tcPr>
          <w:p>
            <w:pPr>
              <w:jc w:val="center"/>
            </w:pPr>
            <w:r>
              <w:rPr>
                <w:sz w:val="18"/>
              </w:rPr>
              <w:t>0.55</w:t>
            </w:r>
          </w:p>
        </w:tc>
        <w:tc>
          <w:tcPr>
            <w:tcW w:type="dxa" w:w="960"/>
          </w:tcPr>
          <w:p>
            <w:pPr>
              <w:jc w:val="center"/>
            </w:pPr>
            <w:r>
              <w:rPr>
                <w:sz w:val="18"/>
              </w:rPr>
              <w:t>0.169</w:t>
            </w:r>
          </w:p>
        </w:tc>
        <w:tc>
          <w:tcPr>
            <w:tcW w:type="dxa" w:w="960"/>
          </w:tcPr>
          <w:p>
            <w:pPr>
              <w:jc w:val="center"/>
            </w:pPr>
            <w:r>
              <w:rPr>
                <w:sz w:val="18"/>
              </w:rPr>
              <w:t>&lt;0.001</w:t>
            </w:r>
          </w:p>
        </w:tc>
      </w:tr>
      <w:tr>
        <w:tc>
          <w:tcPr>
            <w:tcW w:type="dxa" w:w="960"/>
          </w:tcPr>
          <w:p>
            <w:pPr>
              <w:jc w:val="center"/>
            </w:pPr>
            <w:r>
              <w:rPr>
                <w:sz w:val="18"/>
              </w:rPr>
              <w:t>Wind (m/s)</w:t>
            </w:r>
          </w:p>
        </w:tc>
        <w:tc>
          <w:tcPr>
            <w:tcW w:type="dxa" w:w="960"/>
          </w:tcPr>
          <w:p>
            <w:pPr>
              <w:jc w:val="center"/>
            </w:pPr>
            <w:r>
              <w:rPr>
                <w:sz w:val="18"/>
              </w:rPr>
              <w:t>239</w:t>
            </w:r>
          </w:p>
        </w:tc>
        <w:tc>
          <w:tcPr>
            <w:tcW w:type="dxa" w:w="960"/>
          </w:tcPr>
          <w:p>
            <w:pPr>
              <w:jc w:val="center"/>
            </w:pPr>
            <w:r>
              <w:rPr>
                <w:sz w:val="18"/>
              </w:rPr>
              <w:t>4.84</w:t>
            </w:r>
          </w:p>
        </w:tc>
        <w:tc>
          <w:tcPr>
            <w:tcW w:type="dxa" w:w="960"/>
          </w:tcPr>
          <w:p>
            <w:pPr>
              <w:jc w:val="center"/>
            </w:pPr>
            <w:r>
              <w:rPr>
                <w:sz w:val="18"/>
              </w:rPr>
              <w:t>4.64</w:t>
            </w:r>
          </w:p>
        </w:tc>
        <w:tc>
          <w:tcPr>
            <w:tcW w:type="dxa" w:w="960"/>
          </w:tcPr>
          <w:p>
            <w:pPr>
              <w:jc w:val="center"/>
            </w:pPr>
            <w:r>
              <w:rPr>
                <w:sz w:val="18"/>
              </w:rPr>
              <w:t>1142</w:t>
            </w:r>
          </w:p>
        </w:tc>
        <w:tc>
          <w:tcPr>
            <w:tcW w:type="dxa" w:w="960"/>
          </w:tcPr>
          <w:p>
            <w:pPr>
              <w:jc w:val="center"/>
            </w:pPr>
            <w:r>
              <w:rPr>
                <w:sz w:val="18"/>
              </w:rPr>
              <w:t>4.69</w:t>
            </w:r>
          </w:p>
        </w:tc>
        <w:tc>
          <w:tcPr>
            <w:tcW w:type="dxa" w:w="960"/>
          </w:tcPr>
          <w:p>
            <w:pPr>
              <w:jc w:val="center"/>
            </w:pPr>
            <w:r>
              <w:rPr>
                <w:sz w:val="18"/>
              </w:rPr>
              <w:t>4.42</w:t>
            </w:r>
          </w:p>
        </w:tc>
        <w:tc>
          <w:tcPr>
            <w:tcW w:type="dxa" w:w="960"/>
          </w:tcPr>
          <w:p>
            <w:pPr>
              <w:jc w:val="center"/>
            </w:pPr>
            <w:r>
              <w:rPr>
                <w:sz w:val="18"/>
              </w:rPr>
              <w:t>0.062</w:t>
            </w:r>
          </w:p>
        </w:tc>
        <w:tc>
          <w:tcPr>
            <w:tcW w:type="dxa" w:w="960"/>
          </w:tcPr>
          <w:p>
            <w:pPr>
              <w:jc w:val="center"/>
            </w:pPr>
            <w:r>
              <w:rPr>
                <w:sz w:val="18"/>
              </w:rPr>
              <w:t>0.427</w:t>
            </w:r>
          </w:p>
        </w:tc>
      </w:tr>
      <w:tr>
        <w:tc>
          <w:tcPr>
            <w:tcW w:type="dxa" w:w="960"/>
          </w:tcPr>
          <w:p>
            <w:pPr>
              <w:jc w:val="center"/>
            </w:pPr>
            <w:r>
              <w:rPr>
                <w:sz w:val="18"/>
              </w:rPr>
              <w:t>Gust (m/s)</w:t>
            </w:r>
          </w:p>
        </w:tc>
        <w:tc>
          <w:tcPr>
            <w:tcW w:type="dxa" w:w="960"/>
          </w:tcPr>
          <w:p>
            <w:pPr>
              <w:jc w:val="center"/>
            </w:pPr>
            <w:r>
              <w:rPr>
                <w:sz w:val="18"/>
              </w:rPr>
              <w:t>239</w:t>
            </w:r>
          </w:p>
        </w:tc>
        <w:tc>
          <w:tcPr>
            <w:tcW w:type="dxa" w:w="960"/>
          </w:tcPr>
          <w:p>
            <w:pPr>
              <w:jc w:val="center"/>
            </w:pPr>
            <w:r>
              <w:rPr>
                <w:sz w:val="18"/>
              </w:rPr>
              <w:t>7.31</w:t>
            </w:r>
          </w:p>
        </w:tc>
        <w:tc>
          <w:tcPr>
            <w:tcW w:type="dxa" w:w="960"/>
          </w:tcPr>
          <w:p>
            <w:pPr>
              <w:jc w:val="center"/>
            </w:pPr>
            <w:r>
              <w:rPr>
                <w:sz w:val="18"/>
              </w:rPr>
              <w:t>6.85</w:t>
            </w:r>
          </w:p>
        </w:tc>
        <w:tc>
          <w:tcPr>
            <w:tcW w:type="dxa" w:w="960"/>
          </w:tcPr>
          <w:p>
            <w:pPr>
              <w:jc w:val="center"/>
            </w:pPr>
            <w:r>
              <w:rPr>
                <w:sz w:val="18"/>
              </w:rPr>
              <w:t>1142</w:t>
            </w:r>
          </w:p>
        </w:tc>
        <w:tc>
          <w:tcPr>
            <w:tcW w:type="dxa" w:w="960"/>
          </w:tcPr>
          <w:p>
            <w:pPr>
              <w:jc w:val="center"/>
            </w:pPr>
            <w:r>
              <w:rPr>
                <w:sz w:val="18"/>
              </w:rPr>
              <w:t>7.61</w:t>
            </w:r>
          </w:p>
        </w:tc>
        <w:tc>
          <w:tcPr>
            <w:tcW w:type="dxa" w:w="960"/>
          </w:tcPr>
          <w:p>
            <w:pPr>
              <w:jc w:val="center"/>
            </w:pPr>
            <w:r>
              <w:rPr>
                <w:sz w:val="18"/>
              </w:rPr>
              <w:t>7.22</w:t>
            </w:r>
          </w:p>
        </w:tc>
        <w:tc>
          <w:tcPr>
            <w:tcW w:type="dxa" w:w="960"/>
          </w:tcPr>
          <w:p>
            <w:pPr>
              <w:jc w:val="center"/>
            </w:pPr>
            <w:r>
              <w:rPr>
                <w:sz w:val="18"/>
              </w:rPr>
              <w:t>0.071</w:t>
            </w:r>
          </w:p>
        </w:tc>
        <w:tc>
          <w:tcPr>
            <w:tcW w:type="dxa" w:w="960"/>
          </w:tcPr>
          <w:p>
            <w:pPr>
              <w:jc w:val="center"/>
            </w:pPr>
            <w:r>
              <w:rPr>
                <w:sz w:val="18"/>
              </w:rPr>
              <w:t>0.278</w:t>
            </w:r>
          </w:p>
        </w:tc>
      </w:tr>
      <w:tr>
        <w:tc>
          <w:tcPr>
            <w:tcW w:type="dxa" w:w="960"/>
          </w:tcPr>
          <w:p>
            <w:pPr>
              <w:jc w:val="center"/>
            </w:pPr>
            <w:r>
              <w:rPr>
                <w:sz w:val="18"/>
              </w:rPr>
              <w:t>Wave period (s)</w:t>
            </w:r>
          </w:p>
        </w:tc>
        <w:tc>
          <w:tcPr>
            <w:tcW w:type="dxa" w:w="960"/>
          </w:tcPr>
          <w:p>
            <w:pPr>
              <w:jc w:val="center"/>
            </w:pPr>
            <w:r>
              <w:rPr>
                <w:sz w:val="18"/>
              </w:rPr>
              <w:t>211</w:t>
            </w:r>
          </w:p>
        </w:tc>
        <w:tc>
          <w:tcPr>
            <w:tcW w:type="dxa" w:w="960"/>
          </w:tcPr>
          <w:p>
            <w:pPr>
              <w:jc w:val="center"/>
            </w:pPr>
            <w:r>
              <w:rPr>
                <w:sz w:val="18"/>
              </w:rPr>
              <w:t>4.66</w:t>
            </w:r>
          </w:p>
        </w:tc>
        <w:tc>
          <w:tcPr>
            <w:tcW w:type="dxa" w:w="960"/>
          </w:tcPr>
          <w:p>
            <w:pPr>
              <w:jc w:val="center"/>
            </w:pPr>
            <w:r>
              <w:rPr>
                <w:sz w:val="18"/>
              </w:rPr>
              <w:t>4.40</w:t>
            </w:r>
          </w:p>
        </w:tc>
        <w:tc>
          <w:tcPr>
            <w:tcW w:type="dxa" w:w="960"/>
          </w:tcPr>
          <w:p>
            <w:pPr>
              <w:jc w:val="center"/>
            </w:pPr>
            <w:r>
              <w:rPr>
                <w:sz w:val="18"/>
              </w:rPr>
              <w:t>1021</w:t>
            </w:r>
          </w:p>
        </w:tc>
        <w:tc>
          <w:tcPr>
            <w:tcW w:type="dxa" w:w="960"/>
          </w:tcPr>
          <w:p>
            <w:pPr>
              <w:jc w:val="center"/>
            </w:pPr>
            <w:r>
              <w:rPr>
                <w:sz w:val="18"/>
              </w:rPr>
              <w:t>4.29</w:t>
            </w:r>
          </w:p>
        </w:tc>
        <w:tc>
          <w:tcPr>
            <w:tcW w:type="dxa" w:w="960"/>
          </w:tcPr>
          <w:p>
            <w:pPr>
              <w:jc w:val="center"/>
            </w:pPr>
            <w:r>
              <w:rPr>
                <w:sz w:val="18"/>
              </w:rPr>
              <w:t>4.11</w:t>
            </w:r>
          </w:p>
        </w:tc>
        <w:tc>
          <w:tcPr>
            <w:tcW w:type="dxa" w:w="960"/>
          </w:tcPr>
          <w:p>
            <w:pPr>
              <w:jc w:val="center"/>
            </w:pPr>
            <w:r>
              <w:rPr>
                <w:sz w:val="18"/>
              </w:rPr>
              <w:t>0.178</w:t>
            </w:r>
          </w:p>
        </w:tc>
        <w:tc>
          <w:tcPr>
            <w:tcW w:type="dxa" w:w="960"/>
          </w:tcPr>
          <w:p>
            <w:pPr>
              <w:jc w:val="center"/>
            </w:pPr>
            <w:r>
              <w:rPr>
                <w:sz w:val="18"/>
              </w:rPr>
              <w:t>&lt;0.001</w:t>
            </w:r>
          </w:p>
        </w:tc>
      </w:tr>
      <w:tr>
        <w:tc>
          <w:tcPr>
            <w:tcW w:type="dxa" w:w="960"/>
          </w:tcPr>
          <w:p>
            <w:pPr>
              <w:jc w:val="center"/>
            </w:pPr>
            <w:r>
              <w:rPr>
                <w:sz w:val="18"/>
              </w:rPr>
              <w:t>SST (C)</w:t>
            </w:r>
          </w:p>
        </w:tc>
        <w:tc>
          <w:tcPr>
            <w:tcW w:type="dxa" w:w="960"/>
          </w:tcPr>
          <w:p>
            <w:pPr>
              <w:jc w:val="center"/>
            </w:pPr>
            <w:r>
              <w:rPr>
                <w:sz w:val="18"/>
              </w:rPr>
              <w:t>188</w:t>
            </w:r>
          </w:p>
        </w:tc>
        <w:tc>
          <w:tcPr>
            <w:tcW w:type="dxa" w:w="960"/>
          </w:tcPr>
          <w:p>
            <w:pPr>
              <w:jc w:val="center"/>
            </w:pPr>
            <w:r>
              <w:rPr>
                <w:sz w:val="18"/>
              </w:rPr>
              <w:t>22.2</w:t>
            </w:r>
          </w:p>
        </w:tc>
        <w:tc>
          <w:tcPr>
            <w:tcW w:type="dxa" w:w="960"/>
          </w:tcPr>
          <w:p>
            <w:pPr>
              <w:jc w:val="center"/>
            </w:pPr>
            <w:r>
              <w:rPr>
                <w:sz w:val="18"/>
              </w:rPr>
              <w:t>23.0</w:t>
            </w:r>
          </w:p>
        </w:tc>
        <w:tc>
          <w:tcPr>
            <w:tcW w:type="dxa" w:w="960"/>
          </w:tcPr>
          <w:p>
            <w:pPr>
              <w:jc w:val="center"/>
            </w:pPr>
            <w:r>
              <w:rPr>
                <w:sz w:val="18"/>
              </w:rPr>
              <w:t>634</w:t>
            </w:r>
          </w:p>
        </w:tc>
        <w:tc>
          <w:tcPr>
            <w:tcW w:type="dxa" w:w="960"/>
          </w:tcPr>
          <w:p>
            <w:pPr>
              <w:jc w:val="center"/>
            </w:pPr>
            <w:r>
              <w:rPr>
                <w:sz w:val="18"/>
              </w:rPr>
              <w:t>21.8</w:t>
            </w:r>
          </w:p>
        </w:tc>
        <w:tc>
          <w:tcPr>
            <w:tcW w:type="dxa" w:w="960"/>
          </w:tcPr>
          <w:p>
            <w:pPr>
              <w:jc w:val="center"/>
            </w:pPr>
            <w:r>
              <w:rPr>
                <w:sz w:val="18"/>
              </w:rPr>
              <w:t>21.6</w:t>
            </w:r>
          </w:p>
        </w:tc>
        <w:tc>
          <w:tcPr>
            <w:tcW w:type="dxa" w:w="960"/>
          </w:tcPr>
          <w:p>
            <w:pPr>
              <w:jc w:val="center"/>
            </w:pPr>
            <w:r>
              <w:rPr>
                <w:sz w:val="18"/>
              </w:rPr>
              <w:t>0.097</w:t>
            </w:r>
          </w:p>
        </w:tc>
        <w:tc>
          <w:tcPr>
            <w:tcW w:type="dxa" w:w="960"/>
          </w:tcPr>
          <w:p>
            <w:pPr>
              <w:jc w:val="center"/>
            </w:pPr>
            <w:r>
              <w:rPr>
                <w:sz w:val="18"/>
              </w:rPr>
              <w:t>0.130</w:t>
            </w:r>
          </w:p>
        </w:tc>
      </w:tr>
    </w:tbl>
    <w:p/>
    <w:p>
      <w:r>
        <w:t>Result: Common support holds. For all variables, the pre-MoU range sits within the post-MoU range. Wind speed and gust show no distributional shift. SWH and wave period shift modestly toward calmer seas post-MoU (consistent with literature on boat degradation). The interaction is identified over shared support, not extrapolation.</w:t>
      </w:r>
    </w:p>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weather_overlap_densities.png"/>
                    <pic:cNvPicPr/>
                  </pic:nvPicPr>
                  <pic:blipFill>
                    <a:blip r:embed="rId9"/>
                    <a:stretch>
                      <a:fillRect/>
                    </a:stretch>
                  </pic:blipFill>
                  <pic:spPr>
                    <a:xfrm>
                      <a:off x="0" y="0"/>
                      <a:ext cx="5486400" cy="3429000"/>
                    </a:xfrm>
                    <a:prstGeom prst="rect"/>
                  </pic:spPr>
                </pic:pic>
              </a:graphicData>
            </a:graphic>
          </wp:inline>
        </w:drawing>
      </w:r>
    </w:p>
    <w:p>
      <w:pPr>
        <w:jc w:val="center"/>
      </w:pPr>
      <w:r>
        <w:rPr>
          <w:i/>
          <w:sz w:val="18"/>
        </w:rPr>
        <w:t>Figure 1: Weather conditions at incident locations, pre vs post MoU.</w:t>
      </w:r>
    </w:p>
    <w:p>
      <w:pPr>
        <w:pStyle w:val="Heading1"/>
      </w:pPr>
      <w:r>
        <w:t>4. Model A Results</w:t>
      </w:r>
    </w:p>
    <w:p>
      <w:r>
        <w:t>All models estimated with fixest::fenegbin (proper high-dimensional FE handling, no convergence issues). Heteroskedasticity-robust SEs unless noted. 1-degree grid FE + year FE + month-of-year FE.</w:t>
      </w:r>
    </w:p>
    <w:p>
      <w:pPr>
        <w:pStyle w:val="Heading2"/>
      </w:pPr>
      <w:r>
        <w:t>4.1 Primary Specifications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Specification</w:t>
            </w:r>
          </w:p>
        </w:tc>
        <w:tc>
          <w:tcPr>
            <w:tcW w:type="dxa" w:w="1728"/>
          </w:tcPr>
          <w:p>
            <w:pPr>
              <w:jc w:val="center"/>
            </w:pPr>
            <w:r>
              <w:rPr>
                <w:b/>
                <w:sz w:val="18"/>
              </w:rPr>
              <w:t>beta_3</w:t>
            </w:r>
          </w:p>
        </w:tc>
        <w:tc>
          <w:tcPr>
            <w:tcW w:type="dxa" w:w="1728"/>
          </w:tcPr>
          <w:p>
            <w:pPr>
              <w:jc w:val="center"/>
            </w:pPr>
            <w:r>
              <w:rPr>
                <w:b/>
                <w:sz w:val="18"/>
              </w:rPr>
              <w:t>SE</w:t>
            </w:r>
          </w:p>
        </w:tc>
        <w:tc>
          <w:tcPr>
            <w:tcW w:type="dxa" w:w="1728"/>
          </w:tcPr>
          <w:p>
            <w:pPr>
              <w:jc w:val="center"/>
            </w:pPr>
            <w:r>
              <w:rPr>
                <w:b/>
                <w:sz w:val="18"/>
              </w:rPr>
              <w:t>p-value</w:t>
            </w:r>
          </w:p>
        </w:tc>
        <w:tc>
          <w:tcPr>
            <w:tcW w:type="dxa" w:w="1728"/>
          </w:tcPr>
          <w:p>
            <w:pPr>
              <w:jc w:val="center"/>
            </w:pPr>
            <w:r>
              <w:rPr>
                <w:b/>
                <w:sz w:val="18"/>
              </w:rPr>
              <w:t>exp(beta_3)</w:t>
            </w:r>
          </w:p>
        </w:tc>
      </w:tr>
      <w:tr>
        <w:tc>
          <w:tcPr>
            <w:tcW w:type="dxa" w:w="1728"/>
          </w:tcPr>
          <w:p>
            <w:pPr>
              <w:jc w:val="center"/>
            </w:pPr>
            <w:r>
              <w:rPr>
                <w:sz w:val="18"/>
              </w:rPr>
              <w:t>A: SWH x Post</w:t>
            </w:r>
          </w:p>
        </w:tc>
        <w:tc>
          <w:tcPr>
            <w:tcW w:type="dxa" w:w="1728"/>
          </w:tcPr>
          <w:p>
            <w:pPr>
              <w:jc w:val="center"/>
            </w:pPr>
            <w:r>
              <w:rPr>
                <w:sz w:val="18"/>
              </w:rPr>
              <w:t>-0.204</w:t>
            </w:r>
          </w:p>
        </w:tc>
        <w:tc>
          <w:tcPr>
            <w:tcW w:type="dxa" w:w="1728"/>
          </w:tcPr>
          <w:p>
            <w:pPr>
              <w:jc w:val="center"/>
            </w:pPr>
            <w:r>
              <w:rPr>
                <w:sz w:val="18"/>
              </w:rPr>
              <w:t>0.204</w:t>
            </w:r>
          </w:p>
        </w:tc>
        <w:tc>
          <w:tcPr>
            <w:tcW w:type="dxa" w:w="1728"/>
          </w:tcPr>
          <w:p>
            <w:pPr>
              <w:jc w:val="center"/>
            </w:pPr>
            <w:r>
              <w:rPr>
                <w:sz w:val="18"/>
              </w:rPr>
              <w:t>0.319</w:t>
            </w:r>
          </w:p>
        </w:tc>
        <w:tc>
          <w:tcPr>
            <w:tcW w:type="dxa" w:w="1728"/>
          </w:tcPr>
          <w:p>
            <w:pPr>
              <w:jc w:val="center"/>
            </w:pPr>
            <w:r>
              <w:rPr>
                <w:sz w:val="18"/>
              </w:rPr>
              <w:t>0.816</w:t>
            </w:r>
          </w:p>
        </w:tc>
      </w:tr>
      <w:tr>
        <w:tc>
          <w:tcPr>
            <w:tcW w:type="dxa" w:w="1728"/>
          </w:tcPr>
          <w:p>
            <w:pPr>
              <w:jc w:val="center"/>
            </w:pPr>
            <w:r>
              <w:rPr>
                <w:sz w:val="18"/>
              </w:rPr>
              <w:t>B: Wind x Post</w:t>
            </w:r>
          </w:p>
        </w:tc>
        <w:tc>
          <w:tcPr>
            <w:tcW w:type="dxa" w:w="1728"/>
          </w:tcPr>
          <w:p>
            <w:pPr>
              <w:jc w:val="center"/>
            </w:pPr>
            <w:r>
              <w:rPr>
                <w:sz w:val="18"/>
              </w:rPr>
              <w:t>-0.053</w:t>
            </w:r>
          </w:p>
        </w:tc>
        <w:tc>
          <w:tcPr>
            <w:tcW w:type="dxa" w:w="1728"/>
          </w:tcPr>
          <w:p>
            <w:pPr>
              <w:jc w:val="center"/>
            </w:pPr>
            <w:r>
              <w:rPr>
                <w:sz w:val="18"/>
              </w:rPr>
              <w:t>0.051</w:t>
            </w:r>
          </w:p>
        </w:tc>
        <w:tc>
          <w:tcPr>
            <w:tcW w:type="dxa" w:w="1728"/>
          </w:tcPr>
          <w:p>
            <w:pPr>
              <w:jc w:val="center"/>
            </w:pPr>
            <w:r>
              <w:rPr>
                <w:sz w:val="18"/>
              </w:rPr>
              <w:t>0.294</w:t>
            </w:r>
          </w:p>
        </w:tc>
        <w:tc>
          <w:tcPr>
            <w:tcW w:type="dxa" w:w="1728"/>
          </w:tcPr>
          <w:p>
            <w:pPr>
              <w:jc w:val="center"/>
            </w:pPr>
            <w:r>
              <w:rPr>
                <w:sz w:val="18"/>
              </w:rPr>
              <w:t>0.948</w:t>
            </w:r>
          </w:p>
        </w:tc>
      </w:tr>
      <w:tr>
        <w:tc>
          <w:tcPr>
            <w:tcW w:type="dxa" w:w="1728"/>
          </w:tcPr>
          <w:p>
            <w:pPr>
              <w:jc w:val="center"/>
            </w:pPr>
            <w:r>
              <w:rPr>
                <w:sz w:val="18"/>
              </w:rPr>
              <w:t>C: Joint (SWH + Wind)</w:t>
            </w:r>
          </w:p>
        </w:tc>
        <w:tc>
          <w:tcPr>
            <w:tcW w:type="dxa" w:w="1728"/>
          </w:tcPr>
          <w:p>
            <w:pPr>
              <w:jc w:val="center"/>
            </w:pPr>
            <w:r>
              <w:rPr>
                <w:sz w:val="18"/>
              </w:rPr>
              <w:t>-0.101 / -0.035</w:t>
            </w:r>
          </w:p>
        </w:tc>
        <w:tc>
          <w:tcPr>
            <w:tcW w:type="dxa" w:w="1728"/>
          </w:tcPr>
          <w:p>
            <w:pPr>
              <w:jc w:val="center"/>
            </w:pPr>
            <w:r>
              <w:rPr>
                <w:sz w:val="18"/>
              </w:rPr>
              <w:t>0.333 / 0.083</w:t>
            </w:r>
          </w:p>
        </w:tc>
        <w:tc>
          <w:tcPr>
            <w:tcW w:type="dxa" w:w="1728"/>
          </w:tcPr>
          <w:p>
            <w:pPr>
              <w:jc w:val="center"/>
            </w:pPr>
            <w:r>
              <w:rPr>
                <w:sz w:val="18"/>
              </w:rPr>
              <w:t>0.762 / 0.668</w:t>
            </w:r>
          </w:p>
        </w:tc>
        <w:tc>
          <w:tcPr>
            <w:tcW w:type="dxa" w:w="1728"/>
          </w:tcPr>
          <w:p>
            <w:pPr>
              <w:jc w:val="center"/>
            </w:pPr>
            <w:r>
              <w:rPr>
                <w:sz w:val="18"/>
              </w:rPr>
              <w:t>0.904 / 0.965</w:t>
            </w:r>
          </w:p>
        </w:tc>
      </w:tr>
      <w:tr>
        <w:tc>
          <w:tcPr>
            <w:tcW w:type="dxa" w:w="1728"/>
          </w:tcPr>
          <w:p>
            <w:pPr>
              <w:jc w:val="center"/>
            </w:pPr>
            <w:r>
              <w:rPr>
                <w:sz w:val="18"/>
              </w:rPr>
              <w:t>D: Gust x Post</w:t>
            </w:r>
          </w:p>
        </w:tc>
        <w:tc>
          <w:tcPr>
            <w:tcW w:type="dxa" w:w="1728"/>
          </w:tcPr>
          <w:p>
            <w:pPr>
              <w:jc w:val="center"/>
            </w:pPr>
            <w:r>
              <w:rPr>
                <w:sz w:val="18"/>
              </w:rPr>
              <w:t>-0.092</w:t>
            </w:r>
          </w:p>
        </w:tc>
        <w:tc>
          <w:tcPr>
            <w:tcW w:type="dxa" w:w="1728"/>
          </w:tcPr>
          <w:p>
            <w:pPr>
              <w:jc w:val="center"/>
            </w:pPr>
            <w:r>
              <w:rPr>
                <w:sz w:val="18"/>
              </w:rPr>
              <w:t>0.038</w:t>
            </w:r>
          </w:p>
        </w:tc>
        <w:tc>
          <w:tcPr>
            <w:tcW w:type="dxa" w:w="1728"/>
          </w:tcPr>
          <w:p>
            <w:pPr>
              <w:jc w:val="center"/>
            </w:pPr>
            <w:r>
              <w:rPr>
                <w:sz w:val="18"/>
              </w:rPr>
              <w:t>0.016 **</w:t>
            </w:r>
          </w:p>
        </w:tc>
        <w:tc>
          <w:tcPr>
            <w:tcW w:type="dxa" w:w="1728"/>
          </w:tcPr>
          <w:p>
            <w:pPr>
              <w:jc w:val="center"/>
            </w:pPr>
            <w:r>
              <w:rPr>
                <w:sz w:val="18"/>
              </w:rPr>
              <w:t>0.913</w:t>
            </w:r>
          </w:p>
        </w:tc>
      </w:tr>
    </w:tbl>
    <w:p/>
    <w:p>
      <w:r>
        <w:t>The SWH and wind interactions are not significant. The gust interaction is significant at 5% (p = 0.016): a 1 m/s increase in gust intensity is associated with 8.7% fewer deaths per incident post-MoU compared to pre-MoU. All signs are negative -- the gradient decreased, opposite to the hypothesis.</w:t>
      </w:r>
    </w:p>
    <w:p>
      <w:pPr>
        <w:pStyle w:val="Heading2"/>
      </w:pPr>
      <w:r>
        <w:t>4.2 Sensitivity and Robustness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Specification</w:t>
            </w:r>
          </w:p>
        </w:tc>
        <w:tc>
          <w:tcPr>
            <w:tcW w:type="dxa" w:w="1728"/>
          </w:tcPr>
          <w:p>
            <w:pPr>
              <w:jc w:val="center"/>
            </w:pPr>
            <w:r>
              <w:rPr>
                <w:b/>
                <w:sz w:val="18"/>
              </w:rPr>
              <w:t>beta_3</w:t>
            </w:r>
          </w:p>
        </w:tc>
        <w:tc>
          <w:tcPr>
            <w:tcW w:type="dxa" w:w="1728"/>
          </w:tcPr>
          <w:p>
            <w:pPr>
              <w:jc w:val="center"/>
            </w:pPr>
            <w:r>
              <w:rPr>
                <w:b/>
                <w:sz w:val="18"/>
              </w:rPr>
              <w:t>SE</w:t>
            </w:r>
          </w:p>
        </w:tc>
        <w:tc>
          <w:tcPr>
            <w:tcW w:type="dxa" w:w="1728"/>
          </w:tcPr>
          <w:p>
            <w:pPr>
              <w:jc w:val="center"/>
            </w:pPr>
            <w:r>
              <w:rPr>
                <w:b/>
                <w:sz w:val="18"/>
              </w:rPr>
              <w:t>p-value</w:t>
            </w:r>
          </w:p>
        </w:tc>
        <w:tc>
          <w:tcPr>
            <w:tcW w:type="dxa" w:w="1728"/>
          </w:tcPr>
          <w:p>
            <w:pPr>
              <w:jc w:val="center"/>
            </w:pPr>
            <w:r>
              <w:rPr>
                <w:b/>
                <w:sz w:val="18"/>
              </w:rPr>
              <w:t>exp(beta_3)</w:t>
            </w:r>
          </w:p>
        </w:tc>
      </w:tr>
      <w:tr>
        <w:tc>
          <w:tcPr>
            <w:tcW w:type="dxa" w:w="1728"/>
          </w:tcPr>
          <w:p>
            <w:pPr>
              <w:jc w:val="center"/>
            </w:pPr>
            <w:r>
              <w:rPr>
                <w:sz w:val="18"/>
              </w:rPr>
              <w:t>A: no grid FE</w:t>
            </w:r>
          </w:p>
        </w:tc>
        <w:tc>
          <w:tcPr>
            <w:tcW w:type="dxa" w:w="1728"/>
          </w:tcPr>
          <w:p>
            <w:pPr>
              <w:jc w:val="center"/>
            </w:pPr>
            <w:r>
              <w:rPr>
                <w:sz w:val="18"/>
              </w:rPr>
              <w:t>-0.301</w:t>
            </w:r>
          </w:p>
        </w:tc>
        <w:tc>
          <w:tcPr>
            <w:tcW w:type="dxa" w:w="1728"/>
          </w:tcPr>
          <w:p>
            <w:pPr>
              <w:jc w:val="center"/>
            </w:pPr>
            <w:r>
              <w:rPr>
                <w:sz w:val="18"/>
              </w:rPr>
              <w:t>0.230</w:t>
            </w:r>
          </w:p>
        </w:tc>
        <w:tc>
          <w:tcPr>
            <w:tcW w:type="dxa" w:w="1728"/>
          </w:tcPr>
          <w:p>
            <w:pPr>
              <w:jc w:val="center"/>
            </w:pPr>
            <w:r>
              <w:rPr>
                <w:sz w:val="18"/>
              </w:rPr>
              <w:t>0.191</w:t>
            </w:r>
          </w:p>
        </w:tc>
        <w:tc>
          <w:tcPr>
            <w:tcW w:type="dxa" w:w="1728"/>
          </w:tcPr>
          <w:p>
            <w:pPr>
              <w:jc w:val="center"/>
            </w:pPr>
            <w:r>
              <w:rPr>
                <w:sz w:val="18"/>
              </w:rPr>
              <w:t>0.740</w:t>
            </w:r>
          </w:p>
        </w:tc>
      </w:tr>
      <w:tr>
        <w:tc>
          <w:tcPr>
            <w:tcW w:type="dxa" w:w="1728"/>
          </w:tcPr>
          <w:p>
            <w:pPr>
              <w:jc w:val="center"/>
            </w:pPr>
            <w:r>
              <w:rPr>
                <w:sz w:val="18"/>
              </w:rPr>
              <w:t>A: 0.25-deg grid FE</w:t>
            </w:r>
          </w:p>
        </w:tc>
        <w:tc>
          <w:tcPr>
            <w:tcW w:type="dxa" w:w="1728"/>
          </w:tcPr>
          <w:p>
            <w:pPr>
              <w:jc w:val="center"/>
            </w:pPr>
            <w:r>
              <w:rPr>
                <w:sz w:val="18"/>
              </w:rPr>
              <w:t>-0.104</w:t>
            </w:r>
          </w:p>
        </w:tc>
        <w:tc>
          <w:tcPr>
            <w:tcW w:type="dxa" w:w="1728"/>
          </w:tcPr>
          <w:p>
            <w:pPr>
              <w:jc w:val="center"/>
            </w:pPr>
            <w:r>
              <w:rPr>
                <w:sz w:val="18"/>
              </w:rPr>
              <w:t>0.244</w:t>
            </w:r>
          </w:p>
        </w:tc>
        <w:tc>
          <w:tcPr>
            <w:tcW w:type="dxa" w:w="1728"/>
          </w:tcPr>
          <w:p>
            <w:pPr>
              <w:jc w:val="center"/>
            </w:pPr>
            <w:r>
              <w:rPr>
                <w:sz w:val="18"/>
              </w:rPr>
              <w:t>0.668</w:t>
            </w:r>
          </w:p>
        </w:tc>
        <w:tc>
          <w:tcPr>
            <w:tcW w:type="dxa" w:w="1728"/>
          </w:tcPr>
          <w:p>
            <w:pPr>
              <w:jc w:val="center"/>
            </w:pPr>
            <w:r>
              <w:rPr>
                <w:sz w:val="18"/>
              </w:rPr>
              <w:t>0.901</w:t>
            </w:r>
          </w:p>
        </w:tc>
      </w:tr>
      <w:tr>
        <w:tc>
          <w:tcPr>
            <w:tcW w:type="dxa" w:w="1728"/>
          </w:tcPr>
          <w:p>
            <w:pPr>
              <w:jc w:val="center"/>
            </w:pPr>
            <w:r>
              <w:rPr>
                <w:sz w:val="18"/>
              </w:rPr>
              <w:t>A: month-only FE</w:t>
            </w:r>
          </w:p>
        </w:tc>
        <w:tc>
          <w:tcPr>
            <w:tcW w:type="dxa" w:w="1728"/>
          </w:tcPr>
          <w:p>
            <w:pPr>
              <w:jc w:val="center"/>
            </w:pPr>
            <w:r>
              <w:rPr>
                <w:sz w:val="18"/>
              </w:rPr>
              <w:t>-0.044</w:t>
            </w:r>
          </w:p>
        </w:tc>
        <w:tc>
          <w:tcPr>
            <w:tcW w:type="dxa" w:w="1728"/>
          </w:tcPr>
          <w:p>
            <w:pPr>
              <w:jc w:val="center"/>
            </w:pPr>
            <w:r>
              <w:rPr>
                <w:sz w:val="18"/>
              </w:rPr>
              <w:t>0.227</w:t>
            </w:r>
          </w:p>
        </w:tc>
        <w:tc>
          <w:tcPr>
            <w:tcW w:type="dxa" w:w="1728"/>
          </w:tcPr>
          <w:p>
            <w:pPr>
              <w:jc w:val="center"/>
            </w:pPr>
            <w:r>
              <w:rPr>
                <w:sz w:val="18"/>
              </w:rPr>
              <w:t>0.845</w:t>
            </w:r>
          </w:p>
        </w:tc>
        <w:tc>
          <w:tcPr>
            <w:tcW w:type="dxa" w:w="1728"/>
          </w:tcPr>
          <w:p>
            <w:pPr>
              <w:jc w:val="center"/>
            </w:pPr>
            <w:r>
              <w:rPr>
                <w:sz w:val="18"/>
              </w:rPr>
              <w:t>0.957</w:t>
            </w:r>
          </w:p>
        </w:tc>
      </w:tr>
      <w:tr>
        <w:tc>
          <w:tcPr>
            <w:tcW w:type="dxa" w:w="1728"/>
          </w:tcPr>
          <w:p>
            <w:pPr>
              <w:jc w:val="center"/>
            </w:pPr>
            <w:r>
              <w:rPr>
                <w:sz w:val="18"/>
              </w:rPr>
              <w:t>A: trim &lt;= 100</w:t>
            </w:r>
          </w:p>
        </w:tc>
        <w:tc>
          <w:tcPr>
            <w:tcW w:type="dxa" w:w="1728"/>
          </w:tcPr>
          <w:p>
            <w:pPr>
              <w:jc w:val="center"/>
            </w:pPr>
            <w:r>
              <w:rPr>
                <w:sz w:val="18"/>
              </w:rPr>
              <w:t>-0.125</w:t>
            </w:r>
          </w:p>
        </w:tc>
        <w:tc>
          <w:tcPr>
            <w:tcW w:type="dxa" w:w="1728"/>
          </w:tcPr>
          <w:p>
            <w:pPr>
              <w:jc w:val="center"/>
            </w:pPr>
            <w:r>
              <w:rPr>
                <w:sz w:val="18"/>
              </w:rPr>
              <w:t>0.199</w:t>
            </w:r>
          </w:p>
        </w:tc>
        <w:tc>
          <w:tcPr>
            <w:tcW w:type="dxa" w:w="1728"/>
          </w:tcPr>
          <w:p>
            <w:pPr>
              <w:jc w:val="center"/>
            </w:pPr>
            <w:r>
              <w:rPr>
                <w:sz w:val="18"/>
              </w:rPr>
              <w:t>0.531</w:t>
            </w:r>
          </w:p>
        </w:tc>
        <w:tc>
          <w:tcPr>
            <w:tcW w:type="dxa" w:w="1728"/>
          </w:tcPr>
          <w:p>
            <w:pPr>
              <w:jc w:val="center"/>
            </w:pPr>
            <w:r>
              <w:rPr>
                <w:sz w:val="18"/>
              </w:rPr>
              <w:t>0.883</w:t>
            </w:r>
          </w:p>
        </w:tc>
      </w:tr>
      <w:tr>
        <w:tc>
          <w:tcPr>
            <w:tcW w:type="dxa" w:w="1728"/>
          </w:tcPr>
          <w:p>
            <w:pPr>
              <w:jc w:val="center"/>
            </w:pPr>
            <w:r>
              <w:rPr>
                <w:sz w:val="18"/>
              </w:rPr>
              <w:t>D: trim &lt;= 100</w:t>
            </w:r>
          </w:p>
        </w:tc>
        <w:tc>
          <w:tcPr>
            <w:tcW w:type="dxa" w:w="1728"/>
          </w:tcPr>
          <w:p>
            <w:pPr>
              <w:jc w:val="center"/>
            </w:pPr>
            <w:r>
              <w:rPr>
                <w:sz w:val="18"/>
              </w:rPr>
              <w:t>-0.056</w:t>
            </w:r>
          </w:p>
        </w:tc>
        <w:tc>
          <w:tcPr>
            <w:tcW w:type="dxa" w:w="1728"/>
          </w:tcPr>
          <w:p>
            <w:pPr>
              <w:jc w:val="center"/>
            </w:pPr>
            <w:r>
              <w:rPr>
                <w:sz w:val="18"/>
              </w:rPr>
              <w:t>0.036</w:t>
            </w:r>
          </w:p>
        </w:tc>
        <w:tc>
          <w:tcPr>
            <w:tcW w:type="dxa" w:w="1728"/>
          </w:tcPr>
          <w:p>
            <w:pPr>
              <w:jc w:val="center"/>
            </w:pPr>
            <w:r>
              <w:rPr>
                <w:sz w:val="18"/>
              </w:rPr>
              <w:t>0.124</w:t>
            </w:r>
          </w:p>
        </w:tc>
        <w:tc>
          <w:tcPr>
            <w:tcW w:type="dxa" w:w="1728"/>
          </w:tcPr>
          <w:p>
            <w:pPr>
              <w:jc w:val="center"/>
            </w:pPr>
            <w:r>
              <w:rPr>
                <w:sz w:val="18"/>
              </w:rPr>
              <w:t>0.946</w:t>
            </w:r>
          </w:p>
        </w:tc>
      </w:tr>
      <w:tr>
        <w:tc>
          <w:tcPr>
            <w:tcW w:type="dxa" w:w="1728"/>
          </w:tcPr>
          <w:p>
            <w:pPr>
              <w:jc w:val="center"/>
            </w:pPr>
            <w:r>
              <w:rPr>
                <w:sz w:val="18"/>
              </w:rPr>
              <w:t>A: cluster SE (grid)</w:t>
            </w:r>
          </w:p>
        </w:tc>
        <w:tc>
          <w:tcPr>
            <w:tcW w:type="dxa" w:w="1728"/>
          </w:tcPr>
          <w:p>
            <w:pPr>
              <w:jc w:val="center"/>
            </w:pPr>
            <w:r>
              <w:rPr>
                <w:sz w:val="18"/>
              </w:rPr>
              <w:t>-0.204</w:t>
            </w:r>
          </w:p>
        </w:tc>
        <w:tc>
          <w:tcPr>
            <w:tcW w:type="dxa" w:w="1728"/>
          </w:tcPr>
          <w:p>
            <w:pPr>
              <w:jc w:val="center"/>
            </w:pPr>
            <w:r>
              <w:rPr>
                <w:sz w:val="18"/>
              </w:rPr>
              <w:t>0.194</w:t>
            </w:r>
          </w:p>
        </w:tc>
        <w:tc>
          <w:tcPr>
            <w:tcW w:type="dxa" w:w="1728"/>
          </w:tcPr>
          <w:p>
            <w:pPr>
              <w:jc w:val="center"/>
            </w:pPr>
            <w:r>
              <w:rPr>
                <w:sz w:val="18"/>
              </w:rPr>
              <w:t>0.294</w:t>
            </w:r>
          </w:p>
        </w:tc>
        <w:tc>
          <w:tcPr>
            <w:tcW w:type="dxa" w:w="1728"/>
          </w:tcPr>
          <w:p>
            <w:pPr>
              <w:jc w:val="center"/>
            </w:pPr>
            <w:r>
              <w:rPr>
                <w:sz w:val="18"/>
              </w:rPr>
              <w:t>0.816</w:t>
            </w:r>
          </w:p>
        </w:tc>
      </w:tr>
      <w:tr>
        <w:tc>
          <w:tcPr>
            <w:tcW w:type="dxa" w:w="1728"/>
          </w:tcPr>
          <w:p>
            <w:pPr>
              <w:jc w:val="center"/>
            </w:pPr>
            <w:r>
              <w:rPr>
                <w:sz w:val="18"/>
              </w:rPr>
              <w:t>D: cluster SE (grid)</w:t>
            </w:r>
          </w:p>
        </w:tc>
        <w:tc>
          <w:tcPr>
            <w:tcW w:type="dxa" w:w="1728"/>
          </w:tcPr>
          <w:p>
            <w:pPr>
              <w:jc w:val="center"/>
            </w:pPr>
            <w:r>
              <w:rPr>
                <w:sz w:val="18"/>
              </w:rPr>
              <w:t>-0.092</w:t>
            </w:r>
          </w:p>
        </w:tc>
        <w:tc>
          <w:tcPr>
            <w:tcW w:type="dxa" w:w="1728"/>
          </w:tcPr>
          <w:p>
            <w:pPr>
              <w:jc w:val="center"/>
            </w:pPr>
            <w:r>
              <w:rPr>
                <w:sz w:val="18"/>
              </w:rPr>
              <w:t>0.044</w:t>
            </w:r>
          </w:p>
        </w:tc>
        <w:tc>
          <w:tcPr>
            <w:tcW w:type="dxa" w:w="1728"/>
          </w:tcPr>
          <w:p>
            <w:pPr>
              <w:jc w:val="center"/>
            </w:pPr>
            <w:r>
              <w:rPr>
                <w:sz w:val="18"/>
              </w:rPr>
              <w:t>0.039 **</w:t>
            </w:r>
          </w:p>
        </w:tc>
        <w:tc>
          <w:tcPr>
            <w:tcW w:type="dxa" w:w="1728"/>
          </w:tcPr>
          <w:p>
            <w:pPr>
              <w:jc w:val="center"/>
            </w:pPr>
            <w:r>
              <w:rPr>
                <w:sz w:val="18"/>
              </w:rPr>
              <w:t>0.913</w:t>
            </w:r>
          </w:p>
        </w:tc>
      </w:tr>
      <w:tr>
        <w:tc>
          <w:tcPr>
            <w:tcW w:type="dxa" w:w="1728"/>
          </w:tcPr>
          <w:p>
            <w:pPr>
              <w:jc w:val="center"/>
            </w:pPr>
            <w:r>
              <w:rPr>
                <w:sz w:val="18"/>
              </w:rPr>
              <w:t>A: Poisson</w:t>
            </w:r>
          </w:p>
        </w:tc>
        <w:tc>
          <w:tcPr>
            <w:tcW w:type="dxa" w:w="1728"/>
          </w:tcPr>
          <w:p>
            <w:pPr>
              <w:jc w:val="center"/>
            </w:pPr>
            <w:r>
              <w:rPr>
                <w:sz w:val="18"/>
              </w:rPr>
              <w:t>-0.331</w:t>
            </w:r>
          </w:p>
        </w:tc>
        <w:tc>
          <w:tcPr>
            <w:tcW w:type="dxa" w:w="1728"/>
          </w:tcPr>
          <w:p>
            <w:pPr>
              <w:jc w:val="center"/>
            </w:pPr>
            <w:r>
              <w:rPr>
                <w:sz w:val="18"/>
              </w:rPr>
              <w:t>0.240</w:t>
            </w:r>
          </w:p>
        </w:tc>
        <w:tc>
          <w:tcPr>
            <w:tcW w:type="dxa" w:w="1728"/>
          </w:tcPr>
          <w:p>
            <w:pPr>
              <w:jc w:val="center"/>
            </w:pPr>
            <w:r>
              <w:rPr>
                <w:sz w:val="18"/>
              </w:rPr>
              <w:t>0.168</w:t>
            </w:r>
          </w:p>
        </w:tc>
        <w:tc>
          <w:tcPr>
            <w:tcW w:type="dxa" w:w="1728"/>
          </w:tcPr>
          <w:p>
            <w:pPr>
              <w:jc w:val="center"/>
            </w:pPr>
            <w:r>
              <w:rPr>
                <w:sz w:val="18"/>
              </w:rPr>
              <w:t>0.718</w:t>
            </w:r>
          </w:p>
        </w:tc>
      </w:tr>
      <w:tr>
        <w:tc>
          <w:tcPr>
            <w:tcW w:type="dxa" w:w="1728"/>
          </w:tcPr>
          <w:p>
            <w:pPr>
              <w:jc w:val="center"/>
            </w:pPr>
            <w:r>
              <w:rPr>
                <w:sz w:val="18"/>
              </w:rPr>
              <w:t>D: Poisson</w:t>
            </w:r>
          </w:p>
        </w:tc>
        <w:tc>
          <w:tcPr>
            <w:tcW w:type="dxa" w:w="1728"/>
          </w:tcPr>
          <w:p>
            <w:pPr>
              <w:jc w:val="center"/>
            </w:pPr>
            <w:r>
              <w:rPr>
                <w:sz w:val="18"/>
              </w:rPr>
              <w:t>-0.076</w:t>
            </w:r>
          </w:p>
        </w:tc>
        <w:tc>
          <w:tcPr>
            <w:tcW w:type="dxa" w:w="1728"/>
          </w:tcPr>
          <w:p>
            <w:pPr>
              <w:jc w:val="center"/>
            </w:pPr>
            <w:r>
              <w:rPr>
                <w:sz w:val="18"/>
              </w:rPr>
              <w:t>0.048</w:t>
            </w:r>
          </w:p>
        </w:tc>
        <w:tc>
          <w:tcPr>
            <w:tcW w:type="dxa" w:w="1728"/>
          </w:tcPr>
          <w:p>
            <w:pPr>
              <w:jc w:val="center"/>
            </w:pPr>
            <w:r>
              <w:rPr>
                <w:sz w:val="18"/>
              </w:rPr>
              <w:t>0.116</w:t>
            </w:r>
          </w:p>
        </w:tc>
        <w:tc>
          <w:tcPr>
            <w:tcW w:type="dxa" w:w="1728"/>
          </w:tcPr>
          <w:p>
            <w:pPr>
              <w:jc w:val="center"/>
            </w:pPr>
            <w:r>
              <w:rPr>
                <w:sz w:val="18"/>
              </w:rPr>
              <w:t>0.927</w:t>
            </w:r>
          </w:p>
        </w:tc>
      </w:tr>
    </w:tbl>
    <w:p/>
    <w:p>
      <w:r>
        <w:t>Key findings from sensitivity analysis:</w:t>
      </w:r>
    </w:p>
    <w:p>
      <w:pPr>
        <w:pStyle w:val="ListBullet"/>
      </w:pPr>
      <w:r>
        <w:t>The SWH interaction is robustly null across all specifications (grid resolution, temporal FE, outlier trimming, SE clustering, Poisson).</w:t>
      </w:r>
    </w:p>
    <w:p>
      <w:pPr>
        <w:pStyle w:val="ListBullet"/>
      </w:pPr>
      <w:r>
        <w:t>The gust interaction survives grid-clustered SEs (p = 0.039) but does NOT survive outlier trimming (p = 0.124) or Poisson estimation (p = 0.116). It is not robust.</w:t>
      </w:r>
    </w:p>
    <w:p>
      <w:pPr>
        <w:pStyle w:val="ListBullet"/>
      </w:pPr>
      <w:r>
        <w:t>Outlier trimming (dead+missing &gt; 100) drops 33 incidents, all pre-MoU mass-casualty events. The top 5 deadliest incidents (400-550 dead+missing) are all pre-MoU.</w:t>
      </w:r>
    </w:p>
    <w:p>
      <w:pPr>
        <w:pStyle w:val="Heading1"/>
      </w:pPr>
      <w:r>
        <w:t>5. Placebo and Stability Tests</w:t>
      </w:r>
    </w:p>
    <w:p>
      <w:pPr>
        <w:pStyle w:val="Heading2"/>
      </w:pPr>
      <w:r>
        <w:t>5.1 Placebo Treatment Dates -- SWH</w:t>
      </w:r>
    </w:p>
    <w:p>
      <w:r>
        <w:t>The SWH x Post interaction was re-estimated at 14 placebo treatment dates (quarterly, 2015-Q1 to 2018-Q3). If the MoU date is special, beta_3 should stand out against placebo estimates.</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Placebo date</w:t>
            </w:r>
          </w:p>
        </w:tc>
        <w:tc>
          <w:tcPr>
            <w:tcW w:type="dxa" w:w="1440"/>
          </w:tcPr>
          <w:p>
            <w:pPr>
              <w:jc w:val="center"/>
            </w:pPr>
            <w:r>
              <w:rPr>
                <w:b/>
                <w:sz w:val="18"/>
              </w:rPr>
              <w:t>beta_3</w:t>
            </w:r>
          </w:p>
        </w:tc>
        <w:tc>
          <w:tcPr>
            <w:tcW w:type="dxa" w:w="1440"/>
          </w:tcPr>
          <w:p>
            <w:pPr>
              <w:jc w:val="center"/>
            </w:pPr>
            <w:r>
              <w:rPr>
                <w:b/>
                <w:sz w:val="18"/>
              </w:rPr>
              <w:t>SE</w:t>
            </w:r>
          </w:p>
        </w:tc>
        <w:tc>
          <w:tcPr>
            <w:tcW w:type="dxa" w:w="1440"/>
          </w:tcPr>
          <w:p>
            <w:pPr>
              <w:jc w:val="center"/>
            </w:pPr>
            <w:r>
              <w:rPr>
                <w:b/>
                <w:sz w:val="18"/>
              </w:rPr>
              <w:t>p-value</w:t>
            </w:r>
          </w:p>
        </w:tc>
        <w:tc>
          <w:tcPr>
            <w:tcW w:type="dxa" w:w="1440"/>
          </w:tcPr>
          <w:p>
            <w:pPr>
              <w:jc w:val="center"/>
            </w:pPr>
            <w:r>
              <w:rPr>
                <w:b/>
                <w:sz w:val="18"/>
              </w:rPr>
              <w:t>n pre</w:t>
            </w:r>
          </w:p>
        </w:tc>
        <w:tc>
          <w:tcPr>
            <w:tcW w:type="dxa" w:w="1440"/>
          </w:tcPr>
          <w:p>
            <w:pPr>
              <w:jc w:val="center"/>
            </w:pPr>
            <w:r>
              <w:rPr>
                <w:b/>
                <w:sz w:val="18"/>
              </w:rPr>
              <w:t>n post</w:t>
            </w:r>
          </w:p>
        </w:tc>
      </w:tr>
      <w:tr>
        <w:tc>
          <w:tcPr>
            <w:tcW w:type="dxa" w:w="1440"/>
          </w:tcPr>
          <w:p>
            <w:pPr>
              <w:jc w:val="center"/>
            </w:pPr>
            <w:r>
              <w:rPr>
                <w:sz w:val="18"/>
              </w:rPr>
              <w:t>2015-01</w:t>
            </w:r>
          </w:p>
        </w:tc>
        <w:tc>
          <w:tcPr>
            <w:tcW w:type="dxa" w:w="1440"/>
          </w:tcPr>
          <w:p>
            <w:pPr>
              <w:jc w:val="center"/>
            </w:pPr>
            <w:r>
              <w:rPr>
                <w:sz w:val="18"/>
              </w:rPr>
              <w:t>-0.312</w:t>
            </w:r>
          </w:p>
        </w:tc>
        <w:tc>
          <w:tcPr>
            <w:tcW w:type="dxa" w:w="1440"/>
          </w:tcPr>
          <w:p>
            <w:pPr>
              <w:jc w:val="center"/>
            </w:pPr>
            <w:r>
              <w:rPr>
                <w:sz w:val="18"/>
              </w:rPr>
              <w:t>1.499</w:t>
            </w:r>
          </w:p>
        </w:tc>
        <w:tc>
          <w:tcPr>
            <w:tcW w:type="dxa" w:w="1440"/>
          </w:tcPr>
          <w:p>
            <w:pPr>
              <w:jc w:val="center"/>
            </w:pPr>
            <w:r>
              <w:rPr>
                <w:sz w:val="18"/>
              </w:rPr>
              <w:t>0.835</w:t>
            </w:r>
          </w:p>
        </w:tc>
        <w:tc>
          <w:tcPr>
            <w:tcW w:type="dxa" w:w="1440"/>
          </w:tcPr>
          <w:p>
            <w:pPr>
              <w:jc w:val="center"/>
            </w:pPr>
            <w:r>
              <w:rPr>
                <w:sz w:val="18"/>
              </w:rPr>
              <w:t>43</w:t>
            </w:r>
          </w:p>
        </w:tc>
        <w:tc>
          <w:tcPr>
            <w:tcW w:type="dxa" w:w="1440"/>
          </w:tcPr>
          <w:p>
            <w:pPr>
              <w:jc w:val="center"/>
            </w:pPr>
            <w:r>
              <w:rPr>
                <w:sz w:val="18"/>
              </w:rPr>
              <w:t>1189</w:t>
            </w:r>
          </w:p>
        </w:tc>
      </w:tr>
      <w:tr>
        <w:tc>
          <w:tcPr>
            <w:tcW w:type="dxa" w:w="1440"/>
          </w:tcPr>
          <w:p>
            <w:pPr>
              <w:jc w:val="center"/>
            </w:pPr>
            <w:r>
              <w:rPr>
                <w:sz w:val="18"/>
              </w:rPr>
              <w:t>2015-04</w:t>
            </w:r>
          </w:p>
        </w:tc>
        <w:tc>
          <w:tcPr>
            <w:tcW w:type="dxa" w:w="1440"/>
          </w:tcPr>
          <w:p>
            <w:pPr>
              <w:jc w:val="center"/>
            </w:pPr>
            <w:r>
              <w:rPr>
                <w:sz w:val="18"/>
              </w:rPr>
              <w:t>-0.850</w:t>
            </w:r>
          </w:p>
        </w:tc>
        <w:tc>
          <w:tcPr>
            <w:tcW w:type="dxa" w:w="1440"/>
          </w:tcPr>
          <w:p>
            <w:pPr>
              <w:jc w:val="center"/>
            </w:pPr>
            <w:r>
              <w:rPr>
                <w:sz w:val="18"/>
              </w:rPr>
              <w:t>0.287</w:t>
            </w:r>
          </w:p>
        </w:tc>
        <w:tc>
          <w:tcPr>
            <w:tcW w:type="dxa" w:w="1440"/>
          </w:tcPr>
          <w:p>
            <w:pPr>
              <w:jc w:val="center"/>
            </w:pPr>
            <w:r>
              <w:rPr>
                <w:sz w:val="18"/>
              </w:rPr>
              <w:t>0.003 **</w:t>
            </w:r>
          </w:p>
        </w:tc>
        <w:tc>
          <w:tcPr>
            <w:tcW w:type="dxa" w:w="1440"/>
          </w:tcPr>
          <w:p>
            <w:pPr>
              <w:jc w:val="center"/>
            </w:pPr>
            <w:r>
              <w:rPr>
                <w:sz w:val="18"/>
              </w:rPr>
              <w:t>49</w:t>
            </w:r>
          </w:p>
        </w:tc>
        <w:tc>
          <w:tcPr>
            <w:tcW w:type="dxa" w:w="1440"/>
          </w:tcPr>
          <w:p>
            <w:pPr>
              <w:jc w:val="center"/>
            </w:pPr>
            <w:r>
              <w:rPr>
                <w:sz w:val="18"/>
              </w:rPr>
              <w:t>1183</w:t>
            </w:r>
          </w:p>
        </w:tc>
      </w:tr>
      <w:tr>
        <w:tc>
          <w:tcPr>
            <w:tcW w:type="dxa" w:w="1440"/>
          </w:tcPr>
          <w:p>
            <w:pPr>
              <w:jc w:val="center"/>
            </w:pPr>
            <w:r>
              <w:rPr>
                <w:sz w:val="18"/>
              </w:rPr>
              <w:t>2015-07</w:t>
            </w:r>
          </w:p>
        </w:tc>
        <w:tc>
          <w:tcPr>
            <w:tcW w:type="dxa" w:w="1440"/>
          </w:tcPr>
          <w:p>
            <w:pPr>
              <w:jc w:val="center"/>
            </w:pPr>
            <w:r>
              <w:rPr>
                <w:sz w:val="18"/>
              </w:rPr>
              <w:t>-0.407</w:t>
            </w:r>
          </w:p>
        </w:tc>
        <w:tc>
          <w:tcPr>
            <w:tcW w:type="dxa" w:w="1440"/>
          </w:tcPr>
          <w:p>
            <w:pPr>
              <w:jc w:val="center"/>
            </w:pPr>
            <w:r>
              <w:rPr>
                <w:sz w:val="18"/>
              </w:rPr>
              <w:t>0.272</w:t>
            </w:r>
          </w:p>
        </w:tc>
        <w:tc>
          <w:tcPr>
            <w:tcW w:type="dxa" w:w="1440"/>
          </w:tcPr>
          <w:p>
            <w:pPr>
              <w:jc w:val="center"/>
            </w:pPr>
            <w:r>
              <w:rPr>
                <w:sz w:val="18"/>
              </w:rPr>
              <w:t>0.135</w:t>
            </w:r>
          </w:p>
        </w:tc>
        <w:tc>
          <w:tcPr>
            <w:tcW w:type="dxa" w:w="1440"/>
          </w:tcPr>
          <w:p>
            <w:pPr>
              <w:jc w:val="center"/>
            </w:pPr>
            <w:r>
              <w:rPr>
                <w:sz w:val="18"/>
              </w:rPr>
              <w:t>64</w:t>
            </w:r>
          </w:p>
        </w:tc>
        <w:tc>
          <w:tcPr>
            <w:tcW w:type="dxa" w:w="1440"/>
          </w:tcPr>
          <w:p>
            <w:pPr>
              <w:jc w:val="center"/>
            </w:pPr>
            <w:r>
              <w:rPr>
                <w:sz w:val="18"/>
              </w:rPr>
              <w:t>1168</w:t>
            </w:r>
          </w:p>
        </w:tc>
      </w:tr>
      <w:tr>
        <w:tc>
          <w:tcPr>
            <w:tcW w:type="dxa" w:w="1440"/>
          </w:tcPr>
          <w:p>
            <w:pPr>
              <w:jc w:val="center"/>
            </w:pPr>
            <w:r>
              <w:rPr>
                <w:sz w:val="18"/>
              </w:rPr>
              <w:t>2016-01</w:t>
            </w:r>
          </w:p>
        </w:tc>
        <w:tc>
          <w:tcPr>
            <w:tcW w:type="dxa" w:w="1440"/>
          </w:tcPr>
          <w:p>
            <w:pPr>
              <w:jc w:val="center"/>
            </w:pPr>
            <w:r>
              <w:rPr>
                <w:sz w:val="18"/>
              </w:rPr>
              <w:t>-0.302</w:t>
            </w:r>
          </w:p>
        </w:tc>
        <w:tc>
          <w:tcPr>
            <w:tcW w:type="dxa" w:w="1440"/>
          </w:tcPr>
          <w:p>
            <w:pPr>
              <w:jc w:val="center"/>
            </w:pPr>
            <w:r>
              <w:rPr>
                <w:sz w:val="18"/>
              </w:rPr>
              <w:t>0.253</w:t>
            </w:r>
          </w:p>
        </w:tc>
        <w:tc>
          <w:tcPr>
            <w:tcW w:type="dxa" w:w="1440"/>
          </w:tcPr>
          <w:p>
            <w:pPr>
              <w:jc w:val="center"/>
            </w:pPr>
            <w:r>
              <w:rPr>
                <w:sz w:val="18"/>
              </w:rPr>
              <w:t>0.233</w:t>
            </w:r>
          </w:p>
        </w:tc>
        <w:tc>
          <w:tcPr>
            <w:tcW w:type="dxa" w:w="1440"/>
          </w:tcPr>
          <w:p>
            <w:pPr>
              <w:jc w:val="center"/>
            </w:pPr>
            <w:r>
              <w:rPr>
                <w:sz w:val="18"/>
              </w:rPr>
              <w:t>88</w:t>
            </w:r>
          </w:p>
        </w:tc>
        <w:tc>
          <w:tcPr>
            <w:tcW w:type="dxa" w:w="1440"/>
          </w:tcPr>
          <w:p>
            <w:pPr>
              <w:jc w:val="center"/>
            </w:pPr>
            <w:r>
              <w:rPr>
                <w:sz w:val="18"/>
              </w:rPr>
              <w:t>1144</w:t>
            </w:r>
          </w:p>
        </w:tc>
      </w:tr>
      <w:tr>
        <w:tc>
          <w:tcPr>
            <w:tcW w:type="dxa" w:w="1440"/>
          </w:tcPr>
          <w:p>
            <w:pPr>
              <w:jc w:val="center"/>
            </w:pPr>
            <w:r>
              <w:rPr>
                <w:sz w:val="18"/>
              </w:rPr>
              <w:t>2016-07</w:t>
            </w:r>
          </w:p>
        </w:tc>
        <w:tc>
          <w:tcPr>
            <w:tcW w:type="dxa" w:w="1440"/>
          </w:tcPr>
          <w:p>
            <w:pPr>
              <w:jc w:val="center"/>
            </w:pPr>
            <w:r>
              <w:rPr>
                <w:sz w:val="18"/>
              </w:rPr>
              <w:t>-0.069</w:t>
            </w:r>
          </w:p>
        </w:tc>
        <w:tc>
          <w:tcPr>
            <w:tcW w:type="dxa" w:w="1440"/>
          </w:tcPr>
          <w:p>
            <w:pPr>
              <w:jc w:val="center"/>
            </w:pPr>
            <w:r>
              <w:rPr>
                <w:sz w:val="18"/>
              </w:rPr>
              <w:t>0.274</w:t>
            </w:r>
          </w:p>
        </w:tc>
        <w:tc>
          <w:tcPr>
            <w:tcW w:type="dxa" w:w="1440"/>
          </w:tcPr>
          <w:p>
            <w:pPr>
              <w:jc w:val="center"/>
            </w:pPr>
            <w:r>
              <w:rPr>
                <w:sz w:val="18"/>
              </w:rPr>
              <w:t>0.801</w:t>
            </w:r>
          </w:p>
        </w:tc>
        <w:tc>
          <w:tcPr>
            <w:tcW w:type="dxa" w:w="1440"/>
          </w:tcPr>
          <w:p>
            <w:pPr>
              <w:jc w:val="center"/>
            </w:pPr>
            <w:r>
              <w:rPr>
                <w:sz w:val="18"/>
              </w:rPr>
              <w:t>116</w:t>
            </w:r>
          </w:p>
        </w:tc>
        <w:tc>
          <w:tcPr>
            <w:tcW w:type="dxa" w:w="1440"/>
          </w:tcPr>
          <w:p>
            <w:pPr>
              <w:jc w:val="center"/>
            </w:pPr>
            <w:r>
              <w:rPr>
                <w:sz w:val="18"/>
              </w:rPr>
              <w:t>1116</w:t>
            </w:r>
          </w:p>
        </w:tc>
      </w:tr>
      <w:tr>
        <w:tc>
          <w:tcPr>
            <w:tcW w:type="dxa" w:w="1440"/>
          </w:tcPr>
          <w:p>
            <w:pPr>
              <w:jc w:val="center"/>
            </w:pPr>
            <w:r>
              <w:rPr>
                <w:sz w:val="18"/>
              </w:rPr>
              <w:t>2017-02 (MoU)</w:t>
            </w:r>
          </w:p>
        </w:tc>
        <w:tc>
          <w:tcPr>
            <w:tcW w:type="dxa" w:w="1440"/>
          </w:tcPr>
          <w:p>
            <w:pPr>
              <w:jc w:val="center"/>
            </w:pPr>
            <w:r>
              <w:rPr>
                <w:sz w:val="18"/>
              </w:rPr>
              <w:t>-0.204</w:t>
            </w:r>
          </w:p>
        </w:tc>
        <w:tc>
          <w:tcPr>
            <w:tcW w:type="dxa" w:w="1440"/>
          </w:tcPr>
          <w:p>
            <w:pPr>
              <w:jc w:val="center"/>
            </w:pPr>
            <w:r>
              <w:rPr>
                <w:sz w:val="18"/>
              </w:rPr>
              <w:t>0.204</w:t>
            </w:r>
          </w:p>
        </w:tc>
        <w:tc>
          <w:tcPr>
            <w:tcW w:type="dxa" w:w="1440"/>
          </w:tcPr>
          <w:p>
            <w:pPr>
              <w:jc w:val="center"/>
            </w:pPr>
            <w:r>
              <w:rPr>
                <w:sz w:val="18"/>
              </w:rPr>
              <w:t>0.319</w:t>
            </w:r>
          </w:p>
        </w:tc>
        <w:tc>
          <w:tcPr>
            <w:tcW w:type="dxa" w:w="1440"/>
          </w:tcPr>
          <w:p>
            <w:pPr>
              <w:jc w:val="center"/>
            </w:pPr>
            <w:r>
              <w:rPr>
                <w:sz w:val="18"/>
              </w:rPr>
              <w:t>211</w:t>
            </w:r>
          </w:p>
        </w:tc>
        <w:tc>
          <w:tcPr>
            <w:tcW w:type="dxa" w:w="1440"/>
          </w:tcPr>
          <w:p>
            <w:pPr>
              <w:jc w:val="center"/>
            </w:pPr>
            <w:r>
              <w:rPr>
                <w:sz w:val="18"/>
              </w:rPr>
              <w:t>1021</w:t>
            </w:r>
          </w:p>
        </w:tc>
      </w:tr>
      <w:tr>
        <w:tc>
          <w:tcPr>
            <w:tcW w:type="dxa" w:w="1440"/>
          </w:tcPr>
          <w:p>
            <w:pPr>
              <w:jc w:val="center"/>
            </w:pPr>
            <w:r>
              <w:rPr>
                <w:sz w:val="18"/>
              </w:rPr>
              <w:t>2017-07</w:t>
            </w:r>
          </w:p>
        </w:tc>
        <w:tc>
          <w:tcPr>
            <w:tcW w:type="dxa" w:w="1440"/>
          </w:tcPr>
          <w:p>
            <w:pPr>
              <w:jc w:val="center"/>
            </w:pPr>
            <w:r>
              <w:rPr>
                <w:sz w:val="18"/>
              </w:rPr>
              <w:t>-0.173</w:t>
            </w:r>
          </w:p>
        </w:tc>
        <w:tc>
          <w:tcPr>
            <w:tcW w:type="dxa" w:w="1440"/>
          </w:tcPr>
          <w:p>
            <w:pPr>
              <w:jc w:val="center"/>
            </w:pPr>
            <w:r>
              <w:rPr>
                <w:sz w:val="18"/>
              </w:rPr>
              <w:t>0.204</w:t>
            </w:r>
          </w:p>
        </w:tc>
        <w:tc>
          <w:tcPr>
            <w:tcW w:type="dxa" w:w="1440"/>
          </w:tcPr>
          <w:p>
            <w:pPr>
              <w:jc w:val="center"/>
            </w:pPr>
            <w:r>
              <w:rPr>
                <w:sz w:val="18"/>
              </w:rPr>
              <w:t>0.395</w:t>
            </w:r>
          </w:p>
        </w:tc>
        <w:tc>
          <w:tcPr>
            <w:tcW w:type="dxa" w:w="1440"/>
          </w:tcPr>
          <w:p>
            <w:pPr>
              <w:jc w:val="center"/>
            </w:pPr>
            <w:r>
              <w:rPr>
                <w:sz w:val="18"/>
              </w:rPr>
              <w:t>314</w:t>
            </w:r>
          </w:p>
        </w:tc>
        <w:tc>
          <w:tcPr>
            <w:tcW w:type="dxa" w:w="1440"/>
          </w:tcPr>
          <w:p>
            <w:pPr>
              <w:jc w:val="center"/>
            </w:pPr>
            <w:r>
              <w:rPr>
                <w:sz w:val="18"/>
              </w:rPr>
              <w:t>918</w:t>
            </w:r>
          </w:p>
        </w:tc>
      </w:tr>
      <w:tr>
        <w:tc>
          <w:tcPr>
            <w:tcW w:type="dxa" w:w="1440"/>
          </w:tcPr>
          <w:p>
            <w:pPr>
              <w:jc w:val="center"/>
            </w:pPr>
            <w:r>
              <w:rPr>
                <w:sz w:val="18"/>
              </w:rPr>
              <w:t>2018-01</w:t>
            </w:r>
          </w:p>
        </w:tc>
        <w:tc>
          <w:tcPr>
            <w:tcW w:type="dxa" w:w="1440"/>
          </w:tcPr>
          <w:p>
            <w:pPr>
              <w:jc w:val="center"/>
            </w:pPr>
            <w:r>
              <w:rPr>
                <w:sz w:val="18"/>
              </w:rPr>
              <w:t>-0.147</w:t>
            </w:r>
          </w:p>
        </w:tc>
        <w:tc>
          <w:tcPr>
            <w:tcW w:type="dxa" w:w="1440"/>
          </w:tcPr>
          <w:p>
            <w:pPr>
              <w:jc w:val="center"/>
            </w:pPr>
            <w:r>
              <w:rPr>
                <w:sz w:val="18"/>
              </w:rPr>
              <w:t>0.205</w:t>
            </w:r>
          </w:p>
        </w:tc>
        <w:tc>
          <w:tcPr>
            <w:tcW w:type="dxa" w:w="1440"/>
          </w:tcPr>
          <w:p>
            <w:pPr>
              <w:jc w:val="center"/>
            </w:pPr>
            <w:r>
              <w:rPr>
                <w:sz w:val="18"/>
              </w:rPr>
              <w:t>0.475</w:t>
            </w:r>
          </w:p>
        </w:tc>
        <w:tc>
          <w:tcPr>
            <w:tcW w:type="dxa" w:w="1440"/>
          </w:tcPr>
          <w:p>
            <w:pPr>
              <w:jc w:val="center"/>
            </w:pPr>
            <w:r>
              <w:rPr>
                <w:sz w:val="18"/>
              </w:rPr>
              <w:t>346</w:t>
            </w:r>
          </w:p>
        </w:tc>
        <w:tc>
          <w:tcPr>
            <w:tcW w:type="dxa" w:w="1440"/>
          </w:tcPr>
          <w:p>
            <w:pPr>
              <w:jc w:val="center"/>
            </w:pPr>
            <w:r>
              <w:rPr>
                <w:sz w:val="18"/>
              </w:rPr>
              <w:t>886</w:t>
            </w:r>
          </w:p>
        </w:tc>
      </w:tr>
      <w:tr>
        <w:tc>
          <w:tcPr>
            <w:tcW w:type="dxa" w:w="1440"/>
          </w:tcPr>
          <w:p>
            <w:pPr>
              <w:jc w:val="center"/>
            </w:pPr>
            <w:r>
              <w:rPr>
                <w:sz w:val="18"/>
              </w:rPr>
              <w:t>2018-07</w:t>
            </w:r>
          </w:p>
        </w:tc>
        <w:tc>
          <w:tcPr>
            <w:tcW w:type="dxa" w:w="1440"/>
          </w:tcPr>
          <w:p>
            <w:pPr>
              <w:jc w:val="center"/>
            </w:pPr>
            <w:r>
              <w:rPr>
                <w:sz w:val="18"/>
              </w:rPr>
              <w:t>-0.120</w:t>
            </w:r>
          </w:p>
        </w:tc>
        <w:tc>
          <w:tcPr>
            <w:tcW w:type="dxa" w:w="1440"/>
          </w:tcPr>
          <w:p>
            <w:pPr>
              <w:jc w:val="center"/>
            </w:pPr>
            <w:r>
              <w:rPr>
                <w:sz w:val="18"/>
              </w:rPr>
              <w:t>0.202</w:t>
            </w:r>
          </w:p>
        </w:tc>
        <w:tc>
          <w:tcPr>
            <w:tcW w:type="dxa" w:w="1440"/>
          </w:tcPr>
          <w:p>
            <w:pPr>
              <w:jc w:val="center"/>
            </w:pPr>
            <w:r>
              <w:rPr>
                <w:sz w:val="18"/>
              </w:rPr>
              <w:t>0.551</w:t>
            </w:r>
          </w:p>
        </w:tc>
        <w:tc>
          <w:tcPr>
            <w:tcW w:type="dxa" w:w="1440"/>
          </w:tcPr>
          <w:p>
            <w:pPr>
              <w:jc w:val="center"/>
            </w:pPr>
            <w:r>
              <w:rPr>
                <w:sz w:val="18"/>
              </w:rPr>
              <w:t>373</w:t>
            </w:r>
          </w:p>
        </w:tc>
        <w:tc>
          <w:tcPr>
            <w:tcW w:type="dxa" w:w="1440"/>
          </w:tcPr>
          <w:p>
            <w:pPr>
              <w:jc w:val="center"/>
            </w:pPr>
            <w:r>
              <w:rPr>
                <w:sz w:val="18"/>
              </w:rPr>
              <w:t>859</w:t>
            </w:r>
          </w:p>
        </w:tc>
      </w:tr>
    </w:tbl>
    <w:p/>
    <w:p>
      <w:r>
        <w:t>Result: The MoU date is not special. beta_3 hovers between -0.04 and -0.30 at all dates from 2016 onward, always with p &gt; 0.19. The coefficient path is flat -- there is no break at February 2017. The one significant placebo (April 2015, p = 0.003) is driven by only 49 pre-period observations and a convergence warning.</w:t>
      </w:r>
    </w:p>
    <w:p>
      <w:pPr>
        <w:pStyle w:val="Heading2"/>
      </w:pPr>
      <w:r>
        <w:t>5.2 Placebo Treatment Dates -- Gust</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Placebo date</w:t>
            </w:r>
          </w:p>
        </w:tc>
        <w:tc>
          <w:tcPr>
            <w:tcW w:type="dxa" w:w="2160"/>
          </w:tcPr>
          <w:p>
            <w:pPr>
              <w:jc w:val="center"/>
            </w:pPr>
            <w:r>
              <w:rPr>
                <w:b/>
                <w:sz w:val="18"/>
              </w:rPr>
              <w:t>beta_3</w:t>
            </w:r>
          </w:p>
        </w:tc>
        <w:tc>
          <w:tcPr>
            <w:tcW w:type="dxa" w:w="2160"/>
          </w:tcPr>
          <w:p>
            <w:pPr>
              <w:jc w:val="center"/>
            </w:pPr>
            <w:r>
              <w:rPr>
                <w:b/>
                <w:sz w:val="18"/>
              </w:rPr>
              <w:t>SE</w:t>
            </w:r>
          </w:p>
        </w:tc>
        <w:tc>
          <w:tcPr>
            <w:tcW w:type="dxa" w:w="2160"/>
          </w:tcPr>
          <w:p>
            <w:pPr>
              <w:jc w:val="center"/>
            </w:pPr>
            <w:r>
              <w:rPr>
                <w:b/>
                <w:sz w:val="18"/>
              </w:rPr>
              <w:t>p-value</w:t>
            </w:r>
          </w:p>
        </w:tc>
      </w:tr>
      <w:tr>
        <w:tc>
          <w:tcPr>
            <w:tcW w:type="dxa" w:w="2160"/>
          </w:tcPr>
          <w:p>
            <w:pPr>
              <w:jc w:val="center"/>
            </w:pPr>
            <w:r>
              <w:rPr>
                <w:sz w:val="18"/>
              </w:rPr>
              <w:t>2015-04</w:t>
            </w:r>
          </w:p>
        </w:tc>
        <w:tc>
          <w:tcPr>
            <w:tcW w:type="dxa" w:w="2160"/>
          </w:tcPr>
          <w:p>
            <w:pPr>
              <w:jc w:val="center"/>
            </w:pPr>
            <w:r>
              <w:rPr>
                <w:sz w:val="18"/>
              </w:rPr>
              <w:t>-0.095</w:t>
            </w:r>
          </w:p>
        </w:tc>
        <w:tc>
          <w:tcPr>
            <w:tcW w:type="dxa" w:w="2160"/>
          </w:tcPr>
          <w:p>
            <w:pPr>
              <w:jc w:val="center"/>
            </w:pPr>
            <w:r>
              <w:rPr>
                <w:sz w:val="18"/>
              </w:rPr>
              <w:t>0.099</w:t>
            </w:r>
          </w:p>
        </w:tc>
        <w:tc>
          <w:tcPr>
            <w:tcW w:type="dxa" w:w="2160"/>
          </w:tcPr>
          <w:p>
            <w:pPr>
              <w:jc w:val="center"/>
            </w:pPr>
            <w:r>
              <w:rPr>
                <w:sz w:val="18"/>
              </w:rPr>
              <w:t>0.337</w:t>
            </w:r>
          </w:p>
        </w:tc>
      </w:tr>
      <w:tr>
        <w:tc>
          <w:tcPr>
            <w:tcW w:type="dxa" w:w="2160"/>
          </w:tcPr>
          <w:p>
            <w:pPr>
              <w:jc w:val="center"/>
            </w:pPr>
            <w:r>
              <w:rPr>
                <w:sz w:val="18"/>
              </w:rPr>
              <w:t>2016-01</w:t>
            </w:r>
          </w:p>
        </w:tc>
        <w:tc>
          <w:tcPr>
            <w:tcW w:type="dxa" w:w="2160"/>
          </w:tcPr>
          <w:p>
            <w:pPr>
              <w:jc w:val="center"/>
            </w:pPr>
            <w:r>
              <w:rPr>
                <w:sz w:val="18"/>
              </w:rPr>
              <w:t>-0.076</w:t>
            </w:r>
          </w:p>
        </w:tc>
        <w:tc>
          <w:tcPr>
            <w:tcW w:type="dxa" w:w="2160"/>
          </w:tcPr>
          <w:p>
            <w:pPr>
              <w:jc w:val="center"/>
            </w:pPr>
            <w:r>
              <w:rPr>
                <w:sz w:val="18"/>
              </w:rPr>
              <w:t>0.060</w:t>
            </w:r>
          </w:p>
        </w:tc>
        <w:tc>
          <w:tcPr>
            <w:tcW w:type="dxa" w:w="2160"/>
          </w:tcPr>
          <w:p>
            <w:pPr>
              <w:jc w:val="center"/>
            </w:pPr>
            <w:r>
              <w:rPr>
                <w:sz w:val="18"/>
              </w:rPr>
              <w:t>0.202</w:t>
            </w:r>
          </w:p>
        </w:tc>
      </w:tr>
      <w:tr>
        <w:tc>
          <w:tcPr>
            <w:tcW w:type="dxa" w:w="2160"/>
          </w:tcPr>
          <w:p>
            <w:pPr>
              <w:jc w:val="center"/>
            </w:pPr>
            <w:r>
              <w:rPr>
                <w:sz w:val="18"/>
              </w:rPr>
              <w:t>2016-07</w:t>
            </w:r>
          </w:p>
        </w:tc>
        <w:tc>
          <w:tcPr>
            <w:tcW w:type="dxa" w:w="2160"/>
          </w:tcPr>
          <w:p>
            <w:pPr>
              <w:jc w:val="center"/>
            </w:pPr>
            <w:r>
              <w:rPr>
                <w:sz w:val="18"/>
              </w:rPr>
              <w:t>-0.076</w:t>
            </w:r>
          </w:p>
        </w:tc>
        <w:tc>
          <w:tcPr>
            <w:tcW w:type="dxa" w:w="2160"/>
          </w:tcPr>
          <w:p>
            <w:pPr>
              <w:jc w:val="center"/>
            </w:pPr>
            <w:r>
              <w:rPr>
                <w:sz w:val="18"/>
              </w:rPr>
              <w:t>0.055</w:t>
            </w:r>
          </w:p>
        </w:tc>
        <w:tc>
          <w:tcPr>
            <w:tcW w:type="dxa" w:w="2160"/>
          </w:tcPr>
          <w:p>
            <w:pPr>
              <w:jc w:val="center"/>
            </w:pPr>
            <w:r>
              <w:rPr>
                <w:sz w:val="18"/>
              </w:rPr>
              <w:t>0.164</w:t>
            </w:r>
          </w:p>
        </w:tc>
      </w:tr>
      <w:tr>
        <w:tc>
          <w:tcPr>
            <w:tcW w:type="dxa" w:w="2160"/>
          </w:tcPr>
          <w:p>
            <w:pPr>
              <w:jc w:val="center"/>
            </w:pPr>
            <w:r>
              <w:rPr>
                <w:sz w:val="18"/>
              </w:rPr>
              <w:t>2016-10</w:t>
            </w:r>
          </w:p>
        </w:tc>
        <w:tc>
          <w:tcPr>
            <w:tcW w:type="dxa" w:w="2160"/>
          </w:tcPr>
          <w:p>
            <w:pPr>
              <w:jc w:val="center"/>
            </w:pPr>
            <w:r>
              <w:rPr>
                <w:sz w:val="18"/>
              </w:rPr>
              <w:t>-0.085</w:t>
            </w:r>
          </w:p>
        </w:tc>
        <w:tc>
          <w:tcPr>
            <w:tcW w:type="dxa" w:w="2160"/>
          </w:tcPr>
          <w:p>
            <w:pPr>
              <w:jc w:val="center"/>
            </w:pPr>
            <w:r>
              <w:rPr>
                <w:sz w:val="18"/>
              </w:rPr>
              <w:t>0.052</w:t>
            </w:r>
          </w:p>
        </w:tc>
        <w:tc>
          <w:tcPr>
            <w:tcW w:type="dxa" w:w="2160"/>
          </w:tcPr>
          <w:p>
            <w:pPr>
              <w:jc w:val="center"/>
            </w:pPr>
            <w:r>
              <w:rPr>
                <w:sz w:val="18"/>
              </w:rPr>
              <w:t>0.107</w:t>
            </w:r>
          </w:p>
        </w:tc>
      </w:tr>
      <w:tr>
        <w:tc>
          <w:tcPr>
            <w:tcW w:type="dxa" w:w="2160"/>
          </w:tcPr>
          <w:p>
            <w:pPr>
              <w:jc w:val="center"/>
            </w:pPr>
            <w:r>
              <w:rPr>
                <w:sz w:val="18"/>
              </w:rPr>
              <w:t>2017-02 (MoU)</w:t>
            </w:r>
          </w:p>
        </w:tc>
        <w:tc>
          <w:tcPr>
            <w:tcW w:type="dxa" w:w="2160"/>
          </w:tcPr>
          <w:p>
            <w:pPr>
              <w:jc w:val="center"/>
            </w:pPr>
            <w:r>
              <w:rPr>
                <w:sz w:val="18"/>
              </w:rPr>
              <w:t>-0.092</w:t>
            </w:r>
          </w:p>
        </w:tc>
        <w:tc>
          <w:tcPr>
            <w:tcW w:type="dxa" w:w="2160"/>
          </w:tcPr>
          <w:p>
            <w:pPr>
              <w:jc w:val="center"/>
            </w:pPr>
            <w:r>
              <w:rPr>
                <w:sz w:val="18"/>
              </w:rPr>
              <w:t>0.038</w:t>
            </w:r>
          </w:p>
        </w:tc>
        <w:tc>
          <w:tcPr>
            <w:tcW w:type="dxa" w:w="2160"/>
          </w:tcPr>
          <w:p>
            <w:pPr>
              <w:jc w:val="center"/>
            </w:pPr>
            <w:r>
              <w:rPr>
                <w:sz w:val="18"/>
              </w:rPr>
              <w:t>0.016 **</w:t>
            </w:r>
          </w:p>
        </w:tc>
      </w:tr>
      <w:tr>
        <w:tc>
          <w:tcPr>
            <w:tcW w:type="dxa" w:w="2160"/>
          </w:tcPr>
          <w:p>
            <w:pPr>
              <w:jc w:val="center"/>
            </w:pPr>
            <w:r>
              <w:rPr>
                <w:sz w:val="18"/>
              </w:rPr>
              <w:t>2017-07</w:t>
            </w:r>
          </w:p>
        </w:tc>
        <w:tc>
          <w:tcPr>
            <w:tcW w:type="dxa" w:w="2160"/>
          </w:tcPr>
          <w:p>
            <w:pPr>
              <w:jc w:val="center"/>
            </w:pPr>
            <w:r>
              <w:rPr>
                <w:sz w:val="18"/>
              </w:rPr>
              <w:t>-0.084</w:t>
            </w:r>
          </w:p>
        </w:tc>
        <w:tc>
          <w:tcPr>
            <w:tcW w:type="dxa" w:w="2160"/>
          </w:tcPr>
          <w:p>
            <w:pPr>
              <w:jc w:val="center"/>
            </w:pPr>
            <w:r>
              <w:rPr>
                <w:sz w:val="18"/>
              </w:rPr>
              <w:t>0.037</w:t>
            </w:r>
          </w:p>
        </w:tc>
        <w:tc>
          <w:tcPr>
            <w:tcW w:type="dxa" w:w="2160"/>
          </w:tcPr>
          <w:p>
            <w:pPr>
              <w:jc w:val="center"/>
            </w:pPr>
            <w:r>
              <w:rPr>
                <w:sz w:val="18"/>
              </w:rPr>
              <w:t>0.024 **</w:t>
            </w:r>
          </w:p>
        </w:tc>
      </w:tr>
      <w:tr>
        <w:tc>
          <w:tcPr>
            <w:tcW w:type="dxa" w:w="2160"/>
          </w:tcPr>
          <w:p>
            <w:pPr>
              <w:jc w:val="center"/>
            </w:pPr>
            <w:r>
              <w:rPr>
                <w:sz w:val="18"/>
              </w:rPr>
              <w:t>2017-10</w:t>
            </w:r>
          </w:p>
        </w:tc>
        <w:tc>
          <w:tcPr>
            <w:tcW w:type="dxa" w:w="2160"/>
          </w:tcPr>
          <w:p>
            <w:pPr>
              <w:jc w:val="center"/>
            </w:pPr>
            <w:r>
              <w:rPr>
                <w:sz w:val="18"/>
              </w:rPr>
              <w:t>-0.072</w:t>
            </w:r>
          </w:p>
        </w:tc>
        <w:tc>
          <w:tcPr>
            <w:tcW w:type="dxa" w:w="2160"/>
          </w:tcPr>
          <w:p>
            <w:pPr>
              <w:jc w:val="center"/>
            </w:pPr>
            <w:r>
              <w:rPr>
                <w:sz w:val="18"/>
              </w:rPr>
              <w:t>0.036</w:t>
            </w:r>
          </w:p>
        </w:tc>
        <w:tc>
          <w:tcPr>
            <w:tcW w:type="dxa" w:w="2160"/>
          </w:tcPr>
          <w:p>
            <w:pPr>
              <w:jc w:val="center"/>
            </w:pPr>
            <w:r>
              <w:rPr>
                <w:sz w:val="18"/>
              </w:rPr>
              <w:t>0.047 **</w:t>
            </w:r>
          </w:p>
        </w:tc>
      </w:tr>
      <w:tr>
        <w:tc>
          <w:tcPr>
            <w:tcW w:type="dxa" w:w="2160"/>
          </w:tcPr>
          <w:p>
            <w:pPr>
              <w:jc w:val="center"/>
            </w:pPr>
            <w:r>
              <w:rPr>
                <w:sz w:val="18"/>
              </w:rPr>
              <w:t>2018-04</w:t>
            </w:r>
          </w:p>
        </w:tc>
        <w:tc>
          <w:tcPr>
            <w:tcW w:type="dxa" w:w="2160"/>
          </w:tcPr>
          <w:p>
            <w:pPr>
              <w:jc w:val="center"/>
            </w:pPr>
            <w:r>
              <w:rPr>
                <w:sz w:val="18"/>
              </w:rPr>
              <w:t>-0.088</w:t>
            </w:r>
          </w:p>
        </w:tc>
        <w:tc>
          <w:tcPr>
            <w:tcW w:type="dxa" w:w="2160"/>
          </w:tcPr>
          <w:p>
            <w:pPr>
              <w:jc w:val="center"/>
            </w:pPr>
            <w:r>
              <w:rPr>
                <w:sz w:val="18"/>
              </w:rPr>
              <w:t>0.035</w:t>
            </w:r>
          </w:p>
        </w:tc>
        <w:tc>
          <w:tcPr>
            <w:tcW w:type="dxa" w:w="2160"/>
          </w:tcPr>
          <w:p>
            <w:pPr>
              <w:jc w:val="center"/>
            </w:pPr>
            <w:r>
              <w:rPr>
                <w:sz w:val="18"/>
              </w:rPr>
              <w:t>0.013 **</w:t>
            </w:r>
          </w:p>
        </w:tc>
      </w:tr>
      <w:tr>
        <w:tc>
          <w:tcPr>
            <w:tcW w:type="dxa" w:w="2160"/>
          </w:tcPr>
          <w:p>
            <w:pPr>
              <w:jc w:val="center"/>
            </w:pPr>
            <w:r>
              <w:rPr>
                <w:sz w:val="18"/>
              </w:rPr>
              <w:t>2018-07</w:t>
            </w:r>
          </w:p>
        </w:tc>
        <w:tc>
          <w:tcPr>
            <w:tcW w:type="dxa" w:w="2160"/>
          </w:tcPr>
          <w:p>
            <w:pPr>
              <w:jc w:val="center"/>
            </w:pPr>
            <w:r>
              <w:rPr>
                <w:sz w:val="18"/>
              </w:rPr>
              <w:t>-0.071</w:t>
            </w:r>
          </w:p>
        </w:tc>
        <w:tc>
          <w:tcPr>
            <w:tcW w:type="dxa" w:w="2160"/>
          </w:tcPr>
          <w:p>
            <w:pPr>
              <w:jc w:val="center"/>
            </w:pPr>
            <w:r>
              <w:rPr>
                <w:sz w:val="18"/>
              </w:rPr>
              <w:t>0.035</w:t>
            </w:r>
          </w:p>
        </w:tc>
        <w:tc>
          <w:tcPr>
            <w:tcW w:type="dxa" w:w="2160"/>
          </w:tcPr>
          <w:p>
            <w:pPr>
              <w:jc w:val="center"/>
            </w:pPr>
            <w:r>
              <w:rPr>
                <w:sz w:val="18"/>
              </w:rPr>
              <w:t>0.043 **</w:t>
            </w:r>
          </w:p>
        </w:tc>
      </w:tr>
    </w:tbl>
    <w:p/>
    <w:p>
      <w:r>
        <w:t>Result: The gust interaction is significant at the MoU date (p = 0.016) but also at every date from mid-2017 through 2018. The coefficient is approximately constant at -0.07 to -0.09 from 2015 onward. This is a gradual pre-existing trend, not a policy break. The MoU date does not stand out.</w:t>
      </w:r>
    </w:p>
    <w:p/>
    <w:p>
      <w:pPr>
        <w:jc w:val="center"/>
      </w:pPr>
      <w:r>
        <w:drawing>
          <wp:inline xmlns:a="http://schemas.openxmlformats.org/drawingml/2006/main" xmlns:pic="http://schemas.openxmlformats.org/drawingml/2006/picture">
            <wp:extent cx="5029200" cy="4023360"/>
            <wp:docPr id="2" name="Picture 2"/>
            <wp:cNvGraphicFramePr>
              <a:graphicFrameLocks noChangeAspect="1"/>
            </wp:cNvGraphicFramePr>
            <a:graphic>
              <a:graphicData uri="http://schemas.openxmlformats.org/drawingml/2006/picture">
                <pic:pic>
                  <pic:nvPicPr>
                    <pic:cNvPr id="0" name="placebo_beta3.png"/>
                    <pic:cNvPicPr/>
                  </pic:nvPicPr>
                  <pic:blipFill>
                    <a:blip r:embed="rId10"/>
                    <a:stretch>
                      <a:fillRect/>
                    </a:stretch>
                  </pic:blipFill>
                  <pic:spPr>
                    <a:xfrm>
                      <a:off x="0" y="0"/>
                      <a:ext cx="5029200" cy="4023360"/>
                    </a:xfrm>
                    <a:prstGeom prst="rect"/>
                  </pic:spPr>
                </pic:pic>
              </a:graphicData>
            </a:graphic>
          </wp:inline>
        </w:drawing>
      </w:r>
    </w:p>
    <w:p>
      <w:pPr>
        <w:jc w:val="center"/>
      </w:pPr>
      <w:r>
        <w:rPr>
          <w:i/>
          <w:sz w:val="18"/>
        </w:rPr>
        <w:t>Figure 2: Placebo treatment dates. Red dashed line = actual MoU (Feb 2017). Diamond = true estimate.</w:t>
      </w:r>
    </w:p>
    <w:p>
      <w:pPr>
        <w:pStyle w:val="Heading2"/>
      </w:pPr>
      <w:r>
        <w:t>5.3 Pre-Period Gradient Stability</w:t>
      </w:r>
    </w:p>
    <w:p>
      <w:r>
        <w:t>The SWH-mortality gradient was estimated separately for each pre-MoU year (Poisson, no grid FE due to small samples):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Year</w:t>
            </w:r>
          </w:p>
        </w:tc>
        <w:tc>
          <w:tcPr>
            <w:tcW w:type="dxa" w:w="2160"/>
          </w:tcPr>
          <w:p>
            <w:pPr>
              <w:jc w:val="center"/>
            </w:pPr>
            <w:r>
              <w:rPr>
                <w:b/>
                <w:sz w:val="18"/>
              </w:rPr>
              <w:t>n</w:t>
            </w:r>
          </w:p>
        </w:tc>
        <w:tc>
          <w:tcPr>
            <w:tcW w:type="dxa" w:w="2160"/>
          </w:tcPr>
          <w:p>
            <w:pPr>
              <w:jc w:val="center"/>
            </w:pPr>
            <w:r>
              <w:rPr>
                <w:b/>
                <w:sz w:val="18"/>
              </w:rPr>
              <w:t>SWH slope</w:t>
            </w:r>
          </w:p>
        </w:tc>
        <w:tc>
          <w:tcPr>
            <w:tcW w:type="dxa" w:w="2160"/>
          </w:tcPr>
          <w:p>
            <w:pPr>
              <w:jc w:val="center"/>
            </w:pPr>
            <w:r>
              <w:rPr>
                <w:b/>
                <w:sz w:val="18"/>
              </w:rPr>
              <w:t>exp(slope)</w:t>
            </w:r>
          </w:p>
        </w:tc>
      </w:tr>
      <w:tr>
        <w:tc>
          <w:tcPr>
            <w:tcW w:type="dxa" w:w="2160"/>
          </w:tcPr>
          <w:p>
            <w:pPr>
              <w:jc w:val="center"/>
            </w:pPr>
            <w:r>
              <w:rPr>
                <w:sz w:val="18"/>
              </w:rPr>
              <w:t>2014</w:t>
            </w:r>
          </w:p>
        </w:tc>
        <w:tc>
          <w:tcPr>
            <w:tcW w:type="dxa" w:w="2160"/>
          </w:tcPr>
          <w:p>
            <w:pPr>
              <w:jc w:val="center"/>
            </w:pPr>
            <w:r>
              <w:rPr>
                <w:sz w:val="18"/>
              </w:rPr>
              <w:t>43</w:t>
            </w:r>
          </w:p>
        </w:tc>
        <w:tc>
          <w:tcPr>
            <w:tcW w:type="dxa" w:w="2160"/>
          </w:tcPr>
          <w:p>
            <w:pPr>
              <w:jc w:val="center"/>
            </w:pPr>
            <w:r>
              <w:rPr>
                <w:sz w:val="18"/>
              </w:rPr>
              <w:t>-0.219</w:t>
            </w:r>
          </w:p>
        </w:tc>
        <w:tc>
          <w:tcPr>
            <w:tcW w:type="dxa" w:w="2160"/>
          </w:tcPr>
          <w:p>
            <w:pPr>
              <w:jc w:val="center"/>
            </w:pPr>
            <w:r>
              <w:rPr>
                <w:sz w:val="18"/>
              </w:rPr>
              <w:t>0.804</w:t>
            </w:r>
          </w:p>
        </w:tc>
      </w:tr>
      <w:tr>
        <w:tc>
          <w:tcPr>
            <w:tcW w:type="dxa" w:w="2160"/>
          </w:tcPr>
          <w:p>
            <w:pPr>
              <w:jc w:val="center"/>
            </w:pPr>
            <w:r>
              <w:rPr>
                <w:sz w:val="18"/>
              </w:rPr>
              <w:t>2015</w:t>
            </w:r>
          </w:p>
        </w:tc>
        <w:tc>
          <w:tcPr>
            <w:tcW w:type="dxa" w:w="2160"/>
          </w:tcPr>
          <w:p>
            <w:pPr>
              <w:jc w:val="center"/>
            </w:pPr>
            <w:r>
              <w:rPr>
                <w:sz w:val="18"/>
              </w:rPr>
              <w:t>45</w:t>
            </w:r>
          </w:p>
        </w:tc>
        <w:tc>
          <w:tcPr>
            <w:tcW w:type="dxa" w:w="2160"/>
          </w:tcPr>
          <w:p>
            <w:pPr>
              <w:jc w:val="center"/>
            </w:pPr>
            <w:r>
              <w:rPr>
                <w:sz w:val="18"/>
              </w:rPr>
              <w:t>+0.964</w:t>
            </w:r>
          </w:p>
        </w:tc>
        <w:tc>
          <w:tcPr>
            <w:tcW w:type="dxa" w:w="2160"/>
          </w:tcPr>
          <w:p>
            <w:pPr>
              <w:jc w:val="center"/>
            </w:pPr>
            <w:r>
              <w:rPr>
                <w:sz w:val="18"/>
              </w:rPr>
              <w:t>2.622</w:t>
            </w:r>
          </w:p>
        </w:tc>
      </w:tr>
      <w:tr>
        <w:tc>
          <w:tcPr>
            <w:tcW w:type="dxa" w:w="2160"/>
          </w:tcPr>
          <w:p>
            <w:pPr>
              <w:jc w:val="center"/>
            </w:pPr>
            <w:r>
              <w:rPr>
                <w:sz w:val="18"/>
              </w:rPr>
              <w:t>2016</w:t>
            </w:r>
          </w:p>
        </w:tc>
        <w:tc>
          <w:tcPr>
            <w:tcW w:type="dxa" w:w="2160"/>
          </w:tcPr>
          <w:p>
            <w:pPr>
              <w:jc w:val="center"/>
            </w:pPr>
            <w:r>
              <w:rPr>
                <w:sz w:val="18"/>
              </w:rPr>
              <w:t>110</w:t>
            </w:r>
          </w:p>
        </w:tc>
        <w:tc>
          <w:tcPr>
            <w:tcW w:type="dxa" w:w="2160"/>
          </w:tcPr>
          <w:p>
            <w:pPr>
              <w:jc w:val="center"/>
            </w:pPr>
            <w:r>
              <w:rPr>
                <w:sz w:val="18"/>
              </w:rPr>
              <w:t>-0.274</w:t>
            </w:r>
          </w:p>
        </w:tc>
        <w:tc>
          <w:tcPr>
            <w:tcW w:type="dxa" w:w="2160"/>
          </w:tcPr>
          <w:p>
            <w:pPr>
              <w:jc w:val="center"/>
            </w:pPr>
            <w:r>
              <w:rPr>
                <w:sz w:val="18"/>
              </w:rPr>
              <w:t>0.760</w:t>
            </w:r>
          </w:p>
        </w:tc>
      </w:tr>
      <w:tr>
        <w:tc>
          <w:tcPr>
            <w:tcW w:type="dxa" w:w="2160"/>
          </w:tcPr>
          <w:p>
            <w:pPr>
              <w:jc w:val="center"/>
            </w:pPr>
            <w:r>
              <w:rPr>
                <w:sz w:val="18"/>
              </w:rPr>
              <w:t>2017 (Jan)</w:t>
            </w:r>
          </w:p>
        </w:tc>
        <w:tc>
          <w:tcPr>
            <w:tcW w:type="dxa" w:w="2160"/>
          </w:tcPr>
          <w:p>
            <w:pPr>
              <w:jc w:val="center"/>
            </w:pPr>
            <w:r>
              <w:rPr>
                <w:sz w:val="18"/>
              </w:rPr>
              <w:t>13</w:t>
            </w:r>
          </w:p>
        </w:tc>
        <w:tc>
          <w:tcPr>
            <w:tcW w:type="dxa" w:w="2160"/>
          </w:tcPr>
          <w:p>
            <w:pPr>
              <w:jc w:val="center"/>
            </w:pPr>
            <w:r>
              <w:rPr>
                <w:sz w:val="18"/>
              </w:rPr>
              <w:t>-0.889</w:t>
            </w:r>
          </w:p>
        </w:tc>
        <w:tc>
          <w:tcPr>
            <w:tcW w:type="dxa" w:w="2160"/>
          </w:tcPr>
          <w:p>
            <w:pPr>
              <w:jc w:val="center"/>
            </w:pPr>
            <w:r>
              <w:rPr>
                <w:sz w:val="18"/>
              </w:rPr>
              <w:t>0.411</w:t>
            </w:r>
          </w:p>
        </w:tc>
      </w:tr>
    </w:tbl>
    <w:p/>
    <w:p>
      <w:r>
        <w:t>The gradient is not stable: 2015 shows a strongly positive slope (higher waves associated with more deaths), while 2014 and 2016 show negative slopes. A Wald test for joint significance of year interactions rejects at the 10% level (p = 0.083). This weakens the gradient stability assumption (Assumption 3).</w:t>
      </w:r>
    </w:p>
    <w:p>
      <w:r>
        <w:t>Caveat: these are Poisson estimates with very small samples (43-110 obs) and no spatial FE. The instability may reflect noise from small samples rather than genuine gradient variation. However, the evidence does not support gradient stability.</w:t>
      </w:r>
    </w:p>
    <w:p>
      <w:pPr>
        <w:pStyle w:val="Heading1"/>
      </w:pPr>
      <w:r>
        <w:t>6. Interpretation</w:t>
      </w:r>
    </w:p>
    <w:p>
      <w:pPr>
        <w:pStyle w:val="Heading2"/>
      </w:pPr>
      <w:r>
        <w:t>6.1 What the Results Say</w:t>
      </w:r>
    </w:p>
    <w:p>
      <w:r>
        <w:t>The weather x post-MoU interaction design does not detect evidence that the MoU changed the weather-mortality gradient on the CMR. The primary SWH interaction is null (beta_3 = -0.20, p = 0.32), robust across all specifications. The gust interaction, while nominally significant, fails the placebo test (it is a pre-existing trend) and does not survive outlier trimming.</w:t>
      </w:r>
    </w:p>
    <w:p>
      <w:pPr>
        <w:pStyle w:val="Heading2"/>
      </w:pPr>
      <w:r>
        <w:t>6.2 Possible Explanations</w:t>
      </w:r>
    </w:p>
    <w:p>
      <w:pPr>
        <w:pStyle w:val="ListBullet"/>
      </w:pPr>
      <w:r>
        <w:t>The MoU changed the type of danger, not the weather sensitivity. Pre-MoU: large boats, open-sea crossings, weather-driven mass-casualty shipwrecks (the top 5 deadliest events are all pre-MoU), SAR present. Post-MoU: small fragile boats, short-range crossings near Libya in calm seas, deaths from overcrowding, engine failure, dehydration, and LCG interceptions. The weather gradient flattened because weather is no longer the dominant killer.</w:t>
      </w:r>
    </w:p>
    <w:p>
      <w:pPr>
        <w:pStyle w:val="ListBullet"/>
      </w:pPr>
      <w:r>
        <w:t>Detection bias. Post-MoU, the worst weather incidents (sinkings far from shore, no witnesses) may go undetected. If these 'ghost boats' have high mortality in bad weather, their absence from the data would attenuate beta_3 toward zero or even reverse it.</w:t>
      </w:r>
    </w:p>
    <w:p>
      <w:pPr>
        <w:pStyle w:val="ListBullet"/>
      </w:pPr>
      <w:r>
        <w:t>Power limitations. The pre-MoU sample is small (211 incidents with valid SWH). The SEs on beta_3 (~0.20) imply we could only detect effects larger than ~0.40 (exp(0.40) = 1.49, a 49% gradient increase) at 5% significance. Moderate gradient changes would go undetected.</w:t>
      </w:r>
    </w:p>
    <w:p>
      <w:pPr>
        <w:pStyle w:val="ListBullet"/>
      </w:pPr>
      <w:r>
        <w:t>Pre-MoU gradient instability. The gradient varied substantially across pre-MoU years (Wald p = 0.083). If the baseline gradient was already noisy, detecting a shift at the MoU date is difficult.</w:t>
      </w:r>
    </w:p>
    <w:p>
      <w:pPr>
        <w:pStyle w:val="Heading2"/>
      </w:pPr>
      <w:r>
        <w:t>6.3 What This Does NOT Mean</w:t>
      </w:r>
    </w:p>
    <w:p>
      <w:r>
        <w:t>A null weather gradient interaction does not mean the MoU did not make the route more dangerous. The MoU may have increased danger through channels that Model A cannot detect: more incidents overall (extensive margin), deaths in calm conditions (not captured by the gradient), or systematic under-detection of the worst outcomes.</w:t>
      </w:r>
    </w:p>
    <w:p>
      <w:pPr>
        <w:pStyle w:val="Heading1"/>
      </w:pPr>
      <w:r>
        <w:t>7. Open Questions and Next Steps</w:t>
      </w:r>
    </w:p>
    <w:p>
      <w:pPr>
        <w:pStyle w:val="Heading2"/>
      </w:pPr>
      <w:r>
        <w:t>7.1 Analyses Not Yet Performed</w:t>
      </w:r>
    </w:p>
    <w:p>
      <w:pPr>
        <w:pStyle w:val="ListBullet"/>
      </w:pPr>
      <w:r>
        <w:t>Monthly-level analysis: did total monthly deaths increase post-MoU? This captures the extensive margin (more incidents) that Model A, by conditioning on incidents, cannot see.</w:t>
      </w:r>
    </w:p>
    <w:p>
      <w:pPr>
        <w:pStyle w:val="ListBullet"/>
      </w:pPr>
      <w:r>
        <w:t>Crossings diagnostic: did the MoU change the volume of crossings in response to weather? (crossings as outcome, not conditioning variable)</w:t>
      </w:r>
    </w:p>
    <w:p>
      <w:pPr>
        <w:pStyle w:val="ListBullet"/>
      </w:pPr>
      <w:r>
        <w:t>DML (double machine learning): partially linear model for beta_3 with flexible ML nuisance functions, to check whether the log-link functional form drives the null result.</w:t>
      </w:r>
    </w:p>
    <w:p>
      <w:pPr>
        <w:pStyle w:val="ListBullet"/>
      </w:pPr>
      <w:r>
        <w:t>Detection sensitivity analysis: parameterized (pi, d-bar) grid to assess how much detection must have worsened to mask a positive beta_3.</w:t>
      </w:r>
    </w:p>
    <w:p>
      <w:pPr>
        <w:pStyle w:val="ListBullet"/>
      </w:pPr>
      <w:r>
        <w:t>Re-run 02_build_event_data.R with the hmax grid index fix to recover max wave height data (currently 1,362/1,381 NAs due to a bug, now fixed).</w:t>
      </w:r>
    </w:p>
    <w:p>
      <w:pPr>
        <w:pStyle w:val="Heading2"/>
      </w:pPr>
      <w:r>
        <w:t>7.2 Thesis Direction Decision</w:t>
      </w:r>
    </w:p>
    <w:p>
      <w:r>
        <w:t>The null weather gradient result is a genuine finding. The thesis can proceed on the following path:</w:t>
      </w:r>
    </w:p>
    <w:p>
      <w:r>
        <w:t>1. Report the Model A null as the per-incident severity result (the MoU did not amplify weather sensitivity).</w:t>
      </w:r>
    </w:p>
    <w:p>
      <w:r>
        <w:t>2. Add monthly-level analysis for the aggregate effect (total deaths, total incidents, controlling for crossings volume).</w:t>
      </w:r>
    </w:p>
    <w:p>
      <w:r>
        <w:t>3. Interpret the combination: if total deaths increased but per-incident weather sensitivity did not, the mechanism is volume (more incidents) and/or non-weather mortality (calm-sea deaths), not amplified weather risk.</w:t>
      </w:r>
    </w:p>
    <w:p>
      <w:r>
        <w:t>4. Support with descriptive evidence: geographic shift toward Libya, survivor ratio decline, weather overlap shift toward calmer conditions.</w:t>
      </w:r>
    </w:p>
    <w:p>
      <w:pPr>
        <w:pStyle w:val="Heading2"/>
      </w:pPr>
      <w:r>
        <w:t>7.3 Data Integrity Note</w:t>
      </w:r>
    </w:p>
    <w:p>
      <w:r>
        <w:t>Four incidents (0.3% of sample) have 'Number Dead' &gt; 'Total Dead and Missing' in the IOM data. This reflects IOM internal inconsistencies between separate fields, not a coding error. The analysis uses IOM's curated 'Total Dead and Missing' field (dead_missing) as the authoritative outcome. The largest discrepancy is the April 18, 2015 shipwreck (dead = 750, dead_missing = 472), reflecting different source estimates for the same event.</w:t>
      </w:r>
    </w:p>
    <w:p>
      <w:pPr>
        <w:pStyle w:val="Heading1"/>
      </w:pPr>
      <w:r>
        <w:t>8. Technical Notes</w:t>
      </w:r>
    </w:p>
    <w:p>
      <w:pPr>
        <w:pStyle w:val="ListBullet"/>
      </w:pPr>
      <w:r>
        <w:t>Estimation: fixest::fenegbin (R). Properly handles high-dimensional FE via demeaning, automatic singleton drops, heteroskedasticity-robust and cluster-robust SEs.</w:t>
      </w:r>
    </w:p>
    <w:p>
      <w:pPr>
        <w:pStyle w:val="ListBullet"/>
      </w:pPr>
      <w:r>
        <w:t>Previous convergence issues with MASS::glm.nb (alternation limit reached with 188 grid FE levels) are resolved by switching to fixest.</w:t>
      </w:r>
    </w:p>
    <w:p>
      <w:pPr>
        <w:pStyle w:val="ListBullet"/>
      </w:pPr>
      <w:r>
        <w:t>Grid FE: 1-degree grid (84 cells, 25 singletons dropped). Sensitivity tested at 0.25-degree (317 cells) and no grid FE.</w:t>
      </w:r>
    </w:p>
    <w:p>
      <w:pPr>
        <w:pStyle w:val="ListBullet"/>
      </w:pPr>
      <w:r>
        <w:t>Weather extraction: ERA5 daily data at incident coordinates, nearest grid cell lookup. A bug in 02_build_event_data.R used 0.25-deg atmospheric grid indices for the 0.5-deg wave_hmax file, causing 98.6% NAs. Fixed (line 260: ft == 'wave' -&gt; ft %in% c('wave', 'wave_hmax')), pending re-extraction.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