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67559" w14:textId="77777777" w:rsidR="003F6B02" w:rsidRDefault="003F6B02">
      <w:pPr>
        <w:pStyle w:val="Heading1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Extensibility and Feeds</w:t>
      </w:r>
    </w:p>
    <w:p w14:paraId="6EB0A794" w14:textId="77777777" w:rsidR="003F6B02" w:rsidRDefault="003F6B02">
      <w:pPr>
        <w:pStyle w:val="subtitle"/>
        <w:rPr>
          <w:rFonts w:ascii="Aptos" w:hAnsi="Aptos"/>
          <w:lang w:val="en"/>
        </w:rPr>
      </w:pPr>
      <w:r>
        <w:rPr>
          <w:rFonts w:ascii="Aptos" w:hAnsi="Aptos"/>
          <w:lang w:val="en"/>
        </w:rPr>
        <w:t>Collaboration and ownership opportunities for Scout, MOS3, ClawHub, and OpenClaw</w:t>
      </w:r>
    </w:p>
    <w:p w14:paraId="0A19C737" w14:textId="77777777" w:rsidR="003F6B02" w:rsidRDefault="003F6B02">
      <w:pPr>
        <w:shd w:val="clear" w:color="auto" w:fill="EAF2F8"/>
        <w:divId w:val="464278772"/>
        <w:rPr>
          <w:rFonts w:ascii="Aptos" w:eastAsia="Times New Roman" w:hAnsi="Aptos"/>
          <w:b/>
          <w:bCs/>
          <w:color w:val="243044"/>
          <w:sz w:val="28"/>
          <w:szCs w:val="28"/>
          <w:lang w:val="en"/>
        </w:rPr>
      </w:pPr>
      <w:r>
        <w:rPr>
          <w:rFonts w:ascii="Aptos" w:eastAsia="Times New Roman" w:hAnsi="Aptos"/>
          <w:b/>
          <w:bCs/>
          <w:color w:val="243044"/>
          <w:sz w:val="28"/>
          <w:szCs w:val="28"/>
          <w:lang w:val="en"/>
        </w:rPr>
        <w:t>Omar's vision: Build the platform for plugins, skills, UX extensions, governance, ratings, versioning, tenant controls, and first-party/community contribution.</w:t>
      </w:r>
    </w:p>
    <w:p w14:paraId="19FC3291" w14:textId="77777777" w:rsidR="003F6B02" w:rsidRDefault="003F6B02">
      <w:pPr>
        <w:pStyle w:val="Heading2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Purpose</w:t>
      </w:r>
    </w:p>
    <w:p w14:paraId="7B2CB73E" w14:textId="77777777" w:rsidR="003F6B02" w:rsidRDefault="003F6B02">
      <w:pPr>
        <w:pStyle w:val="NormalWeb"/>
        <w:rPr>
          <w:rFonts w:ascii="Aptos" w:hAnsi="Aptos"/>
          <w:color w:val="243044"/>
          <w:lang w:val="en"/>
        </w:rPr>
      </w:pPr>
      <w:r>
        <w:rPr>
          <w:rFonts w:ascii="Aptos" w:hAnsi="Aptos"/>
          <w:color w:val="243044"/>
          <w:lang w:val="en"/>
        </w:rPr>
        <w:t>This brief is a starting point for discussing where the Extensibility team may want to contribute or assume ownership. It is not a fixed assignment. The portfolio can be divided among Scout rollout, MOS3 platform contracts, publisher feeds, extension governance, and reliability according to team charter and capacity.</w:t>
      </w:r>
    </w:p>
    <w:p w14:paraId="7D7ECC2B" w14:textId="77777777" w:rsidR="003F6B02" w:rsidRDefault="003F6B02">
      <w:pPr>
        <w:pStyle w:val="Heading2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Product vision</w:t>
      </w:r>
    </w:p>
    <w:p w14:paraId="046B7733" w14:textId="77777777" w:rsidR="003F6B02" w:rsidRDefault="003F6B02">
      <w:pPr>
        <w:pStyle w:val="NormalWeb"/>
        <w:rPr>
          <w:rFonts w:ascii="Aptos" w:hAnsi="Aptos"/>
          <w:color w:val="243044"/>
          <w:lang w:val="en"/>
        </w:rPr>
      </w:pPr>
      <w:r>
        <w:rPr>
          <w:rFonts w:ascii="Aptos" w:hAnsi="Aptos"/>
          <w:color w:val="243044"/>
          <w:lang w:val="en"/>
        </w:rPr>
        <w:t>Scout should provide one coherent extension lifecycle across discovery, publishing, following, installation, updates, trust, and tenant governance for plugins, skills, MCP servers, connectors, and future extension types.</w:t>
      </w:r>
    </w:p>
    <w:p w14:paraId="29C89075" w14:textId="77777777" w:rsidR="003F6B02" w:rsidRDefault="003F6B02">
      <w:pPr>
        <w:numPr>
          <w:ilvl w:val="0"/>
          <w:numId w:val="1"/>
        </w:numPr>
        <w:spacing w:before="100" w:beforeAutospacing="1" w:after="100" w:afterAutospacing="1"/>
        <w:rPr>
          <w:rFonts w:ascii="Aptos" w:eastAsia="Times New Roman" w:hAnsi="Aptos"/>
          <w:color w:val="243044"/>
          <w:sz w:val="21"/>
          <w:szCs w:val="21"/>
          <w:lang w:val="en"/>
        </w:rPr>
      </w:pPr>
      <w:r>
        <w:rPr>
          <w:rStyle w:val="Strong"/>
          <w:rFonts w:ascii="Aptos" w:eastAsia="Times New Roman" w:hAnsi="Aptos"/>
          <w:color w:val="243044"/>
          <w:sz w:val="21"/>
          <w:szCs w:val="21"/>
          <w:lang w:val="en"/>
        </w:rPr>
        <w:t>OpenClaw</w:t>
      </w:r>
      <w:r>
        <w:rPr>
          <w:rFonts w:ascii="Aptos" w:eastAsia="Times New Roman" w:hAnsi="Aptos"/>
          <w:color w:val="243044"/>
          <w:sz w:val="21"/>
          <w:szCs w:val="21"/>
          <w:lang w:val="en"/>
        </w:rPr>
        <w:t xml:space="preserve"> owns generic, community-usable runtime and client primitives.</w:t>
      </w:r>
    </w:p>
    <w:p w14:paraId="0E5AA370" w14:textId="77777777" w:rsidR="003F6B02" w:rsidRDefault="003F6B02">
      <w:pPr>
        <w:numPr>
          <w:ilvl w:val="0"/>
          <w:numId w:val="1"/>
        </w:numPr>
        <w:spacing w:before="100" w:beforeAutospacing="1" w:after="100" w:afterAutospacing="1"/>
        <w:rPr>
          <w:rFonts w:ascii="Aptos" w:eastAsia="Times New Roman" w:hAnsi="Aptos"/>
          <w:color w:val="243044"/>
          <w:sz w:val="21"/>
          <w:szCs w:val="21"/>
          <w:lang w:val="en"/>
        </w:rPr>
      </w:pPr>
      <w:r>
        <w:rPr>
          <w:rStyle w:val="Strong"/>
          <w:rFonts w:ascii="Aptos" w:eastAsia="Times New Roman" w:hAnsi="Aptos"/>
          <w:color w:val="243044"/>
          <w:sz w:val="21"/>
          <w:szCs w:val="21"/>
          <w:lang w:val="en"/>
        </w:rPr>
        <w:t>ClawHub</w:t>
      </w:r>
      <w:r>
        <w:rPr>
          <w:rFonts w:ascii="Aptos" w:eastAsia="Times New Roman" w:hAnsi="Aptos"/>
          <w:color w:val="243044"/>
          <w:sz w:val="21"/>
          <w:szCs w:val="21"/>
          <w:lang w:val="en"/>
        </w:rPr>
        <w:t xml:space="preserve"> owns community catalog and publisher-feed services.</w:t>
      </w:r>
    </w:p>
    <w:p w14:paraId="463CA560" w14:textId="77777777" w:rsidR="003F6B02" w:rsidRDefault="003F6B02">
      <w:pPr>
        <w:numPr>
          <w:ilvl w:val="0"/>
          <w:numId w:val="1"/>
        </w:numPr>
        <w:spacing w:before="100" w:beforeAutospacing="1" w:after="100" w:afterAutospacing="1"/>
        <w:rPr>
          <w:rFonts w:ascii="Aptos" w:eastAsia="Times New Roman" w:hAnsi="Aptos"/>
          <w:color w:val="243044"/>
          <w:sz w:val="21"/>
          <w:szCs w:val="21"/>
          <w:lang w:val="en"/>
        </w:rPr>
      </w:pPr>
      <w:r>
        <w:rPr>
          <w:rStyle w:val="Strong"/>
          <w:rFonts w:ascii="Aptos" w:eastAsia="Times New Roman" w:hAnsi="Aptos"/>
          <w:color w:val="243044"/>
          <w:sz w:val="21"/>
          <w:szCs w:val="21"/>
          <w:lang w:val="en"/>
        </w:rPr>
        <w:t>MOS3/MAC</w:t>
      </w:r>
      <w:r>
        <w:rPr>
          <w:rFonts w:ascii="Aptos" w:eastAsia="Times New Roman" w:hAnsi="Aptos"/>
          <w:color w:val="243044"/>
          <w:sz w:val="21"/>
          <w:szCs w:val="21"/>
          <w:lang w:val="en"/>
        </w:rPr>
        <w:t xml:space="preserve"> remain authoritative for Microsoft's registry, acquisitions, package metadata, package defense, and effective feed composition.</w:t>
      </w:r>
    </w:p>
    <w:p w14:paraId="1FA13BBA" w14:textId="77777777" w:rsidR="003F6B02" w:rsidRDefault="003F6B02">
      <w:pPr>
        <w:numPr>
          <w:ilvl w:val="0"/>
          <w:numId w:val="1"/>
        </w:numPr>
        <w:spacing w:before="100" w:beforeAutospacing="1" w:after="100" w:afterAutospacing="1"/>
        <w:rPr>
          <w:rFonts w:ascii="Aptos" w:eastAsia="Times New Roman" w:hAnsi="Aptos"/>
          <w:color w:val="243044"/>
          <w:sz w:val="21"/>
          <w:szCs w:val="21"/>
          <w:lang w:val="en"/>
        </w:rPr>
      </w:pPr>
      <w:r>
        <w:rPr>
          <w:rStyle w:val="Strong"/>
          <w:rFonts w:ascii="Aptos" w:eastAsia="Times New Roman" w:hAnsi="Aptos"/>
          <w:color w:val="243044"/>
          <w:sz w:val="21"/>
          <w:szCs w:val="21"/>
          <w:lang w:val="en"/>
        </w:rPr>
        <w:t>Lobster/Scout</w:t>
      </w:r>
      <w:r>
        <w:rPr>
          <w:rFonts w:ascii="Aptos" w:eastAsia="Times New Roman" w:hAnsi="Aptos"/>
          <w:color w:val="243044"/>
          <w:sz w:val="21"/>
          <w:szCs w:val="21"/>
          <w:lang w:val="en"/>
        </w:rPr>
        <w:t xml:space="preserve"> </w:t>
      </w:r>
      <w:r>
        <w:rPr>
          <w:rFonts w:ascii="Aptos" w:eastAsia="Times New Roman" w:hAnsi="Aptos"/>
          <w:color w:val="243044"/>
          <w:sz w:val="21"/>
          <w:szCs w:val="21"/>
          <w:lang w:val="en"/>
        </w:rPr>
        <w:t>integrates these systems into the Microsoft-hosted product, UX, E2E, rollout, and support experience.</w:t>
      </w:r>
    </w:p>
    <w:p w14:paraId="077D1EF9" w14:textId="77777777" w:rsidR="003F6B02" w:rsidRDefault="003F6B02">
      <w:pPr>
        <w:shd w:val="clear" w:color="auto" w:fill="F3F6F9"/>
        <w:divId w:val="2129615896"/>
        <w:rPr>
          <w:rFonts w:ascii="Aptos" w:eastAsia="Times New Roman" w:hAnsi="Aptos"/>
          <w:color w:val="243044"/>
          <w:lang w:val="en"/>
        </w:rPr>
      </w:pPr>
      <w:r>
        <w:rPr>
          <w:rStyle w:val="Strong"/>
          <w:rFonts w:ascii="Aptos" w:eastAsia="Times New Roman" w:hAnsi="Aptos"/>
          <w:color w:val="243044"/>
          <w:lang w:val="en"/>
        </w:rPr>
        <w:t>Guardrail:</w:t>
      </w:r>
      <w:r>
        <w:rPr>
          <w:rFonts w:ascii="Aptos" w:eastAsia="Times New Roman" w:hAnsi="Aptos"/>
          <w:color w:val="243044"/>
          <w:lang w:val="en"/>
        </w:rPr>
        <w:t xml:space="preserve"> Do not create a parallel Lobster catalog, equate following with trust or installation, or make community OpenClaw and ClawHub depend on Microsoft services.</w:t>
      </w:r>
    </w:p>
    <w:p w14:paraId="6619E61C" w14:textId="77777777" w:rsidR="003F6B02" w:rsidRDefault="003F6B02">
      <w:pPr>
        <w:pStyle w:val="Heading2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Opportunity portfolio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9"/>
        <w:gridCol w:w="5483"/>
        <w:gridCol w:w="2966"/>
      </w:tblGrid>
      <w:tr w:rsidR="00000000" w14:paraId="33F08C00" w14:textId="77777777">
        <w:tc>
          <w:tcPr>
            <w:tcW w:w="0" w:type="auto"/>
            <w:shd w:val="clear" w:color="auto" w:fill="1F4E79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  <w:hideMark/>
          </w:tcPr>
          <w:p w14:paraId="0A9DAE18" w14:textId="77777777" w:rsidR="003F6B02" w:rsidRDefault="003F6B02">
            <w:pPr>
              <w:spacing w:before="160" w:after="280"/>
              <w:rPr>
                <w:rFonts w:ascii="Aptos" w:eastAsia="Times New Roman" w:hAnsi="Aptos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Aptos" w:eastAsia="Times New Roman" w:hAnsi="Aptos"/>
                <w:b/>
                <w:bCs/>
                <w:color w:val="FFFFFF"/>
                <w:sz w:val="19"/>
                <w:szCs w:val="19"/>
              </w:rPr>
              <w:t>Opportunity</w:t>
            </w:r>
          </w:p>
        </w:tc>
        <w:tc>
          <w:tcPr>
            <w:tcW w:w="0" w:type="auto"/>
            <w:shd w:val="clear" w:color="auto" w:fill="1F4E79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  <w:hideMark/>
          </w:tcPr>
          <w:p w14:paraId="5E2C941A" w14:textId="77777777" w:rsidR="003F6B02" w:rsidRDefault="003F6B02">
            <w:pPr>
              <w:spacing w:before="160" w:after="280"/>
              <w:rPr>
                <w:rFonts w:ascii="Aptos" w:eastAsia="Times New Roman" w:hAnsi="Aptos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Aptos" w:eastAsia="Times New Roman" w:hAnsi="Aptos"/>
                <w:b/>
                <w:bCs/>
                <w:color w:val="FFFFFF"/>
                <w:sz w:val="19"/>
                <w:szCs w:val="19"/>
              </w:rPr>
              <w:t>Outcome</w:t>
            </w:r>
          </w:p>
        </w:tc>
        <w:tc>
          <w:tcPr>
            <w:tcW w:w="0" w:type="auto"/>
            <w:shd w:val="clear" w:color="auto" w:fill="1F4E79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  <w:hideMark/>
          </w:tcPr>
          <w:p w14:paraId="6F3A8AED" w14:textId="77777777" w:rsidR="003F6B02" w:rsidRDefault="003F6B02">
            <w:pPr>
              <w:spacing w:before="160" w:after="280"/>
              <w:rPr>
                <w:rFonts w:ascii="Aptos" w:eastAsia="Times New Roman" w:hAnsi="Aptos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Aptos" w:eastAsia="Times New Roman" w:hAnsi="Aptos"/>
                <w:b/>
                <w:bCs/>
                <w:color w:val="FFFFFF"/>
                <w:sz w:val="19"/>
                <w:szCs w:val="19"/>
              </w:rPr>
              <w:t>Primary partners</w:t>
            </w:r>
          </w:p>
        </w:tc>
      </w:tr>
      <w:tr w:rsidR="00000000" w14:paraId="6C4DC40B" w14:textId="77777777">
        <w:tc>
          <w:tcPr>
            <w:tcW w:w="0" w:type="auto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2E37B70A" w14:textId="77777777" w:rsidR="003F6B02" w:rsidRDefault="003F6B02">
            <w:pPr>
              <w:spacing w:before="160" w:after="280"/>
              <w:rPr>
                <w:rFonts w:ascii="Aptos" w:eastAsia="Times New Roman" w:hAnsi="Aptos"/>
                <w:color w:val="243044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43044"/>
                <w:sz w:val="19"/>
                <w:szCs w:val="19"/>
              </w:rPr>
              <w:t>Finish Scout feeds rollout</w:t>
            </w:r>
          </w:p>
        </w:tc>
        <w:tc>
          <w:tcPr>
            <w:tcW w:w="0" w:type="auto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2A75C8B6" w14:textId="77777777" w:rsidR="003F6B02" w:rsidRDefault="003F6B02">
            <w:pPr>
              <w:spacing w:before="160" w:after="280"/>
              <w:rPr>
                <w:rFonts w:ascii="Aptos" w:eastAsia="Times New Roman" w:hAnsi="Aptos"/>
                <w:color w:val="243044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43044"/>
                <w:sz w:val="19"/>
                <w:szCs w:val="19"/>
              </w:rPr>
              <w:t>Safely land and enable marketplace discovery/install with FirstRelease proof.</w:t>
            </w:r>
          </w:p>
        </w:tc>
        <w:tc>
          <w:tcPr>
            <w:tcW w:w="0" w:type="auto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03A1ABF0" w14:textId="77777777" w:rsidR="003F6B02" w:rsidRDefault="003F6B02">
            <w:pPr>
              <w:spacing w:before="160" w:after="280"/>
              <w:rPr>
                <w:rFonts w:ascii="Aptos" w:eastAsia="Times New Roman" w:hAnsi="Aptos"/>
                <w:color w:val="243044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43044"/>
                <w:sz w:val="19"/>
                <w:szCs w:val="19"/>
              </w:rPr>
              <w:t>Lobster, Frontend, Infrastructure</w:t>
            </w:r>
          </w:p>
        </w:tc>
      </w:tr>
      <w:tr w:rsidR="00000000" w14:paraId="4F638993" w14:textId="77777777">
        <w:tc>
          <w:tcPr>
            <w:tcW w:w="0" w:type="auto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7E66BA20" w14:textId="77777777" w:rsidR="003F6B02" w:rsidRDefault="003F6B02">
            <w:pPr>
              <w:spacing w:before="160" w:after="280"/>
              <w:rPr>
                <w:rFonts w:ascii="Aptos" w:eastAsia="Times New Roman" w:hAnsi="Aptos"/>
                <w:color w:val="243044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43044"/>
                <w:sz w:val="19"/>
                <w:szCs w:val="19"/>
              </w:rPr>
              <w:t>MOS3 feed composition</w:t>
            </w:r>
          </w:p>
        </w:tc>
        <w:tc>
          <w:tcPr>
            <w:tcW w:w="0" w:type="auto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45FF5FA0" w14:textId="77777777" w:rsidR="003F6B02" w:rsidRDefault="003F6B02">
            <w:pPr>
              <w:spacing w:before="160" w:after="280"/>
              <w:rPr>
                <w:rFonts w:ascii="Aptos" w:eastAsia="Times New Roman" w:hAnsi="Aptos"/>
                <w:color w:val="243044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43044"/>
                <w:sz w:val="19"/>
                <w:szCs w:val="19"/>
              </w:rPr>
              <w:t>Define stable feed identity, signing, revisions/deltas, RBAC, scopes, and tenant composition.</w:t>
            </w:r>
          </w:p>
        </w:tc>
        <w:tc>
          <w:tcPr>
            <w:tcW w:w="0" w:type="auto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71045CA8" w14:textId="77777777" w:rsidR="003F6B02" w:rsidRDefault="003F6B02">
            <w:pPr>
              <w:spacing w:before="160" w:after="280"/>
              <w:rPr>
                <w:rFonts w:ascii="Aptos" w:eastAsia="Times New Roman" w:hAnsi="Aptos"/>
                <w:color w:val="243044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43044"/>
                <w:sz w:val="19"/>
                <w:szCs w:val="19"/>
              </w:rPr>
              <w:t>MOS3/MAC, Admin, Security</w:t>
            </w:r>
          </w:p>
        </w:tc>
      </w:tr>
      <w:tr w:rsidR="00000000" w14:paraId="061458F9" w14:textId="77777777">
        <w:tc>
          <w:tcPr>
            <w:tcW w:w="0" w:type="auto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38A19FA6" w14:textId="77777777" w:rsidR="003F6B02" w:rsidRDefault="003F6B02">
            <w:pPr>
              <w:spacing w:before="160" w:after="280"/>
              <w:rPr>
                <w:rFonts w:ascii="Aptos" w:eastAsia="Times New Roman" w:hAnsi="Aptos"/>
                <w:color w:val="243044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43044"/>
                <w:sz w:val="19"/>
                <w:szCs w:val="19"/>
              </w:rPr>
              <w:lastRenderedPageBreak/>
              <w:t>Publisher feeds</w:t>
            </w:r>
          </w:p>
        </w:tc>
        <w:tc>
          <w:tcPr>
            <w:tcW w:w="0" w:type="auto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2B767594" w14:textId="77777777" w:rsidR="003F6B02" w:rsidRDefault="003F6B02">
            <w:pPr>
              <w:spacing w:before="160" w:after="280"/>
              <w:rPr>
                <w:rFonts w:ascii="Aptos" w:eastAsia="Times New Roman" w:hAnsi="Aptos"/>
                <w:color w:val="243044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43044"/>
                <w:sz w:val="19"/>
                <w:szCs w:val="19"/>
              </w:rPr>
              <w:t>Restore signed publisher-feed production in ClawHub and a useful OpenClaw CLI consumer.</w:t>
            </w:r>
          </w:p>
        </w:tc>
        <w:tc>
          <w:tcPr>
            <w:tcW w:w="0" w:type="auto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7A89732C" w14:textId="77777777" w:rsidR="003F6B02" w:rsidRDefault="003F6B02">
            <w:pPr>
              <w:spacing w:before="160" w:after="280"/>
              <w:rPr>
                <w:rFonts w:ascii="Aptos" w:eastAsia="Times New Roman" w:hAnsi="Aptos"/>
                <w:color w:val="243044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43044"/>
                <w:sz w:val="19"/>
                <w:szCs w:val="19"/>
              </w:rPr>
              <w:t>ClawHub, OpenClaw maintainers, Community</w:t>
            </w:r>
          </w:p>
        </w:tc>
      </w:tr>
      <w:tr w:rsidR="00000000" w14:paraId="211C8143" w14:textId="77777777">
        <w:tc>
          <w:tcPr>
            <w:tcW w:w="0" w:type="auto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55A5F0D8" w14:textId="77777777" w:rsidR="003F6B02" w:rsidRDefault="003F6B02">
            <w:pPr>
              <w:spacing w:before="160" w:after="280"/>
              <w:rPr>
                <w:rFonts w:ascii="Aptos" w:eastAsia="Times New Roman" w:hAnsi="Aptos"/>
                <w:color w:val="243044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43044"/>
                <w:sz w:val="19"/>
                <w:szCs w:val="19"/>
              </w:rPr>
              <w:t>Extension governance</w:t>
            </w:r>
          </w:p>
        </w:tc>
        <w:tc>
          <w:tcPr>
            <w:tcW w:w="0" w:type="auto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5A1564A3" w14:textId="77777777" w:rsidR="003F6B02" w:rsidRDefault="003F6B02">
            <w:pPr>
              <w:spacing w:before="160" w:after="280"/>
              <w:rPr>
                <w:rFonts w:ascii="Aptos" w:eastAsia="Times New Roman" w:hAnsi="Aptos"/>
                <w:color w:val="243044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43044"/>
                <w:sz w:val="19"/>
                <w:szCs w:val="19"/>
              </w:rPr>
              <w:t>Unify trust, provenance, ratings, exact versions, package defense, revocation, and tenant approval.</w:t>
            </w:r>
          </w:p>
        </w:tc>
        <w:tc>
          <w:tcPr>
            <w:tcW w:w="0" w:type="auto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01C296B6" w14:textId="77777777" w:rsidR="003F6B02" w:rsidRDefault="003F6B02">
            <w:pPr>
              <w:spacing w:before="160" w:after="280"/>
              <w:rPr>
                <w:rFonts w:ascii="Aptos" w:eastAsia="Times New Roman" w:hAnsi="Aptos"/>
                <w:color w:val="243044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43044"/>
                <w:sz w:val="19"/>
                <w:szCs w:val="19"/>
              </w:rPr>
              <w:t>Admin, Security, Data</w:t>
            </w:r>
          </w:p>
        </w:tc>
      </w:tr>
      <w:tr w:rsidR="00000000" w14:paraId="312D9CD4" w14:textId="77777777">
        <w:tc>
          <w:tcPr>
            <w:tcW w:w="0" w:type="auto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5D97A335" w14:textId="77777777" w:rsidR="003F6B02" w:rsidRDefault="003F6B02">
            <w:pPr>
              <w:spacing w:before="160" w:after="280"/>
              <w:rPr>
                <w:rFonts w:ascii="Aptos" w:eastAsia="Times New Roman" w:hAnsi="Aptos"/>
                <w:color w:val="243044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43044"/>
                <w:sz w:val="19"/>
                <w:szCs w:val="19"/>
              </w:rPr>
              <w:t>Reliability and operations</w:t>
            </w:r>
          </w:p>
        </w:tc>
        <w:tc>
          <w:tcPr>
            <w:tcW w:w="0" w:type="auto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1D5D1E1E" w14:textId="77777777" w:rsidR="003F6B02" w:rsidRDefault="003F6B02">
            <w:pPr>
              <w:spacing w:before="160" w:after="280"/>
              <w:rPr>
                <w:rFonts w:ascii="Aptos" w:eastAsia="Times New Roman" w:hAnsi="Aptos"/>
                <w:color w:val="243044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43044"/>
                <w:sz w:val="19"/>
                <w:szCs w:val="19"/>
              </w:rPr>
              <w:t>Own E2E, bounded refresh, previous-good behavior, tracing, telemetry, dashboards, and rollout.</w:t>
            </w:r>
          </w:p>
        </w:tc>
        <w:tc>
          <w:tcPr>
            <w:tcW w:w="0" w:type="auto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18593407" w14:textId="77777777" w:rsidR="003F6B02" w:rsidRDefault="003F6B02">
            <w:pPr>
              <w:spacing w:before="160" w:after="280"/>
              <w:rPr>
                <w:rFonts w:ascii="Aptos" w:eastAsia="Times New Roman" w:hAnsi="Aptos"/>
                <w:color w:val="243044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43044"/>
                <w:sz w:val="19"/>
                <w:szCs w:val="19"/>
              </w:rPr>
              <w:t>Infrastructure, Operations, Support</w:t>
            </w:r>
          </w:p>
        </w:tc>
      </w:tr>
    </w:tbl>
    <w:p w14:paraId="3DE631E7" w14:textId="77777777" w:rsidR="003F6B02" w:rsidRDefault="003F6B02">
      <w:pPr>
        <w:pStyle w:val="Heading2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Work completed to date</w:t>
      </w:r>
    </w:p>
    <w:p w14:paraId="4315504C" w14:textId="77777777" w:rsidR="003F6B02" w:rsidRDefault="003F6B02">
      <w:pPr>
        <w:numPr>
          <w:ilvl w:val="0"/>
          <w:numId w:val="2"/>
        </w:numPr>
        <w:spacing w:before="100" w:beforeAutospacing="1" w:after="100" w:afterAutospacing="1"/>
        <w:rPr>
          <w:rFonts w:ascii="Aptos" w:eastAsia="Times New Roman" w:hAnsi="Aptos"/>
          <w:color w:val="243044"/>
          <w:sz w:val="21"/>
          <w:szCs w:val="21"/>
          <w:lang w:val="en"/>
        </w:rPr>
      </w:pPr>
      <w:r>
        <w:rPr>
          <w:rFonts w:ascii="Aptos" w:eastAsia="Times New Roman" w:hAnsi="Aptos"/>
          <w:color w:val="243044"/>
          <w:sz w:val="21"/>
          <w:szCs w:val="21"/>
          <w:lang w:val="en"/>
        </w:rPr>
        <w:t>Personal and tenant-approved feed projections, MOS3 acquisitions, environment/auth mapping, local and MOS3 personal publishing, hosted personal artifacts, install flows, marketplace search, tenant review, and approved-feed publication are present in Lobster main.</w:t>
      </w:r>
    </w:p>
    <w:p w14:paraId="23B6443C" w14:textId="77777777" w:rsidR="003F6B02" w:rsidRDefault="003F6B02">
      <w:pPr>
        <w:numPr>
          <w:ilvl w:val="0"/>
          <w:numId w:val="2"/>
        </w:numPr>
        <w:spacing w:before="100" w:beforeAutospacing="1" w:after="100" w:afterAutospacing="1"/>
        <w:rPr>
          <w:rFonts w:ascii="Aptos" w:eastAsia="Times New Roman" w:hAnsi="Aptos"/>
          <w:color w:val="243044"/>
          <w:sz w:val="21"/>
          <w:szCs w:val="21"/>
          <w:lang w:val="en"/>
        </w:rPr>
      </w:pPr>
      <w:r>
        <w:rPr>
          <w:rFonts w:ascii="Aptos" w:eastAsia="Times New Roman" w:hAnsi="Aptos"/>
          <w:color w:val="243044"/>
          <w:sz w:val="21"/>
          <w:szCs w:val="21"/>
          <w:lang w:val="en"/>
        </w:rPr>
        <w:t xml:space="preserve">Lobster PRs #5045, #5057, and #5336 landed shared-publish diagnostics, acquisition capability, and the </w:t>
      </w:r>
      <w:r>
        <w:rPr>
          <w:rStyle w:val="HTMLCode"/>
          <w:color w:val="243044"/>
          <w:lang w:val="en"/>
        </w:rPr>
        <w:t>scout-standard</w:t>
      </w:r>
      <w:r>
        <w:rPr>
          <w:rFonts w:ascii="Aptos" w:eastAsia="Times New Roman" w:hAnsi="Aptos"/>
          <w:color w:val="243044"/>
          <w:sz w:val="21"/>
          <w:szCs w:val="21"/>
          <w:lang w:val="en"/>
        </w:rPr>
        <w:t xml:space="preserve"> capability/configuration contract.</w:t>
      </w:r>
    </w:p>
    <w:p w14:paraId="2264765C" w14:textId="77777777" w:rsidR="003F6B02" w:rsidRDefault="003F6B02">
      <w:pPr>
        <w:numPr>
          <w:ilvl w:val="0"/>
          <w:numId w:val="2"/>
        </w:numPr>
        <w:spacing w:before="100" w:beforeAutospacing="1" w:after="100" w:afterAutospacing="1"/>
        <w:rPr>
          <w:rFonts w:ascii="Aptos" w:eastAsia="Times New Roman" w:hAnsi="Aptos"/>
          <w:color w:val="243044"/>
          <w:sz w:val="21"/>
          <w:szCs w:val="21"/>
          <w:lang w:val="en"/>
        </w:rPr>
      </w:pPr>
      <w:r>
        <w:rPr>
          <w:rFonts w:ascii="Aptos" w:eastAsia="Times New Roman" w:hAnsi="Aptos"/>
          <w:color w:val="243044"/>
          <w:sz w:val="21"/>
          <w:szCs w:val="21"/>
          <w:lang w:val="en"/>
        </w:rPr>
        <w:t>OpenClaw signed-feed prerequisites #101981, #110037, and #108342 are merged.</w:t>
      </w:r>
    </w:p>
    <w:p w14:paraId="031D629F" w14:textId="77777777" w:rsidR="003F6B02" w:rsidRDefault="003F6B02">
      <w:pPr>
        <w:numPr>
          <w:ilvl w:val="0"/>
          <w:numId w:val="2"/>
        </w:numPr>
        <w:spacing w:before="100" w:beforeAutospacing="1" w:after="100" w:afterAutospacing="1"/>
        <w:rPr>
          <w:rFonts w:ascii="Aptos" w:eastAsia="Times New Roman" w:hAnsi="Aptos"/>
          <w:color w:val="243044"/>
          <w:sz w:val="21"/>
          <w:szCs w:val="21"/>
          <w:lang w:val="en"/>
        </w:rPr>
      </w:pPr>
      <w:r>
        <w:rPr>
          <w:rFonts w:ascii="Aptos" w:eastAsia="Times New Roman" w:hAnsi="Aptos"/>
          <w:color w:val="243044"/>
          <w:sz w:val="21"/>
          <w:szCs w:val="21"/>
          <w:lang w:val="en"/>
        </w:rPr>
        <w:t>A 301 FirstRelease E2E proved marketplace discovery and installation.</w:t>
      </w:r>
    </w:p>
    <w:p w14:paraId="195D0DE9" w14:textId="77777777" w:rsidR="003F6B02" w:rsidRDefault="003F6B02">
      <w:pPr>
        <w:pStyle w:val="Heading2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Current work and immediate blocker</w:t>
      </w:r>
    </w:p>
    <w:p w14:paraId="21EB5434" w14:textId="77777777" w:rsidR="003F6B02" w:rsidRDefault="003F6B02">
      <w:pPr>
        <w:pStyle w:val="Heading3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Scout rollout PR</w:t>
      </w:r>
    </w:p>
    <w:p w14:paraId="5C0A0DFB" w14:textId="77777777" w:rsidR="003F6B02" w:rsidRDefault="003F6B02">
      <w:pPr>
        <w:pStyle w:val="NormalWeb"/>
        <w:rPr>
          <w:rFonts w:ascii="Aptos" w:hAnsi="Aptos"/>
          <w:color w:val="243044"/>
          <w:lang w:val="en"/>
        </w:rPr>
      </w:pPr>
      <w:hyperlink r:id="rId7" w:history="1">
        <w:r>
          <w:rPr>
            <w:rStyle w:val="Hyperlink"/>
            <w:rFonts w:ascii="Aptos" w:hAnsi="Aptos"/>
            <w:lang w:val="en"/>
          </w:rPr>
          <w:t>Lobster #5424</w:t>
        </w:r>
      </w:hyperlink>
      <w:r>
        <w:rPr>
          <w:rFonts w:ascii="Aptos" w:hAnsi="Aptos"/>
          <w:color w:val="243044"/>
          <w:lang w:val="en"/>
        </w:rPr>
        <w:t xml:space="preserve"> </w:t>
      </w:r>
      <w:r>
        <w:rPr>
          <w:rFonts w:ascii="Aptos" w:hAnsi="Aptos"/>
          <w:color w:val="243044"/>
          <w:lang w:val="en"/>
        </w:rPr>
        <w:t>makes MOS3 marketplace discovery and local workspace installation available outside the broad feeds UX flag while retaining the flag for personal-library and tenant-approved actions. On the 2026-07-27 snapshot it was open, non-draft, and needed current-head review and test repair. Live state must be rechecked before adoption.</w:t>
      </w:r>
    </w:p>
    <w:p w14:paraId="08C72DC7" w14:textId="77777777" w:rsidR="003F6B02" w:rsidRDefault="003F6B02">
      <w:pPr>
        <w:pStyle w:val="Heading3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MOS3 Personal/TenantPersonal authorization</w:t>
      </w:r>
    </w:p>
    <w:p w14:paraId="5C33EBBB" w14:textId="77777777" w:rsidR="003F6B02" w:rsidRDefault="003F6B02">
      <w:pPr>
        <w:pStyle w:val="NormalWeb"/>
        <w:rPr>
          <w:rFonts w:ascii="Aptos" w:hAnsi="Aptos"/>
          <w:color w:val="243044"/>
          <w:lang w:val="en"/>
        </w:rPr>
      </w:pPr>
      <w:r>
        <w:rPr>
          <w:rFonts w:ascii="Aptos" w:hAnsi="Aptos"/>
          <w:color w:val="243044"/>
          <w:lang w:val="en"/>
        </w:rPr>
        <w:t>The same E2E failed when publishing a personal item:</w:t>
      </w:r>
    </w:p>
    <w:p w14:paraId="4EE746DD" w14:textId="77777777" w:rsidR="003F6B02" w:rsidRDefault="003F6B02">
      <w:pPr>
        <w:numPr>
          <w:ilvl w:val="0"/>
          <w:numId w:val="3"/>
        </w:numPr>
        <w:spacing w:before="100" w:beforeAutospacing="1" w:after="100" w:afterAutospacing="1"/>
        <w:rPr>
          <w:rFonts w:ascii="Aptos" w:eastAsia="Times New Roman" w:hAnsi="Aptos"/>
          <w:color w:val="243044"/>
          <w:sz w:val="21"/>
          <w:szCs w:val="21"/>
          <w:lang w:val="en"/>
        </w:rPr>
      </w:pPr>
      <w:r>
        <w:rPr>
          <w:rFonts w:ascii="Aptos" w:eastAsia="Times New Roman" w:hAnsi="Aptos"/>
          <w:color w:val="243044"/>
          <w:sz w:val="21"/>
          <w:szCs w:val="21"/>
          <w:lang w:val="en"/>
        </w:rPr>
        <w:t xml:space="preserve">MOS3 returned </w:t>
      </w:r>
      <w:r>
        <w:rPr>
          <w:rStyle w:val="Strong"/>
          <w:rFonts w:ascii="Aptos" w:eastAsia="Times New Roman" w:hAnsi="Aptos"/>
          <w:color w:val="243044"/>
          <w:sz w:val="21"/>
          <w:szCs w:val="21"/>
          <w:lang w:val="en"/>
        </w:rPr>
        <w:t>403 Forbidden</w:t>
      </w:r>
      <w:r>
        <w:rPr>
          <w:rFonts w:ascii="Aptos" w:eastAsia="Times New Roman" w:hAnsi="Aptos"/>
          <w:color w:val="243044"/>
          <w:sz w:val="21"/>
          <w:szCs w:val="21"/>
          <w:lang w:val="en"/>
        </w:rPr>
        <w:t>: “Uploading TenantPersonal package is not enabled for the user.”</w:t>
      </w:r>
    </w:p>
    <w:p w14:paraId="199675A3" w14:textId="77777777" w:rsidR="003F6B02" w:rsidRDefault="003F6B02">
      <w:pPr>
        <w:numPr>
          <w:ilvl w:val="0"/>
          <w:numId w:val="3"/>
        </w:numPr>
        <w:spacing w:before="100" w:beforeAutospacing="1" w:after="100" w:afterAutospacing="1"/>
        <w:rPr>
          <w:rFonts w:ascii="Aptos" w:eastAsia="Times New Roman" w:hAnsi="Aptos"/>
          <w:color w:val="243044"/>
          <w:sz w:val="21"/>
          <w:szCs w:val="21"/>
          <w:lang w:val="en"/>
        </w:rPr>
      </w:pPr>
      <w:r>
        <w:rPr>
          <w:rFonts w:ascii="Aptos" w:eastAsia="Times New Roman" w:hAnsi="Aptos"/>
          <w:color w:val="243044"/>
          <w:sz w:val="21"/>
          <w:szCs w:val="21"/>
          <w:lang w:val="en"/>
        </w:rPr>
        <w:t xml:space="preserve">Lobster request ID: </w:t>
      </w:r>
      <w:r>
        <w:rPr>
          <w:rStyle w:val="HTMLCode"/>
          <w:color w:val="243044"/>
          <w:lang w:val="en"/>
        </w:rPr>
        <w:t>20d8304f-0293-441a-8cdf-263b1e1a79ef</w:t>
      </w:r>
    </w:p>
    <w:p w14:paraId="3C2BB087" w14:textId="77777777" w:rsidR="003F6B02" w:rsidRDefault="003F6B02">
      <w:pPr>
        <w:numPr>
          <w:ilvl w:val="0"/>
          <w:numId w:val="3"/>
        </w:numPr>
        <w:spacing w:before="100" w:beforeAutospacing="1" w:after="100" w:afterAutospacing="1"/>
        <w:rPr>
          <w:rFonts w:ascii="Aptos" w:eastAsia="Times New Roman" w:hAnsi="Aptos"/>
          <w:color w:val="243044"/>
          <w:sz w:val="21"/>
          <w:szCs w:val="21"/>
          <w:lang w:val="en"/>
        </w:rPr>
      </w:pPr>
      <w:r>
        <w:rPr>
          <w:rFonts w:ascii="Aptos" w:eastAsia="Times New Roman" w:hAnsi="Aptos"/>
          <w:color w:val="243044"/>
          <w:sz w:val="21"/>
          <w:szCs w:val="21"/>
          <w:lang w:val="en"/>
        </w:rPr>
        <w:t xml:space="preserve">MOS3-facing Lobster Prod/FPA AppID: </w:t>
      </w:r>
      <w:r>
        <w:rPr>
          <w:rStyle w:val="HTMLCode"/>
          <w:color w:val="243044"/>
          <w:lang w:val="en"/>
        </w:rPr>
        <w:t>f1217e17-d0fc-4a9e-a8a1-e1fc64868032</w:t>
      </w:r>
    </w:p>
    <w:p w14:paraId="731FFB5D" w14:textId="77777777" w:rsidR="003F6B02" w:rsidRDefault="003F6B02">
      <w:pPr>
        <w:pStyle w:val="NormalWeb"/>
        <w:rPr>
          <w:rFonts w:ascii="Aptos" w:hAnsi="Aptos"/>
          <w:color w:val="243044"/>
          <w:lang w:val="en"/>
        </w:rPr>
      </w:pPr>
      <w:r>
        <w:rPr>
          <w:rFonts w:ascii="Aptos" w:hAnsi="Aptos"/>
          <w:color w:val="243044"/>
          <w:lang w:val="en"/>
        </w:rPr>
        <w:t xml:space="preserve">The likely next step is MOS3 preauthorization for Personal/TenantPersonal publishing. The next run should preserve </w:t>
      </w:r>
      <w:r>
        <w:rPr>
          <w:rStyle w:val="HTMLCode"/>
          <w:color w:val="243044"/>
          <w:lang w:val="en"/>
        </w:rPr>
        <w:t>traceresponse</w:t>
      </w:r>
      <w:r>
        <w:rPr>
          <w:rFonts w:ascii="Aptos" w:hAnsi="Aptos"/>
          <w:color w:val="243044"/>
          <w:lang w:val="en"/>
        </w:rPr>
        <w:t xml:space="preserve"> and </w:t>
      </w:r>
      <w:r>
        <w:rPr>
          <w:rStyle w:val="HTMLCode"/>
          <w:color w:val="243044"/>
          <w:lang w:val="en"/>
        </w:rPr>
        <w:t>client-request-id</w:t>
      </w:r>
      <w:r>
        <w:rPr>
          <w:rFonts w:ascii="Aptos" w:hAnsi="Aptos"/>
          <w:color w:val="243044"/>
          <w:lang w:val="en"/>
        </w:rPr>
        <w:t>. Permanent enablement should wait for publish, exact ID/version projection, reload persistence, cleanup, and proof that MOS3—not a file bridge—is authoritative.</w:t>
      </w:r>
    </w:p>
    <w:p w14:paraId="2CFB1433" w14:textId="77777777" w:rsidR="003F6B02" w:rsidRDefault="003F6B02">
      <w:pPr>
        <w:pStyle w:val="Heading2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Work still to be done</w:t>
      </w:r>
    </w:p>
    <w:p w14:paraId="3742B448" w14:textId="77777777" w:rsidR="003F6B02" w:rsidRDefault="003F6B02">
      <w:pPr>
        <w:numPr>
          <w:ilvl w:val="0"/>
          <w:numId w:val="4"/>
        </w:numPr>
        <w:spacing w:before="100" w:beforeAutospacing="1" w:after="100" w:afterAutospacing="1"/>
        <w:rPr>
          <w:rFonts w:ascii="Aptos" w:eastAsia="Times New Roman" w:hAnsi="Aptos"/>
          <w:color w:val="243044"/>
          <w:sz w:val="21"/>
          <w:szCs w:val="21"/>
          <w:lang w:val="en"/>
        </w:rPr>
      </w:pPr>
      <w:r>
        <w:rPr>
          <w:rFonts w:ascii="Aptos" w:eastAsia="Times New Roman" w:hAnsi="Aptos"/>
          <w:color w:val="243044"/>
          <w:sz w:val="21"/>
          <w:szCs w:val="21"/>
          <w:lang w:val="en"/>
        </w:rPr>
        <w:lastRenderedPageBreak/>
        <w:t>Close the MOS3 authorization dependency and prove the full personal publish journey.</w:t>
      </w:r>
    </w:p>
    <w:p w14:paraId="150AFA23" w14:textId="77777777" w:rsidR="003F6B02" w:rsidRDefault="003F6B02">
      <w:pPr>
        <w:numPr>
          <w:ilvl w:val="0"/>
          <w:numId w:val="4"/>
        </w:numPr>
        <w:spacing w:before="100" w:beforeAutospacing="1" w:after="100" w:afterAutospacing="1"/>
        <w:rPr>
          <w:rFonts w:ascii="Aptos" w:eastAsia="Times New Roman" w:hAnsi="Aptos"/>
          <w:color w:val="243044"/>
          <w:sz w:val="21"/>
          <w:szCs w:val="21"/>
          <w:lang w:val="en"/>
        </w:rPr>
      </w:pPr>
      <w:r>
        <w:rPr>
          <w:rFonts w:ascii="Aptos" w:eastAsia="Times New Roman" w:hAnsi="Aptos"/>
          <w:color w:val="243044"/>
          <w:sz w:val="21"/>
          <w:szCs w:val="21"/>
          <w:lang w:val="en"/>
        </w:rPr>
        <w:t>Define MOS3 feed identity, signed snapshots/query/delta/reset, scope, RBAC, provenance, package-defense, and revocation contracts.</w:t>
      </w:r>
    </w:p>
    <w:p w14:paraId="612ACB3B" w14:textId="77777777" w:rsidR="003F6B02" w:rsidRDefault="003F6B02">
      <w:pPr>
        <w:numPr>
          <w:ilvl w:val="0"/>
          <w:numId w:val="4"/>
        </w:numPr>
        <w:spacing w:before="100" w:beforeAutospacing="1" w:after="100" w:afterAutospacing="1"/>
        <w:rPr>
          <w:rFonts w:ascii="Aptos" w:eastAsia="Times New Roman" w:hAnsi="Aptos"/>
          <w:color w:val="243044"/>
          <w:sz w:val="21"/>
          <w:szCs w:val="21"/>
          <w:lang w:val="en"/>
        </w:rPr>
      </w:pPr>
      <w:r>
        <w:rPr>
          <w:rFonts w:ascii="Aptos" w:eastAsia="Times New Roman" w:hAnsi="Aptos"/>
          <w:color w:val="243044"/>
          <w:sz w:val="21"/>
          <w:szCs w:val="21"/>
          <w:lang w:val="en"/>
        </w:rPr>
        <w:t>Deliver tenant composition: include, deny, pin, scope, revoke, deprecate, exception, preview, explain, and audit.</w:t>
      </w:r>
    </w:p>
    <w:p w14:paraId="41C39151" w14:textId="77777777" w:rsidR="003F6B02" w:rsidRDefault="003F6B02">
      <w:pPr>
        <w:numPr>
          <w:ilvl w:val="0"/>
          <w:numId w:val="4"/>
        </w:numPr>
        <w:spacing w:before="100" w:beforeAutospacing="1" w:after="100" w:afterAutospacing="1"/>
        <w:rPr>
          <w:rFonts w:ascii="Aptos" w:eastAsia="Times New Roman" w:hAnsi="Aptos"/>
          <w:color w:val="243044"/>
          <w:sz w:val="21"/>
          <w:szCs w:val="21"/>
          <w:lang w:val="en"/>
        </w:rPr>
      </w:pPr>
      <w:r>
        <w:rPr>
          <w:rFonts w:ascii="Aptos" w:eastAsia="Times New Roman" w:hAnsi="Aptos"/>
          <w:color w:val="243044"/>
          <w:sz w:val="21"/>
          <w:szCs w:val="21"/>
          <w:lang w:val="en"/>
        </w:rPr>
        <w:t>Restore publisher feeds: ClawHub producer work (#2948, #3116, #3117) and the first useful OpenClaw CLI consumer (#109305), followed by Gateway and UI slices.</w:t>
      </w:r>
    </w:p>
    <w:p w14:paraId="06AAA613" w14:textId="77777777" w:rsidR="003F6B02" w:rsidRDefault="003F6B02">
      <w:pPr>
        <w:numPr>
          <w:ilvl w:val="0"/>
          <w:numId w:val="4"/>
        </w:numPr>
        <w:spacing w:before="100" w:beforeAutospacing="1" w:after="100" w:afterAutospacing="1"/>
        <w:rPr>
          <w:rFonts w:ascii="Aptos" w:eastAsia="Times New Roman" w:hAnsi="Aptos"/>
          <w:color w:val="243044"/>
          <w:sz w:val="21"/>
          <w:szCs w:val="21"/>
          <w:lang w:val="en"/>
        </w:rPr>
      </w:pPr>
      <w:r>
        <w:rPr>
          <w:rFonts w:ascii="Aptos" w:eastAsia="Times New Roman" w:hAnsi="Aptos"/>
          <w:color w:val="243044"/>
          <w:sz w:val="21"/>
          <w:szCs w:val="21"/>
          <w:lang w:val="en"/>
        </w:rPr>
        <w:t>Add previous-good caching, no-widening failure behavior, exact-version installs, freshness, drift, blocked reasons, tracing, and support diagnostics.</w:t>
      </w:r>
    </w:p>
    <w:p w14:paraId="5BB1CB9E" w14:textId="77777777" w:rsidR="003F6B02" w:rsidRDefault="003F6B02">
      <w:pPr>
        <w:numPr>
          <w:ilvl w:val="0"/>
          <w:numId w:val="4"/>
        </w:numPr>
        <w:spacing w:before="100" w:beforeAutospacing="1" w:after="100" w:afterAutospacing="1"/>
        <w:rPr>
          <w:rFonts w:ascii="Aptos" w:eastAsia="Times New Roman" w:hAnsi="Aptos"/>
          <w:color w:val="243044"/>
          <w:sz w:val="21"/>
          <w:szCs w:val="21"/>
          <w:lang w:val="en"/>
        </w:rPr>
      </w:pPr>
      <w:r>
        <w:rPr>
          <w:rFonts w:ascii="Aptos" w:eastAsia="Times New Roman" w:hAnsi="Aptos"/>
          <w:color w:val="243044"/>
          <w:sz w:val="21"/>
          <w:szCs w:val="21"/>
          <w:lang w:val="en"/>
        </w:rPr>
        <w:t>Support ring/fleet rollout with visible partial failure, targeted retry, isolation, and rollback.</w:t>
      </w:r>
    </w:p>
    <w:p w14:paraId="4EDD4663" w14:textId="77777777" w:rsidR="003F6B02" w:rsidRDefault="003F6B02">
      <w:pPr>
        <w:pStyle w:val="Heading2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Suggested first conversation</w:t>
      </w:r>
    </w:p>
    <w:p w14:paraId="19E22393" w14:textId="77777777" w:rsidR="003F6B02" w:rsidRDefault="003F6B02">
      <w:pPr>
        <w:numPr>
          <w:ilvl w:val="0"/>
          <w:numId w:val="5"/>
        </w:numPr>
        <w:spacing w:before="100" w:beforeAutospacing="1" w:after="100" w:afterAutospacing="1"/>
        <w:rPr>
          <w:rFonts w:ascii="Aptos" w:eastAsia="Times New Roman" w:hAnsi="Aptos"/>
          <w:color w:val="243044"/>
          <w:sz w:val="21"/>
          <w:szCs w:val="21"/>
          <w:lang w:val="en"/>
        </w:rPr>
      </w:pPr>
      <w:r>
        <w:rPr>
          <w:rFonts w:ascii="Aptos" w:eastAsia="Times New Roman" w:hAnsi="Aptos"/>
          <w:color w:val="243044"/>
          <w:sz w:val="21"/>
          <w:szCs w:val="21"/>
          <w:lang w:val="en"/>
        </w:rPr>
        <w:t>Choose one initial seam: Scout rollout, MOS3 contracts, publisher feeds, governance, or reliability.</w:t>
      </w:r>
    </w:p>
    <w:p w14:paraId="137B8F8D" w14:textId="77777777" w:rsidR="003F6B02" w:rsidRDefault="003F6B02">
      <w:pPr>
        <w:numPr>
          <w:ilvl w:val="0"/>
          <w:numId w:val="5"/>
        </w:numPr>
        <w:spacing w:before="100" w:beforeAutospacing="1" w:after="100" w:afterAutospacing="1"/>
        <w:rPr>
          <w:rFonts w:ascii="Aptos" w:eastAsia="Times New Roman" w:hAnsi="Aptos"/>
          <w:color w:val="243044"/>
          <w:sz w:val="21"/>
          <w:szCs w:val="21"/>
          <w:lang w:val="en"/>
        </w:rPr>
      </w:pPr>
      <w:r>
        <w:rPr>
          <w:rFonts w:ascii="Aptos" w:eastAsia="Times New Roman" w:hAnsi="Aptos"/>
          <w:color w:val="243044"/>
          <w:sz w:val="21"/>
          <w:szCs w:val="21"/>
          <w:lang w:val="en"/>
        </w:rPr>
        <w:t>Confirm a coordinating DRI and partner contacts without assuming one team implements the whole portfolio.</w:t>
      </w:r>
    </w:p>
    <w:p w14:paraId="063EE333" w14:textId="77777777" w:rsidR="003F6B02" w:rsidRDefault="003F6B02">
      <w:pPr>
        <w:numPr>
          <w:ilvl w:val="0"/>
          <w:numId w:val="5"/>
        </w:numPr>
        <w:spacing w:before="100" w:beforeAutospacing="1" w:after="100" w:afterAutospacing="1"/>
        <w:rPr>
          <w:rFonts w:ascii="Aptos" w:eastAsia="Times New Roman" w:hAnsi="Aptos"/>
          <w:color w:val="243044"/>
          <w:sz w:val="21"/>
          <w:szCs w:val="21"/>
          <w:lang w:val="en"/>
        </w:rPr>
      </w:pPr>
      <w:r>
        <w:rPr>
          <w:rFonts w:ascii="Aptos" w:eastAsia="Times New Roman" w:hAnsi="Aptos"/>
          <w:color w:val="243044"/>
          <w:sz w:val="21"/>
          <w:szCs w:val="21"/>
          <w:lang w:val="en"/>
        </w:rPr>
        <w:t>Recheck the live PRs and select a bounded first deliverable.</w:t>
      </w:r>
    </w:p>
    <w:p w14:paraId="359EE03D" w14:textId="77777777" w:rsidR="003F6B02" w:rsidRDefault="003F6B02">
      <w:pPr>
        <w:numPr>
          <w:ilvl w:val="0"/>
          <w:numId w:val="5"/>
        </w:numPr>
        <w:spacing w:before="100" w:beforeAutospacing="1" w:after="100" w:afterAutospacing="1"/>
        <w:rPr>
          <w:rFonts w:ascii="Aptos" w:eastAsia="Times New Roman" w:hAnsi="Aptos"/>
          <w:color w:val="243044"/>
          <w:sz w:val="21"/>
          <w:szCs w:val="21"/>
          <w:lang w:val="en"/>
        </w:rPr>
      </w:pPr>
      <w:r>
        <w:rPr>
          <w:rFonts w:ascii="Aptos" w:eastAsia="Times New Roman" w:hAnsi="Aptos"/>
          <w:color w:val="243044"/>
          <w:sz w:val="21"/>
          <w:szCs w:val="21"/>
          <w:lang w:val="en"/>
        </w:rPr>
        <w:t>Agree on the E2E and operational proof required before broader enablement.</w:t>
      </w:r>
    </w:p>
    <w:p w14:paraId="2B0D4D4B" w14:textId="77777777" w:rsidR="003F6B02" w:rsidRDefault="003F6B02">
      <w:pPr>
        <w:pStyle w:val="Heading2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Success measures</w:t>
      </w:r>
    </w:p>
    <w:p w14:paraId="385AF483" w14:textId="77777777" w:rsidR="003F6B02" w:rsidRDefault="003F6B02">
      <w:pPr>
        <w:numPr>
          <w:ilvl w:val="0"/>
          <w:numId w:val="6"/>
        </w:numPr>
        <w:spacing w:before="100" w:beforeAutospacing="1" w:after="100" w:afterAutospacing="1"/>
        <w:rPr>
          <w:rFonts w:ascii="Aptos" w:eastAsia="Times New Roman" w:hAnsi="Aptos"/>
          <w:color w:val="243044"/>
          <w:sz w:val="21"/>
          <w:szCs w:val="21"/>
          <w:lang w:val="en"/>
        </w:rPr>
      </w:pPr>
      <w:r>
        <w:rPr>
          <w:rFonts w:ascii="Aptos" w:eastAsia="Times New Roman" w:hAnsi="Aptos"/>
          <w:color w:val="243044"/>
          <w:sz w:val="21"/>
          <w:szCs w:val="21"/>
          <w:lang w:val="en"/>
        </w:rPr>
        <w:t>Scout feeds are safely enabled with real FirstRelease proof.</w:t>
      </w:r>
    </w:p>
    <w:p w14:paraId="14631D42" w14:textId="77777777" w:rsidR="003F6B02" w:rsidRDefault="003F6B02">
      <w:pPr>
        <w:numPr>
          <w:ilvl w:val="0"/>
          <w:numId w:val="6"/>
        </w:numPr>
        <w:spacing w:before="100" w:beforeAutospacing="1" w:after="100" w:afterAutospacing="1"/>
        <w:rPr>
          <w:rFonts w:ascii="Aptos" w:eastAsia="Times New Roman" w:hAnsi="Aptos"/>
          <w:color w:val="243044"/>
          <w:sz w:val="21"/>
          <w:szCs w:val="21"/>
          <w:lang w:val="en"/>
        </w:rPr>
      </w:pPr>
      <w:r>
        <w:rPr>
          <w:rFonts w:ascii="Aptos" w:eastAsia="Times New Roman" w:hAnsi="Aptos"/>
          <w:color w:val="243044"/>
          <w:sz w:val="21"/>
          <w:szCs w:val="21"/>
          <w:lang w:val="en"/>
        </w:rPr>
        <w:t>MOS3 owns explicit feed and RBAC contracts and remains the production authority.</w:t>
      </w:r>
    </w:p>
    <w:p w14:paraId="39663462" w14:textId="77777777" w:rsidR="003F6B02" w:rsidRDefault="003F6B02">
      <w:pPr>
        <w:numPr>
          <w:ilvl w:val="0"/>
          <w:numId w:val="6"/>
        </w:numPr>
        <w:spacing w:before="100" w:beforeAutospacing="1" w:after="100" w:afterAutospacing="1"/>
        <w:rPr>
          <w:rFonts w:ascii="Aptos" w:eastAsia="Times New Roman" w:hAnsi="Aptos"/>
          <w:color w:val="243044"/>
          <w:sz w:val="21"/>
          <w:szCs w:val="21"/>
          <w:lang w:val="en"/>
        </w:rPr>
      </w:pPr>
      <w:r>
        <w:rPr>
          <w:rFonts w:ascii="Aptos" w:eastAsia="Times New Roman" w:hAnsi="Aptos"/>
          <w:color w:val="243044"/>
          <w:sz w:val="21"/>
          <w:szCs w:val="21"/>
          <w:lang w:val="en"/>
        </w:rPr>
        <w:t>Publisher feeds have a current producer and useful OpenClaw consumer.</w:t>
      </w:r>
    </w:p>
    <w:p w14:paraId="20F4716A" w14:textId="77777777" w:rsidR="003F6B02" w:rsidRDefault="003F6B02">
      <w:pPr>
        <w:numPr>
          <w:ilvl w:val="0"/>
          <w:numId w:val="6"/>
        </w:numPr>
        <w:spacing w:before="100" w:beforeAutospacing="1" w:after="100" w:afterAutospacing="1"/>
        <w:rPr>
          <w:rFonts w:ascii="Aptos" w:eastAsia="Times New Roman" w:hAnsi="Aptos"/>
          <w:color w:val="243044"/>
          <w:sz w:val="21"/>
          <w:szCs w:val="21"/>
          <w:lang w:val="en"/>
        </w:rPr>
      </w:pPr>
      <w:r>
        <w:rPr>
          <w:rFonts w:ascii="Aptos" w:eastAsia="Times New Roman" w:hAnsi="Aptos"/>
          <w:color w:val="243044"/>
          <w:sz w:val="21"/>
          <w:szCs w:val="21"/>
          <w:lang w:val="en"/>
        </w:rPr>
        <w:t>Users and admins can explain source, revision, approval, trust, package defense, freshness, drift, and blocked reasons.</w:t>
      </w:r>
    </w:p>
    <w:p w14:paraId="5CAFB2DE" w14:textId="77777777" w:rsidR="003F6B02" w:rsidRDefault="003F6B02">
      <w:pPr>
        <w:numPr>
          <w:ilvl w:val="0"/>
          <w:numId w:val="6"/>
        </w:numPr>
        <w:spacing w:before="100" w:beforeAutospacing="1" w:after="100" w:afterAutospacing="1"/>
        <w:rPr>
          <w:rFonts w:ascii="Aptos" w:eastAsia="Times New Roman" w:hAnsi="Aptos"/>
          <w:color w:val="243044"/>
          <w:sz w:val="21"/>
          <w:szCs w:val="21"/>
          <w:lang w:val="en"/>
        </w:rPr>
      </w:pPr>
      <w:r>
        <w:rPr>
          <w:rFonts w:ascii="Aptos" w:eastAsia="Times New Roman" w:hAnsi="Aptos"/>
          <w:color w:val="243044"/>
          <w:sz w:val="21"/>
          <w:szCs w:val="21"/>
          <w:lang w:val="en"/>
        </w:rPr>
        <w:t>Community OpenClaw/ClawHub remain independently useful.</w:t>
      </w:r>
    </w:p>
    <w:p w14:paraId="5B6DD3CD" w14:textId="77777777" w:rsidR="003F6B02" w:rsidRDefault="003F6B02">
      <w:pPr>
        <w:pStyle w:val="Heading2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Companion engineering detail</w:t>
      </w:r>
    </w:p>
    <w:p w14:paraId="1F63418E" w14:textId="77777777" w:rsidR="003F6B02" w:rsidRDefault="003F6B02">
      <w:pPr>
        <w:pStyle w:val="NormalWeb"/>
        <w:rPr>
          <w:rFonts w:ascii="Aptos" w:hAnsi="Aptos"/>
          <w:color w:val="243044"/>
          <w:lang w:val="en"/>
        </w:rPr>
      </w:pPr>
      <w:r>
        <w:rPr>
          <w:rFonts w:ascii="Aptos" w:hAnsi="Aptos"/>
          <w:color w:val="243044"/>
          <w:lang w:val="en"/>
        </w:rPr>
        <w:t xml:space="preserve">A detailed engineering brief titled </w:t>
      </w:r>
      <w:r>
        <w:rPr>
          <w:rStyle w:val="Strong"/>
          <w:rFonts w:ascii="Aptos" w:hAnsi="Aptos"/>
          <w:color w:val="243044"/>
          <w:lang w:val="en"/>
        </w:rPr>
        <w:t>“Extensibility and Feeds: Collaboration and Ownership Opportunities”</w:t>
      </w:r>
      <w:r>
        <w:rPr>
          <w:rFonts w:ascii="Aptos" w:hAnsi="Aptos"/>
          <w:color w:val="243044"/>
          <w:lang w:val="en"/>
        </w:rPr>
        <w:t xml:space="preserve"> is available from Gio. It contains the complete PR inventory, architecture contracts, proposed slices, partner responsibilities, failure semantics, and definition of done.</w:t>
      </w:r>
    </w:p>
    <w:p w14:paraId="3DD6B582" w14:textId="77777777" w:rsidR="003F6B02" w:rsidRDefault="003F6B02">
      <w:pPr>
        <w:pStyle w:val="small"/>
        <w:rPr>
          <w:rFonts w:ascii="Aptos" w:hAnsi="Aptos"/>
          <w:lang w:val="en"/>
        </w:rPr>
      </w:pPr>
      <w:r>
        <w:rPr>
          <w:rFonts w:ascii="Aptos" w:hAnsi="Aptos"/>
          <w:lang w:val="en"/>
        </w:rPr>
        <w:t>Prepared 2026-07-27. PR and check status is a dated snapshot and must be refreshed before acting.</w:t>
      </w:r>
    </w:p>
    <w:sectPr w:rsidR="003F6B02" w:rsidSect="00497BD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62780" w14:textId="77777777" w:rsidR="003F6B02" w:rsidRDefault="003F6B02" w:rsidP="00497BD1">
      <w:r>
        <w:separator/>
      </w:r>
    </w:p>
  </w:endnote>
  <w:endnote w:type="continuationSeparator" w:id="0">
    <w:p w14:paraId="43EEED07" w14:textId="77777777" w:rsidR="003F6B02" w:rsidRDefault="003F6B02" w:rsidP="00497B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D04B1" w14:textId="77777777" w:rsidR="00497BD1" w:rsidRDefault="00497BD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5B3EA" w14:textId="68863B7D" w:rsidR="00497BD1" w:rsidRPr="00497BD1" w:rsidRDefault="00497BD1">
    <w:pPr>
      <w:pStyle w:val="Footer"/>
      <w:rPr>
        <w:rFonts w:ascii="Aptos" w:hAnsi="Aptos"/>
        <w:color w:val="808080"/>
        <w:sz w:val="16"/>
      </w:rPr>
    </w:pPr>
    <w:r w:rsidRPr="00497BD1">
      <w:rPr>
        <w:rFonts w:ascii="Aptos" w:hAnsi="Aptos"/>
        <w:color w:val="808080"/>
        <w:sz w:val="16"/>
      </w:rPr>
      <w:t>Prepared 2026-07-27 • Collaboration brief • Dated PR state must be refreshed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845B0" w14:textId="77777777" w:rsidR="00497BD1" w:rsidRDefault="00497B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8DDD3" w14:textId="77777777" w:rsidR="003F6B02" w:rsidRDefault="003F6B02" w:rsidP="00497BD1">
      <w:r>
        <w:separator/>
      </w:r>
    </w:p>
  </w:footnote>
  <w:footnote w:type="continuationSeparator" w:id="0">
    <w:p w14:paraId="303B49CC" w14:textId="77777777" w:rsidR="003F6B02" w:rsidRDefault="003F6B02" w:rsidP="00497B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8095D" w14:textId="77777777" w:rsidR="00497BD1" w:rsidRDefault="00497BD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3B63B" w14:textId="77777777" w:rsidR="00497BD1" w:rsidRDefault="00497BD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406AE" w14:textId="77777777" w:rsidR="00497BD1" w:rsidRDefault="00497BD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6BD0"/>
    <w:multiLevelType w:val="multilevel"/>
    <w:tmpl w:val="918E9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20387"/>
    <w:multiLevelType w:val="multilevel"/>
    <w:tmpl w:val="1166C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558C6"/>
    <w:multiLevelType w:val="multilevel"/>
    <w:tmpl w:val="FBE87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FF47AC"/>
    <w:multiLevelType w:val="multilevel"/>
    <w:tmpl w:val="1958A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C97EE2"/>
    <w:multiLevelType w:val="multilevel"/>
    <w:tmpl w:val="D3A0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AF770E"/>
    <w:multiLevelType w:val="multilevel"/>
    <w:tmpl w:val="60726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6161754">
    <w:abstractNumId w:val="3"/>
  </w:num>
  <w:num w:numId="2" w16cid:durableId="1706980209">
    <w:abstractNumId w:val="1"/>
  </w:num>
  <w:num w:numId="3" w16cid:durableId="1914585134">
    <w:abstractNumId w:val="0"/>
  </w:num>
  <w:num w:numId="4" w16cid:durableId="1609464056">
    <w:abstractNumId w:val="5"/>
  </w:num>
  <w:num w:numId="5" w16cid:durableId="2092853629">
    <w:abstractNumId w:val="2"/>
  </w:num>
  <w:num w:numId="6" w16cid:durableId="5735868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BD1"/>
    <w:rsid w:val="003E3289"/>
    <w:rsid w:val="003F6B02"/>
    <w:rsid w:val="00497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A54385"/>
  <w15:chartTrackingRefBased/>
  <w15:docId w15:val="{DA6A3FBC-F03B-4730-AA95-FF147EFA6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80"/>
      <w:outlineLvl w:val="0"/>
    </w:pPr>
    <w:rPr>
      <w:b/>
      <w:bCs/>
      <w:color w:val="17365D"/>
      <w:kern w:val="36"/>
      <w:sz w:val="52"/>
      <w:szCs w:val="52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9DC3E6"/>
      </w:pBdr>
      <w:spacing w:before="400" w:after="100" w:afterAutospacing="1"/>
      <w:outlineLvl w:val="1"/>
    </w:pPr>
    <w:rPr>
      <w:b/>
      <w:bCs/>
      <w:color w:val="1F4E79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60"/>
      <w:outlineLvl w:val="2"/>
    </w:pPr>
    <w:rPr>
      <w:b/>
      <w:bCs/>
      <w:color w:val="2F559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  <w:rPr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sz w:val="21"/>
      <w:szCs w:val="21"/>
    </w:rPr>
  </w:style>
  <w:style w:type="paragraph" w:customStyle="1" w:styleId="subtitle">
    <w:name w:val="subtitle"/>
    <w:basedOn w:val="Normal"/>
    <w:pPr>
      <w:spacing w:after="100" w:afterAutospacing="1"/>
    </w:pPr>
    <w:rPr>
      <w:color w:val="5B6573"/>
    </w:rPr>
  </w:style>
  <w:style w:type="paragraph" w:customStyle="1" w:styleId="vision">
    <w:name w:val="vision"/>
    <w:basedOn w:val="Normal"/>
    <w:pPr>
      <w:pBdr>
        <w:left w:val="single" w:sz="36" w:space="16" w:color="2F75B5"/>
      </w:pBdr>
      <w:shd w:val="clear" w:color="auto" w:fill="EAF2F8"/>
      <w:spacing w:before="100" w:beforeAutospacing="1" w:after="100" w:afterAutospacing="1"/>
    </w:pPr>
    <w:rPr>
      <w:b/>
      <w:bCs/>
      <w:sz w:val="28"/>
      <w:szCs w:val="28"/>
    </w:rPr>
  </w:style>
  <w:style w:type="paragraph" w:customStyle="1" w:styleId="callout">
    <w:name w:val="callout"/>
    <w:basedOn w:val="Normal"/>
    <w:pPr>
      <w:pBdr>
        <w:top w:val="single" w:sz="6" w:space="10" w:color="C9D5E3"/>
        <w:left w:val="single" w:sz="6" w:space="14" w:color="C9D5E3"/>
        <w:bottom w:val="single" w:sz="6" w:space="10" w:color="C9D5E3"/>
        <w:right w:val="single" w:sz="6" w:space="14" w:color="C9D5E3"/>
      </w:pBdr>
      <w:shd w:val="clear" w:color="auto" w:fill="F3F6F9"/>
      <w:spacing w:before="100" w:beforeAutospacing="1" w:after="100" w:afterAutospacing="1"/>
    </w:pPr>
    <w:rPr>
      <w:sz w:val="21"/>
      <w:szCs w:val="21"/>
    </w:rPr>
  </w:style>
  <w:style w:type="paragraph" w:customStyle="1" w:styleId="small">
    <w:name w:val="small"/>
    <w:basedOn w:val="Normal"/>
    <w:pPr>
      <w:spacing w:before="100" w:beforeAutospacing="1" w:after="100" w:afterAutospacing="1"/>
    </w:pPr>
    <w:rPr>
      <w:color w:val="657080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paragraph" w:styleId="Header">
    <w:name w:val="header"/>
    <w:basedOn w:val="Normal"/>
    <w:link w:val="HeaderChar"/>
    <w:uiPriority w:val="99"/>
    <w:unhideWhenUsed/>
    <w:rsid w:val="00497BD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97BD1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97BD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97BD1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278772">
      <w:marLeft w:val="0"/>
      <w:marRight w:val="0"/>
      <w:marTop w:val="0"/>
      <w:marBottom w:val="0"/>
      <w:divBdr>
        <w:top w:val="none" w:sz="0" w:space="0" w:color="auto"/>
        <w:left w:val="single" w:sz="36" w:space="16" w:color="2F75B5"/>
        <w:bottom w:val="none" w:sz="0" w:space="0" w:color="auto"/>
        <w:right w:val="none" w:sz="0" w:space="0" w:color="auto"/>
      </w:divBdr>
    </w:div>
    <w:div w:id="2129615896">
      <w:marLeft w:val="0"/>
      <w:marRight w:val="0"/>
      <w:marTop w:val="0"/>
      <w:marBottom w:val="0"/>
      <w:divBdr>
        <w:top w:val="single" w:sz="6" w:space="10" w:color="C9D5E3"/>
        <w:left w:val="single" w:sz="6" w:space="14" w:color="C9D5E3"/>
        <w:bottom w:val="single" w:sz="6" w:space="10" w:color="C9D5E3"/>
        <w:right w:val="single" w:sz="6" w:space="14" w:color="C9D5E3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microsoft.ghe.com/bic/lobster/pull/5424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863</Words>
  <Characters>4922</Characters>
  <Application>Microsoft Office Word</Application>
  <DocSecurity>4</DocSecurity>
  <Lines>41</Lines>
  <Paragraphs>11</Paragraphs>
  <ScaleCrop>false</ScaleCrop>
  <Company/>
  <LinksUpToDate>false</LinksUpToDate>
  <CharactersWithSpaces>5774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Extensibility and Feeds — Collaboration Opportunities</dc:title>
  <dc:subject/>
  <dc:creator>Gio Della-Libera</dc:creator>
  <cp:keywords/>
  <dc:description/>
  <cp:lastModifiedBy>Gio Della-Libera</cp:lastModifiedBy>
  <cp:revision>2</cp:revision>
  <dcterms:created xsi:type="dcterms:W3CDTF">2026-07-27T21:43:00Z</dcterms:created>
  <dcterms:modified xsi:type="dcterms:W3CDTF">2026-07-27T21:43:00Z</dcterms:modified>
</cp:coreProperties>
</file>