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DB8DB" w14:textId="77777777" w:rsidR="00FC0038" w:rsidRDefault="00FC0038">
      <w:pPr>
        <w:pStyle w:val="Heading1"/>
        <w:rPr>
          <w:rFonts w:ascii="Aptos" w:eastAsia="Times New Roman" w:hAnsi="Aptos"/>
          <w:lang w:val="en"/>
        </w:rPr>
      </w:pPr>
      <w:r>
        <w:rPr>
          <w:rFonts w:ascii="Aptos" w:eastAsia="Times New Roman" w:hAnsi="Aptos"/>
          <w:lang w:val="en"/>
        </w:rPr>
        <w:t>OpenClaw Feeds</w:t>
      </w:r>
    </w:p>
    <w:p w14:paraId="4229766F" w14:textId="77777777" w:rsidR="00FC0038" w:rsidRDefault="00FC0038">
      <w:pPr>
        <w:pStyle w:val="subtitle"/>
        <w:rPr>
          <w:rFonts w:ascii="Aptos" w:hAnsi="Aptos"/>
          <w:lang w:val="en"/>
        </w:rPr>
      </w:pPr>
      <w:r>
        <w:rPr>
          <w:rFonts w:ascii="Aptos" w:hAnsi="Aptos"/>
          <w:lang w:val="en"/>
        </w:rPr>
        <w:t>Expert review and collaboration brief across OpenClaw, ClawHub, Scout, and MOS3</w:t>
      </w:r>
    </w:p>
    <w:p w14:paraId="4BB16819" w14:textId="77777777" w:rsidR="00FC0038" w:rsidRDefault="00FC0038">
      <w:pPr>
        <w:shd w:val="clear" w:color="auto" w:fill="EAF2F8"/>
        <w:divId w:val="2114205952"/>
        <w:rPr>
          <w:rFonts w:ascii="Aptos" w:eastAsia="Times New Roman" w:hAnsi="Aptos"/>
          <w:b/>
          <w:bCs/>
          <w:color w:val="243044"/>
          <w:sz w:val="28"/>
          <w:szCs w:val="28"/>
          <w:lang w:val="en"/>
        </w:rPr>
      </w:pPr>
      <w:r>
        <w:rPr>
          <w:rFonts w:ascii="Aptos" w:eastAsia="Times New Roman" w:hAnsi="Aptos"/>
          <w:b/>
          <w:bCs/>
          <w:color w:val="243044"/>
          <w:sz w:val="28"/>
          <w:szCs w:val="28"/>
          <w:lang w:val="en"/>
        </w:rPr>
        <w:t>Build a safe, open feed system for discovering, following, verifying, installing, and updating extensions—while keeping discovery, trust, approval, and installation as distinct decisions.</w:t>
      </w:r>
    </w:p>
    <w:p w14:paraId="6FF376DF" w14:textId="77777777" w:rsidR="00FC0038" w:rsidRDefault="00FC0038">
      <w:pPr>
        <w:pStyle w:val="Heading2"/>
        <w:rPr>
          <w:rFonts w:ascii="Aptos" w:eastAsia="Times New Roman" w:hAnsi="Aptos"/>
          <w:lang w:val="en"/>
        </w:rPr>
      </w:pPr>
      <w:r>
        <w:rPr>
          <w:rFonts w:ascii="Aptos" w:eastAsia="Times New Roman" w:hAnsi="Aptos"/>
          <w:lang w:val="en"/>
        </w:rPr>
        <w:t>Purpose</w:t>
      </w:r>
    </w:p>
    <w:p w14:paraId="6A244983" w14:textId="77777777" w:rsidR="00FC0038" w:rsidRDefault="00FC0038">
      <w:pPr>
        <w:pStyle w:val="NormalWeb"/>
        <w:rPr>
          <w:rFonts w:ascii="Aptos" w:hAnsi="Aptos"/>
          <w:color w:val="243044"/>
          <w:lang w:val="en"/>
        </w:rPr>
      </w:pPr>
      <w:r>
        <w:rPr>
          <w:rFonts w:ascii="Aptos" w:hAnsi="Aptos"/>
          <w:color w:val="243044"/>
          <w:lang w:val="en"/>
        </w:rPr>
        <w:t xml:space="preserve">This document summarizes what Gio has built and proposed, what remains in flight, and where a feeds expert's judgment would help. It is </w:t>
      </w:r>
      <w:r>
        <w:rPr>
          <w:rStyle w:val="Strong"/>
          <w:rFonts w:ascii="Aptos" w:hAnsi="Aptos"/>
          <w:color w:val="243044"/>
          <w:lang w:val="en"/>
        </w:rPr>
        <w:t>not a work assignment or ownership-transfer request</w:t>
      </w:r>
      <w:r>
        <w:rPr>
          <w:rFonts w:ascii="Aptos" w:hAnsi="Aptos"/>
          <w:color w:val="243044"/>
          <w:lang w:val="en"/>
        </w:rPr>
        <w:t>. The requested contribution is expert advice: challenge the architecture, review the protocol and PR boundaries, identify missing failure modes, and recommend how Gio should simplify or sequence the work. Gio remains responsible for PR ownership and follow-through.</w:t>
      </w:r>
    </w:p>
    <w:p w14:paraId="0D251437" w14:textId="77777777" w:rsidR="00FC0038" w:rsidRDefault="00FC0038">
      <w:pPr>
        <w:pStyle w:val="Heading2"/>
        <w:rPr>
          <w:rFonts w:ascii="Aptos" w:eastAsia="Times New Roman" w:hAnsi="Aptos"/>
          <w:lang w:val="en"/>
        </w:rPr>
      </w:pPr>
      <w:r>
        <w:rPr>
          <w:rFonts w:ascii="Aptos" w:eastAsia="Times New Roman" w:hAnsi="Aptos"/>
          <w:lang w:val="en"/>
        </w:rPr>
        <w:t>Architecture at a glance</w:t>
      </w:r>
    </w:p>
    <w:tbl>
      <w:tblPr>
        <w:tblW w:w="5000" w:type="pct"/>
        <w:tblCellMar>
          <w:top w:w="15" w:type="dxa"/>
          <w:left w:w="15" w:type="dxa"/>
          <w:bottom w:w="15" w:type="dxa"/>
          <w:right w:w="15" w:type="dxa"/>
        </w:tblCellMar>
        <w:tblLook w:val="04A0" w:firstRow="1" w:lastRow="0" w:firstColumn="1" w:lastColumn="0" w:noHBand="0" w:noVBand="1"/>
      </w:tblPr>
      <w:tblGrid>
        <w:gridCol w:w="1492"/>
        <w:gridCol w:w="8876"/>
      </w:tblGrid>
      <w:tr w:rsidR="00000000" w14:paraId="6998E347" w14:textId="77777777">
        <w:tc>
          <w:tcPr>
            <w:tcW w:w="0" w:type="auto"/>
            <w:shd w:val="clear" w:color="auto" w:fill="1F4E79"/>
            <w:tcMar>
              <w:top w:w="140" w:type="dxa"/>
              <w:left w:w="140" w:type="dxa"/>
              <w:bottom w:w="140" w:type="dxa"/>
              <w:right w:w="140" w:type="dxa"/>
            </w:tcMar>
            <w:vAlign w:val="center"/>
            <w:hideMark/>
          </w:tcPr>
          <w:p w14:paraId="62852B7D" w14:textId="77777777" w:rsidR="00FC0038" w:rsidRDefault="00FC0038">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Area</w:t>
            </w:r>
          </w:p>
        </w:tc>
        <w:tc>
          <w:tcPr>
            <w:tcW w:w="0" w:type="auto"/>
            <w:shd w:val="clear" w:color="auto" w:fill="1F4E79"/>
            <w:tcMar>
              <w:top w:w="140" w:type="dxa"/>
              <w:left w:w="140" w:type="dxa"/>
              <w:bottom w:w="140" w:type="dxa"/>
              <w:right w:w="140" w:type="dxa"/>
            </w:tcMar>
            <w:vAlign w:val="center"/>
            <w:hideMark/>
          </w:tcPr>
          <w:p w14:paraId="29E24C61" w14:textId="77777777" w:rsidR="00FC0038" w:rsidRDefault="00FC0038">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Role</w:t>
            </w:r>
          </w:p>
        </w:tc>
      </w:tr>
      <w:tr w:rsidR="00000000" w14:paraId="53559BC3"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295403EB"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OpenClaw</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17272225"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Generic subscription, verification, refresh, cache, search, install, Gateway lifecycle, and UI primitives.</w:t>
            </w:r>
          </w:p>
        </w:tc>
      </w:tr>
      <w:tr w:rsidR="00000000" w14:paraId="6155B7E5"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16457C22"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ClawHub</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02B7D43C"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Public/community catalog and publisher-feed history, query, delta, snapshot, and signing services.</w:t>
            </w:r>
          </w:p>
        </w:tc>
      </w:tr>
      <w:tr w:rsidR="00000000" w14:paraId="5A0BE55C"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07CAB94"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MOS3 / MAC</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9CF2003"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Microsoft registry, acquisitions, package defense, scope/RBAC, policy, and effective enterprise-feed composition.</w:t>
            </w:r>
          </w:p>
        </w:tc>
      </w:tr>
      <w:tr w:rsidR="00000000" w14:paraId="0C9127C6"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156AE533"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Lobster / Scout</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40E782C9"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Microsoft-hosted adapter, product UX, E2E, rollout, observability, and support.</w:t>
            </w:r>
          </w:p>
        </w:tc>
      </w:tr>
    </w:tbl>
    <w:p w14:paraId="37AF86BC" w14:textId="77777777" w:rsidR="00FC0038" w:rsidRDefault="00FC0038">
      <w:pPr>
        <w:shd w:val="clear" w:color="auto" w:fill="F3F6F9"/>
        <w:divId w:val="1999072555"/>
        <w:rPr>
          <w:rFonts w:ascii="Aptos" w:eastAsia="Times New Roman" w:hAnsi="Aptos"/>
          <w:color w:val="243044"/>
          <w:lang w:val="en"/>
        </w:rPr>
      </w:pPr>
      <w:r>
        <w:rPr>
          <w:rStyle w:val="Strong"/>
          <w:rFonts w:ascii="Aptos" w:eastAsia="Times New Roman" w:hAnsi="Aptos"/>
          <w:color w:val="243044"/>
          <w:lang w:val="en"/>
        </w:rPr>
        <w:t>Safety invariants:</w:t>
      </w:r>
      <w:r>
        <w:rPr>
          <w:rFonts w:ascii="Aptos" w:eastAsia="Times New Roman" w:hAnsi="Aptos"/>
          <w:color w:val="243044"/>
          <w:lang w:val="en"/>
        </w:rPr>
        <w:t xml:space="preserve"> </w:t>
      </w:r>
      <w:r>
        <w:rPr>
          <w:rFonts w:ascii="Aptos" w:eastAsia="Times New Roman" w:hAnsi="Aptos"/>
          <w:color w:val="243044"/>
          <w:lang w:val="en"/>
        </w:rPr>
        <w:t>following is not trust or installation; authenticity, integrity, approval, and runtime trust are separate; installs use exact approved versions; rollback is rejected; refresh retains previous-good state and never widens access.</w:t>
      </w:r>
    </w:p>
    <w:p w14:paraId="63D0AFCA" w14:textId="77777777" w:rsidR="00FC0038" w:rsidRDefault="00FC0038">
      <w:pPr>
        <w:pStyle w:val="Heading2"/>
        <w:rPr>
          <w:rFonts w:ascii="Aptos" w:eastAsia="Times New Roman" w:hAnsi="Aptos"/>
          <w:lang w:val="en"/>
        </w:rPr>
      </w:pPr>
      <w:r>
        <w:rPr>
          <w:rFonts w:ascii="Aptos" w:eastAsia="Times New Roman" w:hAnsi="Aptos"/>
          <w:lang w:val="en"/>
        </w:rPr>
        <w:lastRenderedPageBreak/>
        <w:t>Work completed</w:t>
      </w:r>
    </w:p>
    <w:p w14:paraId="57F4BBE3" w14:textId="77777777" w:rsidR="00FC0038" w:rsidRDefault="00FC0038">
      <w:pPr>
        <w:numPr>
          <w:ilvl w:val="0"/>
          <w:numId w:val="1"/>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OpenClaw signed-feed prerequisites #101981, #110037, and #108342 have landed.</w:t>
      </w:r>
    </w:p>
    <w:p w14:paraId="62D8D5B2" w14:textId="77777777" w:rsidR="00FC0038" w:rsidRDefault="00FC0038">
      <w:pPr>
        <w:numPr>
          <w:ilvl w:val="0"/>
          <w:numId w:val="1"/>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The older native-feed experiment was closed; current work uses publisher feeds and scalable signed catalogs.</w:t>
      </w:r>
    </w:p>
    <w:p w14:paraId="338AEC86" w14:textId="77777777" w:rsidR="00FC0038" w:rsidRDefault="00FC0038">
      <w:pPr>
        <w:numPr>
          <w:ilvl w:val="0"/>
          <w:numId w:val="1"/>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Scout/Lobster supports local search/install/publish, MOS3 catalog projection and personal acquisitions, hosted tenant/personal routes, marketplace search/install/admin approval/publish/state, and personal/policy publishing foundations.</w:t>
      </w:r>
    </w:p>
    <w:p w14:paraId="73A0A8DE" w14:textId="77777777" w:rsidR="00FC0038" w:rsidRDefault="00FC0038">
      <w:pPr>
        <w:numPr>
          <w:ilvl w:val="0"/>
          <w:numId w:val="1"/>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A 301-user FirstRelease E2E proved marketplace discovery and installation.</w:t>
      </w:r>
    </w:p>
    <w:p w14:paraId="757B44D5" w14:textId="77777777" w:rsidR="00FC0038" w:rsidRDefault="00FC0038">
      <w:pPr>
        <w:numPr>
          <w:ilvl w:val="0"/>
          <w:numId w:val="1"/>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 xml:space="preserve">A Lobster draft is aligning Builder API publish with multipart </w:t>
      </w:r>
      <w:r>
        <w:rPr>
          <w:rStyle w:val="HTMLCode"/>
          <w:color w:val="243044"/>
          <w:lang w:val="en"/>
        </w:rPr>
        <w:t>package</w:t>
      </w:r>
      <w:r>
        <w:rPr>
          <w:rFonts w:ascii="Aptos" w:eastAsia="Times New Roman" w:hAnsi="Aptos"/>
          <w:color w:val="243044"/>
          <w:sz w:val="21"/>
          <w:szCs w:val="21"/>
          <w:lang w:val="en"/>
        </w:rPr>
        <w:t xml:space="preserve"> plus JSON </w:t>
      </w:r>
      <w:r>
        <w:rPr>
          <w:rStyle w:val="HTMLCode"/>
          <w:color w:val="243044"/>
          <w:lang w:val="en"/>
        </w:rPr>
        <w:t>info</w:t>
      </w:r>
      <w:r>
        <w:rPr>
          <w:rFonts w:ascii="Aptos" w:eastAsia="Times New Roman" w:hAnsi="Aptos"/>
          <w:color w:val="243044"/>
          <w:sz w:val="21"/>
          <w:szCs w:val="21"/>
          <w:lang w:val="en"/>
        </w:rPr>
        <w:t xml:space="preserve"> carrying </w:t>
      </w:r>
      <w:r>
        <w:rPr>
          <w:rStyle w:val="HTMLCode"/>
          <w:color w:val="243044"/>
          <w:lang w:val="en"/>
        </w:rPr>
        <w:t>builderName: ScoutCloud</w:t>
      </w:r>
      <w:r>
        <w:rPr>
          <w:rFonts w:ascii="Aptos" w:eastAsia="Times New Roman" w:hAnsi="Aptos"/>
          <w:color w:val="243044"/>
          <w:sz w:val="21"/>
          <w:szCs w:val="21"/>
          <w:lang w:val="en"/>
        </w:rPr>
        <w:t>; it awaits MOS3 enum rollout and publish authorization.</w:t>
      </w:r>
    </w:p>
    <w:p w14:paraId="150C86B5" w14:textId="77777777" w:rsidR="00FC0038" w:rsidRDefault="00FC0038">
      <w:pPr>
        <w:pStyle w:val="Heading2"/>
        <w:rPr>
          <w:rFonts w:ascii="Aptos" w:eastAsia="Times New Roman" w:hAnsi="Aptos"/>
          <w:lang w:val="en"/>
        </w:rPr>
      </w:pPr>
      <w:r>
        <w:rPr>
          <w:rFonts w:ascii="Aptos" w:eastAsia="Times New Roman" w:hAnsi="Aptos"/>
          <w:lang w:val="en"/>
        </w:rPr>
        <w:t>Open work and review seams</w:t>
      </w:r>
    </w:p>
    <w:p w14:paraId="1C9893D0" w14:textId="77777777" w:rsidR="00FC0038" w:rsidRDefault="00FC0038">
      <w:pPr>
        <w:pStyle w:val="Heading3"/>
        <w:rPr>
          <w:rFonts w:ascii="Aptos" w:eastAsia="Times New Roman" w:hAnsi="Aptos"/>
          <w:lang w:val="en"/>
        </w:rPr>
      </w:pPr>
      <w:r>
        <w:rPr>
          <w:rFonts w:ascii="Aptos" w:eastAsia="Times New Roman" w:hAnsi="Aptos"/>
          <w:lang w:val="en"/>
        </w:rPr>
        <w:t>Protocol</w:t>
      </w:r>
    </w:p>
    <w:p w14:paraId="246B6609" w14:textId="77777777" w:rsidR="00FC0038" w:rsidRDefault="00FC0038">
      <w:pPr>
        <w:pStyle w:val="NormalWeb"/>
        <w:rPr>
          <w:rFonts w:ascii="Aptos" w:hAnsi="Aptos"/>
          <w:color w:val="243044"/>
          <w:lang w:val="en"/>
        </w:rPr>
      </w:pPr>
      <w:hyperlink r:id="rId7" w:history="1">
        <w:r>
          <w:rPr>
            <w:rStyle w:val="Hyperlink"/>
            <w:rFonts w:ascii="Aptos" w:hAnsi="Aptos"/>
            <w:lang w:val="en"/>
          </w:rPr>
          <w:t>RFC #39</w:t>
        </w:r>
      </w:hyperlink>
      <w:r>
        <w:rPr>
          <w:rFonts w:ascii="Aptos" w:hAnsi="Aptos"/>
          <w:color w:val="243044"/>
          <w:lang w:val="en"/>
        </w:rPr>
        <w:t xml:space="preserve"> aligns Hosted Feed v1 specifications. It is open, non-draft, and clean. This is the best whole-protocol review point.</w:t>
      </w:r>
    </w:p>
    <w:p w14:paraId="47362815" w14:textId="77777777" w:rsidR="00FC0038" w:rsidRDefault="00FC0038">
      <w:pPr>
        <w:pStyle w:val="Heading3"/>
        <w:rPr>
          <w:rFonts w:ascii="Aptos" w:eastAsia="Times New Roman" w:hAnsi="Aptos"/>
          <w:lang w:val="en"/>
        </w:rPr>
      </w:pPr>
      <w:r>
        <w:rPr>
          <w:rFonts w:ascii="Aptos" w:eastAsia="Times New Roman" w:hAnsi="Aptos"/>
          <w:lang w:val="en"/>
        </w:rPr>
        <w:t>Publisher-feed producer in ClawHub</w:t>
      </w:r>
    </w:p>
    <w:tbl>
      <w:tblPr>
        <w:tblW w:w="5000" w:type="pct"/>
        <w:tblCellMar>
          <w:top w:w="15" w:type="dxa"/>
          <w:left w:w="15" w:type="dxa"/>
          <w:bottom w:w="15" w:type="dxa"/>
          <w:right w:w="15" w:type="dxa"/>
        </w:tblCellMar>
        <w:tblLook w:val="04A0" w:firstRow="1" w:lastRow="0" w:firstColumn="1" w:lastColumn="0" w:noHBand="0" w:noVBand="1"/>
      </w:tblPr>
      <w:tblGrid>
        <w:gridCol w:w="972"/>
        <w:gridCol w:w="4842"/>
        <w:gridCol w:w="4554"/>
      </w:tblGrid>
      <w:tr w:rsidR="00000000" w14:paraId="4378BD50" w14:textId="77777777">
        <w:tc>
          <w:tcPr>
            <w:tcW w:w="0" w:type="auto"/>
            <w:shd w:val="clear" w:color="auto" w:fill="1F4E79"/>
            <w:tcMar>
              <w:top w:w="140" w:type="dxa"/>
              <w:left w:w="140" w:type="dxa"/>
              <w:bottom w:w="140" w:type="dxa"/>
              <w:right w:w="140" w:type="dxa"/>
            </w:tcMar>
            <w:vAlign w:val="center"/>
            <w:hideMark/>
          </w:tcPr>
          <w:p w14:paraId="03AC8C0B" w14:textId="77777777" w:rsidR="00FC0038" w:rsidRDefault="00FC0038">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PR</w:t>
            </w:r>
          </w:p>
        </w:tc>
        <w:tc>
          <w:tcPr>
            <w:tcW w:w="0" w:type="auto"/>
            <w:shd w:val="clear" w:color="auto" w:fill="1F4E79"/>
            <w:tcMar>
              <w:top w:w="140" w:type="dxa"/>
              <w:left w:w="140" w:type="dxa"/>
              <w:bottom w:w="140" w:type="dxa"/>
              <w:right w:w="140" w:type="dxa"/>
            </w:tcMar>
            <w:vAlign w:val="center"/>
            <w:hideMark/>
          </w:tcPr>
          <w:p w14:paraId="0D853061" w14:textId="77777777" w:rsidR="00FC0038" w:rsidRDefault="00FC0038">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Slice</w:t>
            </w:r>
          </w:p>
        </w:tc>
        <w:tc>
          <w:tcPr>
            <w:tcW w:w="0" w:type="auto"/>
            <w:shd w:val="clear" w:color="auto" w:fill="1F4E79"/>
            <w:tcMar>
              <w:top w:w="140" w:type="dxa"/>
              <w:left w:w="140" w:type="dxa"/>
              <w:bottom w:w="140" w:type="dxa"/>
              <w:right w:w="140" w:type="dxa"/>
            </w:tcMar>
            <w:vAlign w:val="center"/>
            <w:hideMark/>
          </w:tcPr>
          <w:p w14:paraId="499DBD6C" w14:textId="77777777" w:rsidR="00FC0038" w:rsidRDefault="00FC0038">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2026-07-27 state</w:t>
            </w:r>
          </w:p>
        </w:tc>
      </w:tr>
      <w:tr w:rsidR="00000000" w14:paraId="3BA1868F"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0A03812E" w14:textId="77777777" w:rsidR="00FC0038" w:rsidRDefault="00FC0038">
            <w:pPr>
              <w:spacing w:before="160" w:after="280"/>
              <w:rPr>
                <w:rFonts w:ascii="Aptos" w:eastAsia="Times New Roman" w:hAnsi="Aptos"/>
                <w:color w:val="243044"/>
                <w:sz w:val="19"/>
                <w:szCs w:val="19"/>
              </w:rPr>
            </w:pPr>
            <w:hyperlink r:id="rId8" w:history="1">
              <w:r>
                <w:rPr>
                  <w:rStyle w:val="Hyperlink"/>
                  <w:rFonts w:ascii="Aptos" w:eastAsia="Times New Roman" w:hAnsi="Aptos"/>
                  <w:sz w:val="19"/>
                  <w:szCs w:val="19"/>
                </w:rPr>
                <w:t>#2948</w:t>
              </w:r>
            </w:hyperlink>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437F7064"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Publisher identity, snapshot model, base API</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0B078C64"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Non-draft; conflicting; changes requested</w:t>
            </w:r>
          </w:p>
        </w:tc>
      </w:tr>
      <w:tr w:rsidR="00000000" w14:paraId="2F3C700D"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EB3F890" w14:textId="77777777" w:rsidR="00FC0038" w:rsidRDefault="00FC0038">
            <w:pPr>
              <w:spacing w:before="160" w:after="280"/>
              <w:rPr>
                <w:rFonts w:ascii="Aptos" w:eastAsia="Times New Roman" w:hAnsi="Aptos"/>
                <w:color w:val="243044"/>
                <w:sz w:val="19"/>
                <w:szCs w:val="19"/>
              </w:rPr>
            </w:pPr>
            <w:hyperlink r:id="rId9" w:history="1">
              <w:r>
                <w:rPr>
                  <w:rStyle w:val="Hyperlink"/>
                  <w:rFonts w:ascii="Aptos" w:eastAsia="Times New Roman" w:hAnsi="Aptos"/>
                  <w:sz w:val="19"/>
                  <w:szCs w:val="19"/>
                </w:rPr>
                <w:t>#3116</w:t>
              </w:r>
            </w:hyperlink>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19537346"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Durable revisions, query, and delta state</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179F86E"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Draft; conflicting</w:t>
            </w:r>
          </w:p>
        </w:tc>
      </w:tr>
      <w:tr w:rsidR="00000000" w14:paraId="1FD0AB22"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CA35F44" w14:textId="77777777" w:rsidR="00FC0038" w:rsidRDefault="00FC0038">
            <w:pPr>
              <w:spacing w:before="160" w:after="280"/>
              <w:rPr>
                <w:rFonts w:ascii="Aptos" w:eastAsia="Times New Roman" w:hAnsi="Aptos"/>
                <w:color w:val="243044"/>
                <w:sz w:val="19"/>
                <w:szCs w:val="19"/>
              </w:rPr>
            </w:pPr>
            <w:hyperlink r:id="rId10" w:history="1">
              <w:r>
                <w:rPr>
                  <w:rStyle w:val="Hyperlink"/>
                  <w:rFonts w:ascii="Aptos" w:eastAsia="Times New Roman" w:hAnsi="Aptos"/>
                  <w:sz w:val="19"/>
                  <w:szCs w:val="19"/>
                </w:rPr>
                <w:t>#3117</w:t>
              </w:r>
            </w:hyperlink>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628A848D"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Signed snapshot, query, change, and reset</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770BEEAF"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Draft; conflicting</w:t>
            </w:r>
          </w:p>
        </w:tc>
      </w:tr>
    </w:tbl>
    <w:p w14:paraId="2341FF0F" w14:textId="77777777" w:rsidR="00FC0038" w:rsidRDefault="00FC0038">
      <w:pPr>
        <w:pStyle w:val="Heading3"/>
        <w:rPr>
          <w:rFonts w:ascii="Aptos" w:eastAsia="Times New Roman" w:hAnsi="Aptos"/>
          <w:lang w:val="en"/>
        </w:rPr>
      </w:pPr>
      <w:r>
        <w:rPr>
          <w:rFonts w:ascii="Aptos" w:eastAsia="Times New Roman" w:hAnsi="Aptos"/>
          <w:lang w:val="en"/>
        </w:rPr>
        <w:t>Publisher-feed consumer in OpenClaw</w:t>
      </w:r>
    </w:p>
    <w:tbl>
      <w:tblPr>
        <w:tblW w:w="5000" w:type="pct"/>
        <w:tblCellMar>
          <w:top w:w="15" w:type="dxa"/>
          <w:left w:w="15" w:type="dxa"/>
          <w:bottom w:w="15" w:type="dxa"/>
          <w:right w:w="15" w:type="dxa"/>
        </w:tblCellMar>
        <w:tblLook w:val="04A0" w:firstRow="1" w:lastRow="0" w:firstColumn="1" w:lastColumn="0" w:noHBand="0" w:noVBand="1"/>
      </w:tblPr>
      <w:tblGrid>
        <w:gridCol w:w="992"/>
        <w:gridCol w:w="3742"/>
        <w:gridCol w:w="5634"/>
      </w:tblGrid>
      <w:tr w:rsidR="00000000" w14:paraId="10C37768" w14:textId="77777777">
        <w:tc>
          <w:tcPr>
            <w:tcW w:w="0" w:type="auto"/>
            <w:shd w:val="clear" w:color="auto" w:fill="1F4E79"/>
            <w:tcMar>
              <w:top w:w="140" w:type="dxa"/>
              <w:left w:w="140" w:type="dxa"/>
              <w:bottom w:w="140" w:type="dxa"/>
              <w:right w:w="140" w:type="dxa"/>
            </w:tcMar>
            <w:vAlign w:val="center"/>
            <w:hideMark/>
          </w:tcPr>
          <w:p w14:paraId="35E2B5C5" w14:textId="77777777" w:rsidR="00FC0038" w:rsidRDefault="00FC0038">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PR</w:t>
            </w:r>
          </w:p>
        </w:tc>
        <w:tc>
          <w:tcPr>
            <w:tcW w:w="0" w:type="auto"/>
            <w:shd w:val="clear" w:color="auto" w:fill="1F4E79"/>
            <w:tcMar>
              <w:top w:w="140" w:type="dxa"/>
              <w:left w:w="140" w:type="dxa"/>
              <w:bottom w:w="140" w:type="dxa"/>
              <w:right w:w="140" w:type="dxa"/>
            </w:tcMar>
            <w:vAlign w:val="center"/>
            <w:hideMark/>
          </w:tcPr>
          <w:p w14:paraId="55641FCE" w14:textId="77777777" w:rsidR="00FC0038" w:rsidRDefault="00FC0038">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Slice</w:t>
            </w:r>
          </w:p>
        </w:tc>
        <w:tc>
          <w:tcPr>
            <w:tcW w:w="0" w:type="auto"/>
            <w:shd w:val="clear" w:color="auto" w:fill="1F4E79"/>
            <w:tcMar>
              <w:top w:w="140" w:type="dxa"/>
              <w:left w:w="140" w:type="dxa"/>
              <w:bottom w:w="140" w:type="dxa"/>
              <w:right w:w="140" w:type="dxa"/>
            </w:tcMar>
            <w:vAlign w:val="center"/>
            <w:hideMark/>
          </w:tcPr>
          <w:p w14:paraId="7D25087C" w14:textId="77777777" w:rsidR="00FC0038" w:rsidRDefault="00FC0038">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Recommendation</w:t>
            </w:r>
          </w:p>
        </w:tc>
      </w:tr>
      <w:tr w:rsidR="00000000" w14:paraId="3D9D0172"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5C89C16" w14:textId="77777777" w:rsidR="00FC0038" w:rsidRDefault="00FC0038">
            <w:pPr>
              <w:spacing w:before="160" w:after="280"/>
              <w:rPr>
                <w:rFonts w:ascii="Aptos" w:eastAsia="Times New Roman" w:hAnsi="Aptos"/>
                <w:color w:val="243044"/>
                <w:sz w:val="19"/>
                <w:szCs w:val="19"/>
              </w:rPr>
            </w:pPr>
            <w:hyperlink r:id="rId11" w:history="1">
              <w:r>
                <w:rPr>
                  <w:rStyle w:val="Hyperlink"/>
                  <w:rFonts w:ascii="Aptos" w:eastAsia="Times New Roman" w:hAnsi="Aptos"/>
                  <w:sz w:val="19"/>
                  <w:szCs w:val="19"/>
                </w:rPr>
                <w:t>#109305</w:t>
              </w:r>
            </w:hyperlink>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6C18C085"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Search and follow signed publisher feeds from CLI</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0C9EA7EE" w14:textId="77777777" w:rsidR="00FC0038" w:rsidRDefault="00FC0038">
            <w:pPr>
              <w:spacing w:before="160" w:after="280"/>
              <w:rPr>
                <w:rFonts w:ascii="Aptos" w:eastAsia="Times New Roman" w:hAnsi="Aptos"/>
                <w:color w:val="243044"/>
                <w:sz w:val="19"/>
                <w:szCs w:val="19"/>
              </w:rPr>
            </w:pPr>
            <w:r>
              <w:rPr>
                <w:rStyle w:val="Strong"/>
                <w:rFonts w:ascii="Aptos" w:eastAsia="Times New Roman" w:hAnsi="Aptos"/>
                <w:color w:val="243044"/>
                <w:sz w:val="19"/>
                <w:szCs w:val="19"/>
              </w:rPr>
              <w:t>Primary review question:</w:t>
            </w:r>
            <w:r>
              <w:rPr>
                <w:rFonts w:ascii="Aptos" w:eastAsia="Times New Roman" w:hAnsi="Aptos"/>
                <w:color w:val="243044"/>
                <w:sz w:val="19"/>
                <w:szCs w:val="19"/>
              </w:rPr>
              <w:t xml:space="preserve"> is this the right first useful OpenClaw stopping point?</w:t>
            </w:r>
          </w:p>
        </w:tc>
      </w:tr>
      <w:tr w:rsidR="00000000" w14:paraId="1B4D09BD"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4B4D3DCB" w14:textId="77777777" w:rsidR="00FC0038" w:rsidRDefault="00FC0038">
            <w:pPr>
              <w:spacing w:before="160" w:after="280"/>
              <w:rPr>
                <w:rFonts w:ascii="Aptos" w:eastAsia="Times New Roman" w:hAnsi="Aptos"/>
                <w:color w:val="243044"/>
                <w:sz w:val="19"/>
                <w:szCs w:val="19"/>
              </w:rPr>
            </w:pPr>
            <w:hyperlink r:id="rId12" w:history="1">
              <w:r>
                <w:rPr>
                  <w:rStyle w:val="Hyperlink"/>
                  <w:rFonts w:ascii="Aptos" w:eastAsia="Times New Roman" w:hAnsi="Aptos"/>
                  <w:sz w:val="19"/>
                  <w:szCs w:val="19"/>
                </w:rPr>
                <w:t>#109461</w:t>
              </w:r>
            </w:hyperlink>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6D48643E"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Gateway refresh, persistence, scheduling, and RPC</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0D3A9404"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Follow accepted CLI semantics.</w:t>
            </w:r>
          </w:p>
        </w:tc>
      </w:tr>
      <w:tr w:rsidR="00000000" w14:paraId="5480FF73"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757B588C" w14:textId="77777777" w:rsidR="00FC0038" w:rsidRDefault="00FC0038">
            <w:pPr>
              <w:spacing w:before="160" w:after="280"/>
              <w:rPr>
                <w:rFonts w:ascii="Aptos" w:eastAsia="Times New Roman" w:hAnsi="Aptos"/>
                <w:color w:val="243044"/>
                <w:sz w:val="19"/>
                <w:szCs w:val="19"/>
              </w:rPr>
            </w:pPr>
            <w:hyperlink r:id="rId13" w:history="1">
              <w:r>
                <w:rPr>
                  <w:rStyle w:val="Hyperlink"/>
                  <w:rFonts w:ascii="Aptos" w:eastAsia="Times New Roman" w:hAnsi="Aptos"/>
                  <w:sz w:val="19"/>
                  <w:szCs w:val="19"/>
                </w:rPr>
                <w:t>#109584</w:t>
              </w:r>
            </w:hyperlink>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1800D83D"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Publisher-following Control UI</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73746CDB" w14:textId="77777777" w:rsidR="00FC0038" w:rsidRDefault="00FC0038">
            <w:pPr>
              <w:spacing w:before="160" w:after="280"/>
              <w:rPr>
                <w:rFonts w:ascii="Aptos" w:eastAsia="Times New Roman" w:hAnsi="Aptos"/>
                <w:color w:val="243044"/>
                <w:sz w:val="19"/>
                <w:szCs w:val="19"/>
              </w:rPr>
            </w:pPr>
            <w:r>
              <w:rPr>
                <w:rFonts w:ascii="Aptos" w:eastAsia="Times New Roman" w:hAnsi="Aptos"/>
                <w:color w:val="243044"/>
                <w:sz w:val="19"/>
                <w:szCs w:val="19"/>
              </w:rPr>
              <w:t>Follow stable Gateway contract.</w:t>
            </w:r>
          </w:p>
        </w:tc>
      </w:tr>
    </w:tbl>
    <w:p w14:paraId="73D4BC36" w14:textId="77777777" w:rsidR="00FC0038" w:rsidRDefault="00FC0038">
      <w:pPr>
        <w:pStyle w:val="Heading3"/>
        <w:rPr>
          <w:rFonts w:ascii="Aptos" w:eastAsia="Times New Roman" w:hAnsi="Aptos"/>
          <w:lang w:val="en"/>
        </w:rPr>
      </w:pPr>
      <w:r>
        <w:rPr>
          <w:rFonts w:ascii="Aptos" w:eastAsia="Times New Roman" w:hAnsi="Aptos"/>
          <w:lang w:val="en"/>
        </w:rPr>
        <w:t>Scalable catalog distribution</w:t>
      </w:r>
    </w:p>
    <w:p w14:paraId="434550DD" w14:textId="77777777" w:rsidR="00FC0038" w:rsidRDefault="00FC0038">
      <w:pPr>
        <w:pStyle w:val="NormalWeb"/>
        <w:rPr>
          <w:rFonts w:ascii="Aptos" w:hAnsi="Aptos"/>
          <w:color w:val="243044"/>
          <w:lang w:val="en"/>
        </w:rPr>
      </w:pPr>
      <w:r>
        <w:rPr>
          <w:rFonts w:ascii="Aptos" w:hAnsi="Aptos"/>
          <w:color w:val="243044"/>
          <w:lang w:val="en"/>
        </w:rPr>
        <w:t xml:space="preserve">ClawHub #3005, #3149, #3160, and #3163 cover dormant signing, durable history, signed query/change transport, and sharded snapshots. OpenClaw </w:t>
      </w:r>
      <w:hyperlink r:id="rId14" w:history="1">
        <w:r>
          <w:rPr>
            <w:rStyle w:val="Hyperlink"/>
            <w:rFonts w:ascii="Aptos" w:hAnsi="Aptos"/>
            <w:lang w:val="en"/>
          </w:rPr>
          <w:t>#110250</w:t>
        </w:r>
      </w:hyperlink>
      <w:r>
        <w:rPr>
          <w:rFonts w:ascii="Aptos" w:hAnsi="Aptos"/>
          <w:color w:val="243044"/>
          <w:lang w:val="en"/>
        </w:rPr>
        <w:t xml:space="preserve"> consumes signed sharded catalogs. The producer PRs are mergeable but currently unstable; #3005 has changes requested. Signing must remain dormant until key custody, rotation, and activation ownership are agreed.</w:t>
      </w:r>
    </w:p>
    <w:p w14:paraId="553C01D4" w14:textId="77777777" w:rsidR="00FC0038" w:rsidRDefault="00FC0038">
      <w:pPr>
        <w:pStyle w:val="NormalWeb"/>
        <w:rPr>
          <w:rFonts w:ascii="Aptos" w:hAnsi="Aptos"/>
          <w:color w:val="243044"/>
          <w:lang w:val="en"/>
        </w:rPr>
      </w:pPr>
      <w:r>
        <w:rPr>
          <w:rFonts w:ascii="Aptos" w:hAnsi="Aptos"/>
          <w:color w:val="243044"/>
          <w:lang w:val="en"/>
        </w:rPr>
        <w:t xml:space="preserve">OpenClaw </w:t>
      </w:r>
      <w:hyperlink r:id="rId15" w:history="1">
        <w:r>
          <w:rPr>
            <w:rStyle w:val="Hyperlink"/>
            <w:rFonts w:ascii="Aptos" w:hAnsi="Aptos"/>
            <w:lang w:val="en"/>
          </w:rPr>
          <w:t>#110438</w:t>
        </w:r>
      </w:hyperlink>
      <w:r>
        <w:rPr>
          <w:rFonts w:ascii="Aptos" w:hAnsi="Aptos"/>
          <w:color w:val="243044"/>
          <w:lang w:val="en"/>
        </w:rPr>
        <w:t xml:space="preserve"> adds local marketplace watches and can follow the main publisher CLI landing.</w:t>
      </w:r>
    </w:p>
    <w:p w14:paraId="7A1F1028" w14:textId="77777777" w:rsidR="00FC0038" w:rsidRDefault="00FC0038">
      <w:pPr>
        <w:pStyle w:val="Heading2"/>
        <w:rPr>
          <w:rFonts w:ascii="Aptos" w:eastAsia="Times New Roman" w:hAnsi="Aptos"/>
          <w:lang w:val="en"/>
        </w:rPr>
      </w:pPr>
      <w:r>
        <w:rPr>
          <w:rFonts w:ascii="Aptos" w:eastAsia="Times New Roman" w:hAnsi="Aptos"/>
          <w:lang w:val="en"/>
        </w:rPr>
        <w:t>Recommended sequence</w:t>
      </w:r>
    </w:p>
    <w:p w14:paraId="14BBCF30" w14:textId="77777777" w:rsidR="00FC0038" w:rsidRDefault="00FC0038">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Align RFC #39 and the protocol vocabulary.</w:t>
      </w:r>
    </w:p>
    <w:p w14:paraId="04081346" w14:textId="77777777" w:rsidR="00FC0038" w:rsidRDefault="00FC0038">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Repair the ClawHub publisher producer through a signed revisioned projection.</w:t>
      </w:r>
    </w:p>
    <w:p w14:paraId="44D805B3" w14:textId="77777777" w:rsidR="00FC0038" w:rsidRDefault="00FC0038">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Rebuild and land OpenClaw #109305 as the CLI vertical.</w:t>
      </w:r>
    </w:p>
    <w:p w14:paraId="2E5F7061" w14:textId="77777777" w:rsidR="00FC0038" w:rsidRDefault="00FC0038">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Add Gateway lifecycle (#109461), then UI (#109584).</w:t>
      </w:r>
    </w:p>
    <w:p w14:paraId="1E67169A" w14:textId="77777777" w:rsidR="00FC0038" w:rsidRDefault="00FC0038">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Stabilize scalable catalog production and OpenClaw #110250.</w:t>
      </w:r>
    </w:p>
    <w:p w14:paraId="73DAD1DB" w14:textId="77777777" w:rsidR="00FC0038" w:rsidRDefault="00FC0038">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Add local watches; introduce named/shared feeds only after publisher feeds are deployed.</w:t>
      </w:r>
    </w:p>
    <w:p w14:paraId="2CB1BC71" w14:textId="77777777" w:rsidR="00FC0038" w:rsidRDefault="00FC0038">
      <w:pPr>
        <w:pStyle w:val="Heading2"/>
        <w:rPr>
          <w:rFonts w:ascii="Aptos" w:eastAsia="Times New Roman" w:hAnsi="Aptos"/>
          <w:lang w:val="en"/>
        </w:rPr>
      </w:pPr>
      <w:r>
        <w:rPr>
          <w:rFonts w:ascii="Aptos" w:eastAsia="Times New Roman" w:hAnsi="Aptos"/>
          <w:lang w:val="en"/>
        </w:rPr>
        <w:t>Future composition</w:t>
      </w:r>
    </w:p>
    <w:p w14:paraId="3996F486" w14:textId="77777777" w:rsidR="00FC0038" w:rsidRDefault="00FC0038">
      <w:pPr>
        <w:pStyle w:val="NormalWeb"/>
        <w:rPr>
          <w:rFonts w:ascii="Aptos" w:hAnsi="Aptos"/>
          <w:color w:val="243044"/>
          <w:lang w:val="en"/>
        </w:rPr>
      </w:pPr>
      <w:r>
        <w:rPr>
          <w:rFonts w:ascii="Aptos" w:hAnsi="Aptos"/>
          <w:color w:val="243044"/>
          <w:lang w:val="en"/>
        </w:rPr>
        <w:t>Publisher feeds should be the first durable primitive. Later personal, shared/group, tenant, and named feeds can become ACL-controlled effective views. For Microsoft, MOS3 should own stable feed identity, revisions, signatures, scope/RBAC, inclusion provenance, exact versions, pins, denies, revocations, exceptions, preview, explain, and audit. Lobster remains an adapter; file feeds remain development/test/bridge mechanisms.</w:t>
      </w:r>
    </w:p>
    <w:p w14:paraId="6F2F785E" w14:textId="77777777" w:rsidR="00FC0038" w:rsidRDefault="00FC0038">
      <w:pPr>
        <w:pStyle w:val="Heading2"/>
        <w:rPr>
          <w:rFonts w:ascii="Aptos" w:eastAsia="Times New Roman" w:hAnsi="Aptos"/>
          <w:lang w:val="en"/>
        </w:rPr>
      </w:pPr>
      <w:r>
        <w:rPr>
          <w:rFonts w:ascii="Aptos" w:eastAsia="Times New Roman" w:hAnsi="Aptos"/>
          <w:lang w:val="en"/>
        </w:rPr>
        <w:t>Questions for expert review</w:t>
      </w:r>
    </w:p>
    <w:p w14:paraId="0B299720" w14:textId="77777777" w:rsidR="00FC0038" w:rsidRDefault="00FC0038">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Is publisher feed the right first primitive?</w:t>
      </w:r>
    </w:p>
    <w:p w14:paraId="55976C88" w14:textId="77777777" w:rsidR="00FC0038" w:rsidRDefault="00FC0038">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Is the CLI-first #109305 boundary the right initial landing?</w:t>
      </w:r>
    </w:p>
    <w:p w14:paraId="2D2B894E" w14:textId="77777777" w:rsidR="00FC0038" w:rsidRDefault="00FC0038">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Is snapshot/query/delta/change/reset minimal and operationally sound?</w:t>
      </w:r>
    </w:p>
    <w:p w14:paraId="7A3F3E63" w14:textId="77777777" w:rsidR="00FC0038" w:rsidRDefault="00FC0038">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What trust-root, rotation, rollback-prevention, and DSSE model should we use?</w:t>
      </w:r>
    </w:p>
    <w:p w14:paraId="67495FFD" w14:textId="77777777" w:rsidR="00FC0038" w:rsidRDefault="00FC0038">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Can the stacks be smaller while retaining independently reviewable proof?</w:t>
      </w:r>
    </w:p>
    <w:p w14:paraId="04F448DA" w14:textId="77777777" w:rsidR="00FC0038" w:rsidRDefault="00FC0038">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How should OpenClaw persist subscriptions, previous-good state, freshness, and errors?</w:t>
      </w:r>
    </w:p>
    <w:p w14:paraId="2A9B81CD" w14:textId="77777777" w:rsidR="00FC0038" w:rsidRDefault="00FC0038">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When should named/shared feeds arrive?</w:t>
      </w:r>
    </w:p>
    <w:p w14:paraId="2ACF6E90" w14:textId="77777777" w:rsidR="00FC0038" w:rsidRDefault="00FC0038">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How should ClawHub community feeds align with—but remain independent of—MOS3 composition?</w:t>
      </w:r>
    </w:p>
    <w:p w14:paraId="72D16306" w14:textId="77777777" w:rsidR="00FC0038" w:rsidRDefault="00FC0038">
      <w:pPr>
        <w:pStyle w:val="Heading2"/>
        <w:rPr>
          <w:rFonts w:ascii="Aptos" w:eastAsia="Times New Roman" w:hAnsi="Aptos"/>
          <w:lang w:val="en"/>
        </w:rPr>
      </w:pPr>
      <w:r>
        <w:rPr>
          <w:rFonts w:ascii="Aptos" w:eastAsia="Times New Roman" w:hAnsi="Aptos"/>
          <w:lang w:val="en"/>
        </w:rPr>
        <w:t>Requested expert input</w:t>
      </w:r>
    </w:p>
    <w:p w14:paraId="65D0DFC7" w14:textId="77777777" w:rsidR="00FC0038" w:rsidRDefault="00FC0038">
      <w:pPr>
        <w:pStyle w:val="NormalWeb"/>
        <w:rPr>
          <w:rFonts w:ascii="Aptos" w:hAnsi="Aptos"/>
          <w:color w:val="243044"/>
          <w:lang w:val="en"/>
        </w:rPr>
      </w:pPr>
      <w:r>
        <w:rPr>
          <w:rFonts w:ascii="Aptos" w:hAnsi="Aptos"/>
          <w:color w:val="243044"/>
          <w:lang w:val="en"/>
        </w:rPr>
        <w:t>Please challenge the architecture, review the RFC and producer/consumer contracts, assess whether the OpenClaw PR boundaries are correctly divided and sequenced, suggest smaller or safer slices, and identify missing operational failure modes. For a concrete review, #109305 is the strongest client example; RFC #39 and the ClawHub publisher producer are the strongest protocol examples. Gio remains the implementation owner.</w:t>
      </w:r>
    </w:p>
    <w:p w14:paraId="1925C636" w14:textId="77777777" w:rsidR="00FC0038" w:rsidRDefault="00FC0038">
      <w:pPr>
        <w:pStyle w:val="Heading2"/>
        <w:rPr>
          <w:rFonts w:ascii="Aptos" w:eastAsia="Times New Roman" w:hAnsi="Aptos"/>
          <w:lang w:val="en"/>
        </w:rPr>
      </w:pPr>
      <w:r>
        <w:rPr>
          <w:rFonts w:ascii="Aptos" w:eastAsia="Times New Roman" w:hAnsi="Aptos"/>
          <w:lang w:val="en"/>
        </w:rPr>
        <w:t>Success</w:t>
      </w:r>
    </w:p>
    <w:p w14:paraId="5931D531" w14:textId="77777777" w:rsidR="00FC0038" w:rsidRDefault="00FC0038">
      <w:pPr>
        <w:pStyle w:val="NormalWeb"/>
        <w:rPr>
          <w:rFonts w:ascii="Aptos" w:hAnsi="Aptos"/>
          <w:color w:val="243044"/>
          <w:lang w:val="en"/>
        </w:rPr>
      </w:pPr>
      <w:r>
        <w:rPr>
          <w:rFonts w:ascii="Aptos" w:hAnsi="Aptos"/>
          <w:color w:val="243044"/>
          <w:lang w:val="en"/>
        </w:rPr>
        <w:t>A publisher exposes a signed monotonic feed; OpenClaw can follow, refresh, inspect, search, and install exact artifacts; failure retains previous-good state; large catalogs distribute efficiently; MOS3 enterprise composition remains authoritative and explainable; and OpenClaw/ClawHub remain independently useful.</w:t>
      </w:r>
    </w:p>
    <w:p w14:paraId="67CC8EE4" w14:textId="77777777" w:rsidR="00FC0038" w:rsidRDefault="00FC0038">
      <w:pPr>
        <w:pStyle w:val="small"/>
        <w:rPr>
          <w:rFonts w:ascii="Aptos" w:hAnsi="Aptos"/>
          <w:lang w:val="en"/>
        </w:rPr>
      </w:pPr>
      <w:r>
        <w:rPr>
          <w:rFonts w:ascii="Aptos" w:hAnsi="Aptos"/>
          <w:lang w:val="en"/>
        </w:rPr>
        <w:t>Prepared 2026-07-27. PR state is a dated snapshot and must be refreshed before acting. The companion Markdown brief contains the complete inventory and design detail.</w:t>
      </w:r>
    </w:p>
    <w:sectPr w:rsidR="00FC0038" w:rsidSect="00FF5992">
      <w:headerReference w:type="even" r:id="rId16"/>
      <w:headerReference w:type="default" r:id="rId17"/>
      <w:footerReference w:type="even" r:id="rId18"/>
      <w:footerReference w:type="default" r:id="rId19"/>
      <w:headerReference w:type="first" r:id="rId20"/>
      <w:footerReference w:type="first" r:id="rId21"/>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E1C81" w14:textId="77777777" w:rsidR="00FC0038" w:rsidRDefault="00FC0038" w:rsidP="00FF5992">
      <w:r>
        <w:separator/>
      </w:r>
    </w:p>
  </w:endnote>
  <w:endnote w:type="continuationSeparator" w:id="0">
    <w:p w14:paraId="7B7EF741" w14:textId="77777777" w:rsidR="00FC0038" w:rsidRDefault="00FC0038" w:rsidP="00FF5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E881" w14:textId="77777777" w:rsidR="00FF5992" w:rsidRDefault="00FF59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6F12" w14:textId="6430BEDE" w:rsidR="00FF5992" w:rsidRPr="00FF5992" w:rsidRDefault="00FF5992">
    <w:pPr>
      <w:pStyle w:val="Footer"/>
      <w:rPr>
        <w:rFonts w:ascii="Aptos" w:hAnsi="Aptos"/>
        <w:color w:val="808080"/>
        <w:sz w:val="16"/>
      </w:rPr>
    </w:pPr>
    <w:r w:rsidRPr="00FF5992">
      <w:rPr>
        <w:rFonts w:ascii="Aptos" w:hAnsi="Aptos"/>
        <w:color w:val="808080"/>
        <w:sz w:val="16"/>
      </w:rPr>
      <w:t>Prepared 2026-07-27 • Collaboration brief • Dated PR state must be refreshed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91D8" w14:textId="77777777" w:rsidR="00FF5992" w:rsidRDefault="00FF5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DA7AD" w14:textId="77777777" w:rsidR="00FC0038" w:rsidRDefault="00FC0038" w:rsidP="00FF5992">
      <w:r>
        <w:separator/>
      </w:r>
    </w:p>
  </w:footnote>
  <w:footnote w:type="continuationSeparator" w:id="0">
    <w:p w14:paraId="185F4BDA" w14:textId="77777777" w:rsidR="00FC0038" w:rsidRDefault="00FC0038" w:rsidP="00FF5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2DB4" w14:textId="77777777" w:rsidR="00FF5992" w:rsidRDefault="00FF59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7386" w14:textId="77777777" w:rsidR="00FF5992" w:rsidRDefault="00FF59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25E0" w14:textId="77777777" w:rsidR="00FF5992" w:rsidRDefault="00FF5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9282C"/>
    <w:multiLevelType w:val="multilevel"/>
    <w:tmpl w:val="D404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A66C6"/>
    <w:multiLevelType w:val="multilevel"/>
    <w:tmpl w:val="2414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406533"/>
    <w:multiLevelType w:val="multilevel"/>
    <w:tmpl w:val="5518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5333931">
    <w:abstractNumId w:val="0"/>
  </w:num>
  <w:num w:numId="2" w16cid:durableId="830220695">
    <w:abstractNumId w:val="1"/>
  </w:num>
  <w:num w:numId="3" w16cid:durableId="2044557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5992"/>
    <w:rsid w:val="003E3289"/>
    <w:rsid w:val="00FC0038"/>
    <w:rsid w:val="00FF5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DF249"/>
  <w15:chartTrackingRefBased/>
  <w15:docId w15:val="{DA6A3FBC-F03B-4730-AA95-FF147EFA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outlineLvl w:val="0"/>
    </w:pPr>
    <w:rPr>
      <w:b/>
      <w:bCs/>
      <w:color w:val="17365D"/>
      <w:kern w:val="36"/>
      <w:sz w:val="52"/>
      <w:szCs w:val="52"/>
    </w:rPr>
  </w:style>
  <w:style w:type="paragraph" w:styleId="Heading2">
    <w:name w:val="heading 2"/>
    <w:basedOn w:val="Normal"/>
    <w:link w:val="Heading2Char"/>
    <w:uiPriority w:val="9"/>
    <w:qFormat/>
    <w:pPr>
      <w:pBdr>
        <w:bottom w:val="single" w:sz="6" w:space="3" w:color="9DC3E6"/>
      </w:pBdr>
      <w:spacing w:before="400" w:after="100" w:afterAutospacing="1"/>
      <w:outlineLvl w:val="1"/>
    </w:pPr>
    <w:rPr>
      <w:b/>
      <w:bCs/>
      <w:color w:val="1F4E79"/>
      <w:sz w:val="32"/>
      <w:szCs w:val="32"/>
    </w:rPr>
  </w:style>
  <w:style w:type="paragraph" w:styleId="Heading3">
    <w:name w:val="heading 3"/>
    <w:basedOn w:val="Normal"/>
    <w:link w:val="Heading3Char"/>
    <w:uiPriority w:val="9"/>
    <w:qFormat/>
    <w:pPr>
      <w:spacing w:before="100" w:beforeAutospacing="1" w:after="60"/>
      <w:outlineLvl w:val="2"/>
    </w:pPr>
    <w:rPr>
      <w:b/>
      <w:bCs/>
      <w:color w:val="2F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rPr>
      <w:sz w:val="21"/>
      <w:szCs w:val="21"/>
    </w:rPr>
  </w:style>
  <w:style w:type="paragraph" w:styleId="NormalWeb">
    <w:name w:val="Normal (Web)"/>
    <w:basedOn w:val="Normal"/>
    <w:uiPriority w:val="99"/>
    <w:semiHidden/>
    <w:unhideWhenUsed/>
    <w:pPr>
      <w:spacing w:before="100" w:beforeAutospacing="1" w:after="100" w:afterAutospacing="1"/>
    </w:pPr>
    <w:rPr>
      <w:sz w:val="21"/>
      <w:szCs w:val="21"/>
    </w:rPr>
  </w:style>
  <w:style w:type="paragraph" w:customStyle="1" w:styleId="subtitle">
    <w:name w:val="subtitle"/>
    <w:basedOn w:val="Normal"/>
    <w:pPr>
      <w:spacing w:after="100" w:afterAutospacing="1"/>
    </w:pPr>
    <w:rPr>
      <w:color w:val="5B6573"/>
    </w:rPr>
  </w:style>
  <w:style w:type="paragraph" w:customStyle="1" w:styleId="vision">
    <w:name w:val="vision"/>
    <w:basedOn w:val="Normal"/>
    <w:pPr>
      <w:pBdr>
        <w:left w:val="single" w:sz="36" w:space="16" w:color="2F75B5"/>
      </w:pBdr>
      <w:shd w:val="clear" w:color="auto" w:fill="EAF2F8"/>
      <w:spacing w:before="100" w:beforeAutospacing="1" w:after="100" w:afterAutospacing="1"/>
    </w:pPr>
    <w:rPr>
      <w:b/>
      <w:bCs/>
      <w:sz w:val="28"/>
      <w:szCs w:val="28"/>
    </w:rPr>
  </w:style>
  <w:style w:type="paragraph" w:customStyle="1" w:styleId="callout">
    <w:name w:val="callout"/>
    <w:basedOn w:val="Normal"/>
    <w:pPr>
      <w:pBdr>
        <w:top w:val="single" w:sz="6" w:space="10" w:color="C9D5E3"/>
        <w:left w:val="single" w:sz="6" w:space="14" w:color="C9D5E3"/>
        <w:bottom w:val="single" w:sz="6" w:space="10" w:color="C9D5E3"/>
        <w:right w:val="single" w:sz="6" w:space="14" w:color="C9D5E3"/>
      </w:pBdr>
      <w:shd w:val="clear" w:color="auto" w:fill="F3F6F9"/>
      <w:spacing w:before="100" w:beforeAutospacing="1" w:after="100" w:afterAutospacing="1"/>
    </w:pPr>
    <w:rPr>
      <w:sz w:val="21"/>
      <w:szCs w:val="21"/>
    </w:rPr>
  </w:style>
  <w:style w:type="paragraph" w:customStyle="1" w:styleId="small">
    <w:name w:val="small"/>
    <w:basedOn w:val="Normal"/>
    <w:pPr>
      <w:spacing w:before="100" w:beforeAutospacing="1" w:after="100" w:afterAutospacing="1"/>
    </w:pPr>
    <w:rPr>
      <w:color w:val="657080"/>
      <w:sz w:val="18"/>
      <w:szCs w:val="18"/>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FF5992"/>
    <w:pPr>
      <w:tabs>
        <w:tab w:val="center" w:pos="4680"/>
        <w:tab w:val="right" w:pos="9360"/>
      </w:tabs>
    </w:pPr>
  </w:style>
  <w:style w:type="character" w:customStyle="1" w:styleId="HeaderChar">
    <w:name w:val="Header Char"/>
    <w:basedOn w:val="DefaultParagraphFont"/>
    <w:link w:val="Header"/>
    <w:uiPriority w:val="99"/>
    <w:rsid w:val="00FF5992"/>
    <w:rPr>
      <w:rFonts w:eastAsiaTheme="minorEastAsia"/>
      <w:sz w:val="24"/>
      <w:szCs w:val="24"/>
    </w:rPr>
  </w:style>
  <w:style w:type="paragraph" w:styleId="Footer">
    <w:name w:val="footer"/>
    <w:basedOn w:val="Normal"/>
    <w:link w:val="FooterChar"/>
    <w:uiPriority w:val="99"/>
    <w:unhideWhenUsed/>
    <w:rsid w:val="00FF5992"/>
    <w:pPr>
      <w:tabs>
        <w:tab w:val="center" w:pos="4680"/>
        <w:tab w:val="right" w:pos="9360"/>
      </w:tabs>
    </w:pPr>
  </w:style>
  <w:style w:type="character" w:customStyle="1" w:styleId="FooterChar">
    <w:name w:val="Footer Char"/>
    <w:basedOn w:val="DefaultParagraphFont"/>
    <w:link w:val="Footer"/>
    <w:uiPriority w:val="99"/>
    <w:rsid w:val="00FF599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072555">
      <w:marLeft w:val="0"/>
      <w:marRight w:val="0"/>
      <w:marTop w:val="0"/>
      <w:marBottom w:val="0"/>
      <w:divBdr>
        <w:top w:val="single" w:sz="6" w:space="10" w:color="C9D5E3"/>
        <w:left w:val="single" w:sz="6" w:space="14" w:color="C9D5E3"/>
        <w:bottom w:val="single" w:sz="6" w:space="10" w:color="C9D5E3"/>
        <w:right w:val="single" w:sz="6" w:space="14" w:color="C9D5E3"/>
      </w:divBdr>
    </w:div>
    <w:div w:id="2114205952">
      <w:marLeft w:val="0"/>
      <w:marRight w:val="0"/>
      <w:marTop w:val="0"/>
      <w:marBottom w:val="0"/>
      <w:divBdr>
        <w:top w:val="none" w:sz="0" w:space="0" w:color="auto"/>
        <w:left w:val="single" w:sz="36" w:space="16" w:color="2F75B5"/>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claw/clawhub/pull/2948" TargetMode="External"/><Relationship Id="rId13" Type="http://schemas.openxmlformats.org/officeDocument/2006/relationships/hyperlink" Target="https://github.com/openclaw/openclaw/pull/109584"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github.com/openclaw/rfcs/pull/39" TargetMode="External"/><Relationship Id="rId12" Type="http://schemas.openxmlformats.org/officeDocument/2006/relationships/hyperlink" Target="https://github.com/openclaw/openclaw/pull/109461"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penclaw/openclaw/pull/109305" TargetMode="External"/><Relationship Id="rId5" Type="http://schemas.openxmlformats.org/officeDocument/2006/relationships/footnotes" Target="footnotes.xml"/><Relationship Id="rId15" Type="http://schemas.openxmlformats.org/officeDocument/2006/relationships/hyperlink" Target="https://github.com/openclaw/openclaw/pull/110438" TargetMode="External"/><Relationship Id="rId23" Type="http://schemas.openxmlformats.org/officeDocument/2006/relationships/theme" Target="theme/theme1.xml"/><Relationship Id="rId10" Type="http://schemas.openxmlformats.org/officeDocument/2006/relationships/hyperlink" Target="https://github.com/openclaw/clawhub/pull/3117"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openclaw/clawhub/pull/3116" TargetMode="External"/><Relationship Id="rId14" Type="http://schemas.openxmlformats.org/officeDocument/2006/relationships/hyperlink" Target="https://github.com/openclaw/openclaw/pull/11025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952</Words>
  <Characters>5429</Characters>
  <Application>Microsoft Office Word</Application>
  <DocSecurity>4</DocSecurity>
  <Lines>45</Lines>
  <Paragraphs>12</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OpenClaw Feeds — Expert Review and Collaboration Brief</dc:title>
  <dc:subject/>
  <dc:creator>Gio Della-Libera</dc:creator>
  <cp:keywords/>
  <dc:description/>
  <cp:lastModifiedBy>Gio Della-Libera</cp:lastModifiedBy>
  <cp:revision>2</cp:revision>
  <dcterms:created xsi:type="dcterms:W3CDTF">2026-07-27T21:43:00Z</dcterms:created>
  <dcterms:modified xsi:type="dcterms:W3CDTF">2026-07-27T21:43:00Z</dcterms:modified>
</cp:coreProperties>
</file>