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2A78D6"/>
          <w:sz w:val="52"/>
          <w:szCs w:val="52"/>
        </w:rPr>
        <w:t xml:space="preserve">QUANTUM DATACENTER</w:t>
      </w:r>
    </w:p>
    <w:p>
      <w:pPr>
        <w:spacing w:after="260"/>
      </w:pPr>
      <w:r>
        <w:rPr>
          <w:color w:val="52514E"/>
          <w:sz w:val="28"/>
          <w:szCs w:val="28"/>
        </w:rPr>
        <w:t xml:space="preserve">Reference Network &amp; Zero-Trust Security Architecture</w:t>
      </w:r>
    </w:p>
    <w:p>
      <w:pPr>
        <w:spacing w:after="40"/>
      </w:pPr>
      <w:r>
        <w:rPr>
          <w:i/>
          <w:iCs/>
          <w:color w:val="898781"/>
          <w:sz w:val="20"/>
          <w:szCs w:val="20"/>
        </w:rPr>
        <w:t xml:space="preserve">Jupiter-style Clos fabric · InfiniBand data lake (VAST) · Ethernet web front end (Nutanix) · IPv6-only underlay · iBGP core / eBGP edge · NIST SP 800-207 zero trust</w:t>
      </w:r>
    </w:p>
    <w:p>
      <w:pPr>
        <w:pBdr>
          <w:bottom w:val="single" w:color="C3C2B7" w:sz="6" w:space="1"/>
        </w:pBdr>
        <w:spacing w:after="240" w:before="120"/>
      </w:pPr>
    </w:p>
    <w:p>
      <w:pPr>
        <w:spacing w:after="140" w:line="276"/>
      </w:pPr>
      <w:r>
        <w:rPr>
          <w:b/>
          <w:bCs/>
        </w:rPr>
        <w:t xml:space="preserve">Scope: </w:t>
      </w:r>
      <w:r>
        <w:t xml:space="preserve">This document specifies a reference-pod-scale design (one repeatable building block, not full hyperscale rack counts) for a datacenter whose organizing purpose is to run a computation on a quantum processor that is intractable for classical machines, land the results directly in a high-throughput data lake, synthesize them with machine learning, and publish the outcome through a public web front end — end to end over an IPv6-only, zero-trust network fabric.</w:t>
      </w:r>
    </w:p>
    <w:p>
      <w:pPr>
        <w:spacing w:after="140" w:line="276"/>
      </w:pPr>
      <w:r>
        <w:rPr>
          <w:b/>
          <w:bCs/>
        </w:rPr>
        <w:t xml:space="preserve">Companion diagram: </w:t>
      </w:r>
      <w:r>
        <w:t xml:space="preserve">quantum-datacenter-network-diagram.html — read alongside this document; box names and numbered flow steps below correspond 1:1 to the diagram.</w:t>
      </w:r>
    </w:p>
    <w:p>
      <w:pPr>
        <w:pStyle w:val="Heading1"/>
        <w:spacing w:after="160" w:before="360"/>
      </w:pPr>
      <w:r>
        <w:t xml:space="preserve">1. Design Goals &amp; Constraints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Physical/topological pattern modeled on Google's Jupiter datacenter network: a Clos (spine–leaf) fabric built from repeatable aggregation blocks, rather than one flat monolithic switch fabric.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Two physically separate Clos fabrics, chosen per workload: InfiniBand for the low-latency, high-bandwidth internal data lake (VAST storage + ML/AI compute); Ethernet for the Nutanix-hosted, internet-facing web tier.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IPv6 exclusively — no IPv4 anywhere in the design, including point-to-point infrastructure links (RFC 6164 /127s).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iBGP within the datacenter (single internal AS, route-reflected — no full mesh) for east–west reachability across every environment/pod; eBGP only at the datacenter boundary, toward external autonomous systems (upstream transit, partner/peer networks).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quantum processing unit (QPU) at the logical and physical center of the pod (“heart of the datacenter”), producing results no classical system in the datacenter could derive on its own.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one-directional, low-friction data path: quantum results → VAST data lake → GPU/ML synthesis → Nutanix web publication → public internet.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Zero trust throughout, per NIST SP 800-207: no implicit trust from network location; every session authenticated, authorized per-request, and encrypted, regardless of which fabric or zone it originates in.</w:t>
      </w:r>
    </w:p>
    <w:p>
      <w:pPr>
        <w:pStyle w:val="Heading1"/>
        <w:spacing w:after="160" w:before="360"/>
      </w:pPr>
      <w:r>
        <w:t xml:space="preserve">2. Physical Topology — Jupiter-Style Reference Pod</w:t>
      </w:r>
    </w:p>
    <w:p>
      <w:pPr>
        <w:spacing w:after="160" w:line="276"/>
      </w:pPr>
      <w:r>
        <w:t xml:space="preserve">Google's Jupiter network organizes racks into “aggregation blocks” — a set of machine racks, their top-of-rack (ToR) switches, and a co-located switch layer — which then fan out to a spine layer (historically a fixed-speed Clos spine; more recently, in Jupiter's evolution, an optical-circuit-switched layer that decouples spine upgrades from a full network replacement). This design borrows that same block/spine pattern but splits it into two independently-scaled aggregation domains — one per fabric technology — plus a dedicated pod for the quantum core.</w:t>
      </w:r>
    </w:p>
    <w:p>
      <w:pPr>
        <w:pStyle w:val="Heading2"/>
        <w:spacing w:after="120" w:before="260"/>
      </w:pPr>
      <w:r>
        <w:t xml:space="preserve">2.1 Reference pod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808"/>
        <w:gridCol w:w="2059"/>
        <w:gridCol w:w="2995"/>
      </w:tblGrid>
      <w:tr>
        <w:trPr>
          <w:tblHeader/>
        </w:trPr>
        <w:tc>
          <w:tcPr>
            <w:tcW w:type="dxa" w:w="1498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 / block</w:t>
            </w:r>
          </w:p>
        </w:tc>
        <w:tc>
          <w:tcPr>
            <w:tcW w:type="dxa" w:w="2808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059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Fabric</w:t>
            </w:r>
          </w:p>
        </w:tc>
        <w:tc>
          <w:tcPr>
            <w:tcW w:type="dxa" w:w="2995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49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Border/Edge pod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2 border routers + perimeter WAF/IPS/DDoS scrub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Ethernet, dual-stack IPv6 GUA/ULA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eBGP to external ASes; zero-trust perimeter PEP</w:t>
            </w:r>
          </w:p>
        </w:tc>
      </w:tr>
      <w:tr>
        <w:tc>
          <w:tcPr>
            <w:tcW w:type="dxa" w:w="149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iBGP route-reflector core</w:t>
            </w:r>
          </w:p>
        </w:tc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RR-A cluster, RR-B cluster (redundant pair each)</w:t>
            </w:r>
          </w:p>
        </w:tc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Ethernet mgmt underlay</w:t>
            </w:r>
          </w:p>
        </w:tc>
        <w:tc>
          <w:tcPr>
            <w:tcW w:type="dxa" w:w="299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Reflects internal routes; no full-mesh iBGP required</w:t>
            </w:r>
          </w:p>
        </w:tc>
      </w:tr>
      <w:tr>
        <w:tc>
          <w:tcPr>
            <w:tcW w:type="dxa" w:w="149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Ethernet aggregation block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4 spine + 8 leaf/ToR switches, 3 Nutanix AHV racks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100/400GbE, IPv6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web front end — public-facing workloads</w:t>
            </w:r>
          </w:p>
        </w:tc>
      </w:tr>
      <w:tr>
        <w:tc>
          <w:tcPr>
            <w:tcW w:type="dxa" w:w="149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Quantum core pod</w:t>
            </w:r>
          </w:p>
        </w:tc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QPU + cryostat, classical control cluster, dual-homed gateway</w:t>
            </w:r>
          </w:p>
        </w:tc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IB HCA + 400GbE (dual-homed)</w:t>
            </w:r>
          </w:p>
        </w:tc>
        <w:tc>
          <w:tcPr>
            <w:tcW w:type="dxa" w:w="299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Runs the intractable algorithm; bridges both fabrics</w:t>
            </w:r>
          </w:p>
        </w:tc>
      </w:tr>
      <w:tr>
        <w:tc>
          <w:tcPr>
            <w:tcW w:type="dxa" w:w="149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InfiniBand aggregation block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4 spine + 8 leaf switches, 2 VAST racks + 1 GPU/ML rack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NDR 400G InfiniBand, IPv6 via IPoIB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VAST data lake + ML/AI synthesis</w:t>
            </w:r>
          </w:p>
        </w:tc>
      </w:tr>
      <w:tr>
        <w:tc>
          <w:tcPr>
            <w:tcW w:type="dxa" w:w="149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Out-of-band management</w:t>
            </w:r>
          </w:p>
        </w:tc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Management switches + zero-trust PDP + identity fabric</w:t>
            </w:r>
          </w:p>
        </w:tc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Isolated OOB Ethernet</w:t>
            </w:r>
          </w:p>
        </w:tc>
        <w:tc>
          <w:tcPr>
            <w:tcW w:type="dxa" w:w="299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Policy decisions, telemetry, SIEM — reaches every PEP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This unit is the atomic, repeatable building block. Production scale is reached by instantiating N of these pods behind additional spine and route-reflector capacity — horizontally, the way Jupiter scales aggregation blocks — rather than by growing any single spine indefinitely.</w:t>
      </w:r>
    </w:p>
    <w:p>
      <w:pPr>
        <w:pStyle w:val="Heading1"/>
        <w:spacing w:after="160" w:before="360"/>
      </w:pPr>
      <w:r>
        <w:t xml:space="preserve">3. Fabric Design</w:t>
      </w:r>
    </w:p>
    <w:p>
      <w:pPr>
        <w:pStyle w:val="Heading2"/>
        <w:spacing w:after="120" w:before="260"/>
      </w:pPr>
      <w:r>
        <w:t xml:space="preserve">3.1 InfiniBand data lake fabric — VAST + ML/AI</w:t>
      </w:r>
    </w:p>
    <w:p>
      <w:pPr>
        <w:spacing w:after="160" w:line="276"/>
      </w:pPr>
      <w:r>
        <w:t xml:space="preserve">A two-tier non-blocking InfiniBand fat-tree (NDR 400G): a spine tier of 4 switches and a leaf tier of 8 switches, one HCA pair per node. VAST Data's Universal Storage runs its DASE (Disaggregated and Shared-Everything) architecture directly on this fabric: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D-Nodes (DBoxes) — storage enclosures presenting NVMe SSD and SCM media; stateless routing only, active-active redundancy, no single point of failure.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C-Nodes — stateless compute servers that mount every SSD in the cluster over NVMe-oF at boot, so any C-Node can serve any byte with no inter-node coordination or caching.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GPU/ML rack — a Ray/PyTorch training and inference cluster that mounts the VAST namespace directly over the same NVMe-oF fabric (RDMA reads), placed on-fabric for data locality with the storage tier it consumes.</w:t>
      </w:r>
    </w:p>
    <w:p>
      <w:pPr>
        <w:spacing w:after="160" w:line="276"/>
      </w:pPr>
      <w:r>
        <w:t xml:space="preserve">IPv6 rides this fabric as IPoIB (IP-over-InfiniBand) datagram mode, giving every HCA-attached node a routable IPv6 address inside the InfiniBand aggregation block's prefix; RDMA/NVMe-oF traffic itself is not IP-routed, but every control-plane and management session on the fabric is.</w:t>
      </w:r>
    </w:p>
    <w:p>
      <w:pPr>
        <w:pStyle w:val="Heading2"/>
        <w:spacing w:after="120" w:before="260"/>
      </w:pPr>
      <w:r>
        <w:t xml:space="preserve">3.2 Ethernet web front-end fabric — Nutanix</w:t>
      </w:r>
    </w:p>
    <w:p>
      <w:pPr>
        <w:spacing w:after="160" w:line="276"/>
      </w:pPr>
      <w:r>
        <w:t xml:space="preserve">A conventional two-tier Ethernet Clos (4 spine / 8 leaf, 100/400GbE) carrying the Nutanix AHV/CVM hyperconverged clusters that host the public-facing tier: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Rack A — AHV + CVM nodes running Nutanix AOS distributed storage; this is the landing zone for results pushed across from the quantum/data-lake side.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Rack B — AHV + CVM nodes hosting ML-serving/inference containers (the operational counterpart to GPU/ML training on the InfiniBand side).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Rack C — AHV + CVM nodes running Kubernetes on AHV, hosting the public webapps and APIs that publish results to the internet.</w:t>
      </w:r>
    </w:p>
    <w:p>
      <w:pPr>
        <w:spacing w:after="160" w:line="276"/>
      </w:pPr>
      <w:r>
        <w:t xml:space="preserve">Nutanix Flow provides hypervisor-level microsegmentation between racks and between VMs within a rack, acting as the zero-trust PEP for east–west traffic inside this fabric.</w:t>
      </w:r>
    </w:p>
    <w:p>
      <w:pPr>
        <w:pStyle w:val="Heading2"/>
        <w:spacing w:after="120" w:before="260"/>
      </w:pPr>
      <w:r>
        <w:t xml:space="preserve">3.3 Quantum core pod — heart of the datacenter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Quantum Processing Unit (QPU): cryostat-housed (superconducting or trapped-ion, technology-agnostic to this design) quantum computer running the target algorithm — e.g. a quantum simulation, optimization, or sampling problem in the class believed intractable for classical hardware.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Classical control cluster: FPGA-based real-time pulse/error-mitigation control plus the job scheduler and orchestration layer that queues classical–quantum hybrid workloads.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Dual-homed gateway: the only node type in the pod with both an InfiniBand HCA and a 400GbE NIC. It is the L3 IPv6 boundary between the two internal fabrics, terminates workload-identity-signed sessions, and is itself a zero-trust PEP.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Quantum-safe key distribution: feeds post-quantum-cryptography (PQC) keys into the identity fabric / policy decision point, so the datacenter's own zero-trust control plane is not the weakest link relative to the compute it protects.</w:t>
      </w:r>
    </w:p>
    <w:p>
      <w:pPr>
        <w:pStyle w:val="Heading2"/>
        <w:spacing w:after="120" w:before="260"/>
      </w:pPr>
      <w:r>
        <w:t xml:space="preserve">3.4 Border / edge pod</w:t>
      </w:r>
    </w:p>
    <w:p>
      <w:pPr>
        <w:spacing w:after="160" w:line="276"/>
      </w:pPr>
      <w:r>
        <w:t xml:space="preserve">Two border routers plus a perimeter WAF/IPS/DDoS-scrubbing tier, all zero-trust PEPs. Border Router A peers eBGP with an upstream transit AS; Border Router B peers eBGP with a partner/peering AS. Routes learned externally are filtered (max-prefix limits, RPKI origin validation) before redistribution into the internal iBGP core — the datacenter never accepts an unfiltered default or full table.</w:t>
      </w:r>
    </w:p>
    <w:p>
      <w:pPr>
        <w:pStyle w:val="Heading1"/>
        <w:spacing w:after="160" w:before="360"/>
      </w:pPr>
      <w:r>
        <w:t xml:space="preserve">4. IPv6 Addressing Plan</w:t>
      </w:r>
    </w:p>
    <w:p>
      <w:pPr>
        <w:spacing w:after="160" w:line="276"/>
      </w:pPr>
      <w:r>
        <w:t xml:space="preserve">The underlay is ULA (Unique Local Address, fd00::/8) end to end for infrastructure and east–west traffic; a provider-assigned GUA block is used only where the design intentionally faces the internet — the Nutanix web tier and the border routers' external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434"/>
        <w:gridCol w:w="4118"/>
      </w:tblGrid>
      <w:tr>
        <w:trPr>
          <w:tblHeader/>
        </w:trPr>
        <w:tc>
          <w:tcPr>
            <w:tcW w:type="dxa" w:w="2808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434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Prefix type &amp; size</w:t>
            </w:r>
          </w:p>
        </w:tc>
        <w:tc>
          <w:tcPr>
            <w:tcW w:type="dxa" w:w="4118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Datacenter-wide underlay</w:t>
            </w:r>
          </w:p>
        </w:tc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/32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fd10:dc01::/32</w:t>
            </w:r>
          </w:p>
        </w:tc>
      </w:tr>
      <w:tr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 fabric domain (Ethernet / InfiniBand / mgmt)</w:t>
            </w:r>
          </w:p>
        </w:tc>
        <w:tc>
          <w:tcPr>
            <w:tcW w:type="dxa" w:w="243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/40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fd10:dc01:1000::/40 (InfiniBand domain)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 pod / aggregation block</w:t>
            </w:r>
          </w:p>
        </w:tc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/48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fd10:dc01:1100::/48</w:t>
            </w:r>
          </w:p>
        </w:tc>
      </w:tr>
      <w:tr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 rack / VLAN</w:t>
            </w:r>
          </w:p>
        </w:tc>
        <w:tc>
          <w:tcPr>
            <w:tcW w:type="dxa" w:w="243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/56 → /64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fd10:dc01:1101:0a::/64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Router loopbacks (BGP)</w:t>
            </w:r>
          </w:p>
        </w:tc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/128 from a dedicated pool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fd10:dc01:ffff::1/128</w:t>
            </w:r>
          </w:p>
        </w:tc>
      </w:tr>
      <w:tr>
        <w:tc>
          <w:tcPr>
            <w:tcW w:type="dxa" w:w="280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Point-to-point infra links</w:t>
            </w:r>
          </w:p>
        </w:tc>
        <w:tc>
          <w:tcPr>
            <w:tcW w:type="dxa" w:w="243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/127 (RFC 6164)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fd10:dc01:1101:00f0::/127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Public / Nutanix front end</w:t>
            </w:r>
          </w:p>
        </w:tc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GUA /48 (provider-assigned)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2600:1f18:xxxx::/48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SLAAC is disabled on infrastructure links (all addressing is statically assigned or DHCPv6-managed) so every address is attributable to a specific device and workload identity — a prerequisite for the zero-trust policy model in Section 6.</w:t>
      </w:r>
    </w:p>
    <w:p>
      <w:pPr>
        <w:pStyle w:val="Heading1"/>
        <w:spacing w:after="160" w:before="360"/>
      </w:pPr>
      <w:r>
        <w:t xml:space="preserve">5. Routing Architecture — iBGP Core, eBGP Edge</w:t>
      </w:r>
    </w:p>
    <w:p>
      <w:pPr>
        <w:spacing w:after="160" w:line="276"/>
      </w:pPr>
      <w:r>
        <w:t xml:space="preserve">Industry practice for hyperscale Clos fabrics (RFC 7938, “Use of BGP for Routing in Large-Scale Data Centers”) favors eBGP-only designs, with a unique ASN per switch, precisely to avoid iBGP's full-mesh and route-reflector complexity. This design intentionally departs from that pattern at the user's specification, using the more traditional enterprise/service-provider model instead: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single internal Autonomous System (AS 4200000001, drawn from the 32-bit private range, RFC 6996) covers the entire datacenter core. Every switch, gateway, and border router inside the pod is an iBGP speaker in this one AS.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iBGP is deployed with hierarchical route reflection — never full mesh. RR-A (co-located with the Ethernet/border side) and RR-B (co-located with the InfiniBand/quantum side) each run as a redundant pair, peer with every switch and gateway in their domain as RR-clients, and peer with each other RR↔RR so routes propagate across domains without every device needing a session to every other device.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eBGP is used exclusively at the datacenter boundary: Border Router A ↔ AS 65551 (upstream transit) and Border Router B ↔ AS 65552 (partner/peering). These are single-hop, point-to-point eBGP sessions, authenticated (TCP-AO), with max-prefix limits and RPKI origin validation — consistent with RFC 7938's eBGP hygiene recommendations even though the internal design is iBGP.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ECMP is enabled throughout both fabrics for multipathing across the Clos spine tiers; internal prefixes are carried in full (no summarization across tiers), so a single link failure cannot black-hole traffic.</w:t>
      </w:r>
    </w:p>
    <w:p>
      <w:pPr>
        <w:spacing w:after="160" w:line="276"/>
      </w:pPr>
      <w:r>
        <w:t xml:space="preserve">Trade-off, stated plainly: eBGP-only designs scale further with less RR-scaling engineering, which is why hyperscalers use them. The iBGP-core/eBGP-edge model here trades some of that horizontal ceiling for simpler AS-path semantics inside the pod and a single, auditable trust boundary (the AS edge) for zero-trust policy — appropriate at reference-pod scale, and revisitable if the design is scaled to many more pods than route reflectors can comfortably serve.</w:t>
      </w:r>
    </w:p>
    <w:p>
      <w:pPr>
        <w:pStyle w:val="Heading1"/>
        <w:spacing w:after="160" w:before="360"/>
      </w:pPr>
      <w:r>
        <w:t xml:space="preserve">6. Zero-Trust Security Architecture (NIST SP 800-207)</w:t>
      </w:r>
    </w:p>
    <w:p>
      <w:pPr>
        <w:spacing w:after="160" w:line="276"/>
      </w:pPr>
      <w:r>
        <w:t xml:space="preserve">Every resource in this design — a rack, a host, a VM, a stored dataset, an API — is treated as a protected resource behind a Policy Enforcement Point (PEP), never trusted by virtue of network location. A central Policy Decision Point (PDP), shown as the “Out-of-Band Management Fabric + PDP” band in the diagram, creates, stores, and evaluates policy; every PEP enforces what the PDP decides, in real time, per session.</w:t>
      </w:r>
    </w:p>
    <w:p>
      <w:pPr>
        <w:pStyle w:val="Heading2"/>
        <w:spacing w:after="120" w:before="260"/>
      </w:pPr>
      <w:r>
        <w:t xml:space="preserve">6.1 Core tenets applied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Never trust, always verify — every session (BGP, storage mount, hypervisor API call, webapp request) authenticates and is authorized per-session, not once at the perimeter.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Least privilege — a GPU/ML job gets read access to the specific VAST namespace it needs, not the whole data lake; a webapp container gets the specific Nutanix AOS volume it serves, not cluster-wide access.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Secure all communications — mTLS (or IPsec where mTLS isn't native, e.g. some BGP/management sessions use TCP-AO plus an out-of-band encrypted management path) regardless of whether the link is “inside” the datacenter.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Continuous diagnostics and monitoring — every PEP forwards session telemetry to the PDP / SIEM; policy can react to anomalous behavior mid-session, not just at connection setup.</w:t>
      </w:r>
    </w:p>
    <w:p>
      <w:pPr>
        <w:pStyle w:val="Heading3"/>
        <w:spacing w:after="100" w:before="200"/>
      </w:pPr>
      <w:r>
        <w:t xml:space="preserve">Identity fabric</w:t>
      </w:r>
    </w:p>
    <w:p>
      <w:pPr>
        <w:spacing w:after="160" w:line="276"/>
      </w:pPr>
      <w:r>
        <w:t xml:space="preserve">Every node and workload is issued a cryptographic identity (SPIFFE/SPIRE-style X.509 SVIDs, rooted in a hardware root of trust / TPM where available) at boot or deploy time. BGP sessions, storage mounts, hypervisor control-plane calls, and webapp-to-backend calls all authenticate using this identity rather than IP address or network zone — IP addressing (Section 4) provides routability, not trust.</w:t>
      </w:r>
    </w:p>
    <w:p>
      <w:pPr>
        <w:pStyle w:val="Heading2"/>
        <w:spacing w:after="120" w:before="260"/>
      </w:pPr>
      <w:r>
        <w:t xml:space="preserve">6.2 Policy enforcement points by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3744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PEP implementation</w:t>
            </w:r>
          </w:p>
        </w:tc>
        <w:tc>
          <w:tcPr>
            <w:tcW w:type="dxa" w:w="3744"/>
            <w:shd w:fill="2A78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Enforces</w:t>
            </w:r>
          </w:p>
        </w:tc>
      </w:tr>
      <w:tr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Border/edge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Perimeter WAF/IPS/DDoS scrub + border router ACLs/flowspec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All north–south traffic; only filtered, RPKI-valid eBGP routes accepted</w:t>
            </w:r>
          </w:p>
        </w:tc>
      </w:tr>
      <w:tr>
        <w:tc>
          <w:tcPr>
            <w:tcW w:type="dxa" w:w="1872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Quantum gateway</w:t>
            </w:r>
          </w:p>
        </w:tc>
        <w:tc>
          <w:tcPr>
            <w:tcW w:type="dxa" w:w="374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Dual-homed gateway, workload-identity-signed sessions</w:t>
            </w:r>
          </w:p>
        </w:tc>
        <w:tc>
          <w:tcPr>
            <w:tcW w:type="dxa" w:w="374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The single L3 boundary between InfiniBand and Ethernet fabrics</w:t>
            </w:r>
          </w:p>
        </w:tc>
      </w:tr>
      <w:tr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VAST data lake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Per-tenant view policy (VAST) + workload SVID auth on C-Node mounts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Which identities may read/write which namespace</w:t>
            </w:r>
          </w:p>
        </w:tc>
      </w:tr>
      <w:tr>
        <w:tc>
          <w:tcPr>
            <w:tcW w:type="dxa" w:w="1872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web tier</w:t>
            </w:r>
          </w:p>
        </w:tc>
        <w:tc>
          <w:tcPr>
            <w:tcW w:type="dxa" w:w="374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Flow microsegmentation + identity-aware proxy + WAF/mTLS ingress</w:t>
            </w:r>
          </w:p>
        </w:tc>
        <w:tc>
          <w:tcPr>
            <w:tcW w:type="dxa" w:w="374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East-west VM–VM traffic and all public ingress</w:t>
            </w:r>
          </w:p>
        </w:tc>
      </w:tr>
      <w:tr>
        <w:tc>
          <w:tcPr>
            <w:tcW w:type="dxa" w:w="187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Management/PDP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Isolated OOB network, break-glass access logged and time-boxed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Who may change policy itself</w:t>
            </w:r>
          </w:p>
        </w:tc>
      </w:tr>
    </w:tbl>
    <w:p>
      <w:pPr>
        <w:pStyle w:val="Heading1"/>
        <w:spacing w:after="160" w:before="360"/>
      </w:pPr>
      <w:r>
        <w:t xml:space="preserve">7. Primary Data Flow — Quantum Result to Public Insight</w:t>
      </w:r>
    </w:p>
    <w:p>
      <w:pPr>
        <w:spacing w:after="160" w:line="276"/>
      </w:pPr>
      <w:r>
        <w:t xml:space="preserve">The design exists to serve one end-to-end pipeline: an algorithm that only the QPU can run, synthesized by ML into something a human consumer can use, published where they can reach it. Steps below correspond to the numbered badges in the companion diagram.</w:t>
      </w:r>
    </w:p>
    <w:p>
      <w:pPr>
        <w:spacing w:after="140" w:line="276"/>
      </w:pPr>
      <w:r>
        <w:rPr>
          <w:b/>
          <w:bCs/>
        </w:rPr>
        <w:t xml:space="preserve">1. Quantum → VAST: </w:t>
      </w:r>
      <w:r>
        <w:t xml:space="preserve">The classical control cluster completes a QPU job and hands the result set to the dual-homed gateway, which streams it into VAST's D-/C-Nodes over NVMe-oF/RDMA on the InfiniBand fabric (IPoIB, IPv6), mTLS- and workload-identity-signed at the gateway PEP.</w:t>
      </w:r>
    </w:p>
    <w:p>
      <w:pPr>
        <w:spacing w:after="140" w:line="276"/>
      </w:pPr>
      <w:r>
        <w:rPr>
          <w:b/>
          <w:bCs/>
        </w:rPr>
        <w:t xml:space="preserve">2. VAST → GPU/ML: </w:t>
      </w:r>
      <w:r>
        <w:t xml:space="preserve">VAST's C-Nodes present the freshly-landed dataset to the GPU/ML rack via the same all-to-all NVMe-oF mount every C-Node exposes at boot — the training/inference cluster reads it with no additional data movement off-fabric.</w:t>
      </w:r>
    </w:p>
    <w:p>
      <w:pPr>
        <w:spacing w:after="140" w:line="276"/>
      </w:pPr>
      <w:r>
        <w:rPr>
          <w:b/>
          <w:bCs/>
        </w:rPr>
        <w:t xml:space="preserve">3. ML → Gateway: </w:t>
      </w:r>
      <w:r>
        <w:t xml:space="preserve">The Ray/PyTorch cluster synthesizes the quantum output (pattern extraction, surrogate modeling, or a further hybrid classical–quantum learning loop) and hands the result back to the dual-homed gateway for cross-fabric egress.</w:t>
      </w:r>
    </w:p>
    <w:p>
      <w:pPr>
        <w:spacing w:after="140" w:line="276"/>
      </w:pPr>
      <w:r>
        <w:rPr>
          <w:b/>
          <w:bCs/>
        </w:rPr>
        <w:t xml:space="preserve">4. Gateway → Nutanix: </w:t>
      </w:r>
      <w:r>
        <w:t xml:space="preserve">The gateway pushes the synthesized result across the L3 IPv6 fabric boundary (PEP-enforced, identity-checked) into Nutanix AOS storage on Rack A of the Ethernet fabric — the results landing zone.</w:t>
      </w:r>
    </w:p>
    <w:p>
      <w:pPr>
        <w:spacing w:after="140" w:line="276"/>
      </w:pPr>
      <w:r>
        <w:rPr>
          <w:b/>
          <w:bCs/>
        </w:rPr>
        <w:t xml:space="preserve">5. Nutanix → Internet: </w:t>
      </w:r>
      <w:r>
        <w:t xml:space="preserve">Kubernetes-on-AHV webapps and APIs on Rack C read the landed results and publish them publicly. Egress passes through Nutanix Flow microsegmentation, the identity-aware proxy, the WAF/mTLS ingress PEP, up through the Ethernet spine, and out through the border pod's eBGP edge to the public IPv6 GUA internet.</w:t>
      </w:r>
    </w:p>
    <w:p>
      <w:pPr>
        <w:spacing w:after="160" w:line="276"/>
      </w:pPr>
      <w:r>
        <w:t xml:space="preserve">No step in this pipeline crosses a fabric or trust boundary without passing through an explicit PEP; the PDP can observe and, if necessary, halt the pipeline at any of the five hops without redesigning the network.</w:t>
      </w:r>
    </w:p>
    <w:p>
      <w:pPr>
        <w:pStyle w:val="Heading1"/>
        <w:spacing w:after="160" w:before="360"/>
      </w:pPr>
      <w:r>
        <w:t xml:space="preserve">8. Scaling &amp; Evolution Notes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Horizontal, not vertical, growth: add more Ethernet and InfiniBand aggregation blocks (each with its own spine/leaf) rather than growing either spine tier past its ECMP fan-out limit — this mirrors how Jupiter scales aggregation blocks against a shared spine layer.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Route-reflector scaling: as pods multiply, add RR clusters per fabric domain rather than widening any single RR's client count; hierarchical reflection (a top-level RR tier above per-domain RRs) is the next step if the two-cluster design in Section 5 becomes a bottleneck.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Optical circuit switching (OCS): Google's own Jupiter evolved from a fixed Clos spine to an OCS-mediated topology specifically to decouple spine capacity upgrades (40G→100G→200G→400G+) from a full fabric replacement. If this design scales past a handful of pods, introducing OCS at the spine tier — rather than repeating this reference pod's fixed-speed spine — is the recommended next evolution.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Multiple quantum cores: nothing in the design assumes a single QPU; additional quantum core pods dual-home into both fabrics the same way, each behind its own gateway PEP, sharing the same iBGP core and PDP.</w:t>
      </w:r>
    </w:p>
    <w:p>
      <w:pPr>
        <w:pStyle w:val="Heading1"/>
        <w:spacing w:after="160" w:before="360"/>
      </w:pPr>
      <w:r>
        <w:t xml:space="preserve">9. Sources Consulted</w:t>
      </w:r>
    </w:p>
    <w:p>
      <w:pPr>
        <w:spacing w:after="160" w:line="276"/>
      </w:pPr>
      <w:r>
        <w:t xml:space="preserve">This design was informed by the following primary sources; consult them for authoritative detail beyond this reference architecture.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Google, “Jupiter Rising: A Decade of Clos Topologies and Centralized Control in Google's Datacenter Network,” SIGCOMM 2015 — conferences.sigcomm.org/sigcomm/2015/pdf/papers/p183.pdf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Google Cloud Blog, “The evolution of Google's Jupiter data center network” — cloud.google.com/blog/topics/systems/the-evolution-of-googles-jupiter-data-center-network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IETF RFC 7938, “Use of BGP for Routing in Large-Scale Data Centers” — rfc-editor.org/rfc/rfc7938.html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NIST SP 800-207, “Zero Trust Architecture” — summarized via island.io/content/compliance/nist-800-207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VAST Data, “The VAST AI Operating System” white paper (DASE architecture, C-Nodes/D-Nodes) — vastdata.com/whitepaper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Nutanix Bible / Nutanix AHV and CVM architecture documentation — nutanixbible.com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A78D6" w:sz="8" w:space="4"/>
      </w:pBdr>
      <w:spacing w:after="160" w:before="360"/>
    </w:pPr>
    <w:rPr>
      <w:rFonts w:ascii="Calibri" w:cs="Calibri" w:eastAsia="Calibri" w:hAnsi="Calibri"/>
      <w:b/>
      <w:bCs/>
      <w:color w:val="1A1A1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2026-08-16T04:04:37.737Z</dcterms:created>
  <dcterms:modified xsi:type="dcterms:W3CDTF">2026-08-16T04:04:37.747Z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