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b/>
          <w:bCs/>
          <w:color w:val="EB6834"/>
          <w:sz w:val="46"/>
          <w:szCs w:val="46"/>
        </w:rPr>
        <w:t xml:space="preserve">ALPHA-PHASE HYBRID CLOUD MESH</w:t>
      </w:r>
    </w:p>
    <w:p>
      <w:pPr>
        <w:spacing w:after="260"/>
      </w:pPr>
      <w:r>
        <w:rPr>
          <w:color w:val="52514E"/>
          <w:sz w:val="28"/>
          <w:szCs w:val="28"/>
        </w:rPr>
        <w:t xml:space="preserve">Reference Network Architecture — Edge to Multicloud</w:t>
      </w:r>
    </w:p>
    <w:p>
      <w:pPr>
        <w:spacing w:after="40"/>
      </w:pPr>
      <w:r>
        <w:rPr>
          <w:i/>
          <w:iCs/>
          <w:color w:val="898781"/>
          <w:sz w:val="20"/>
          <w:szCs w:val="20"/>
        </w:rPr>
        <w:t xml:space="preserve">WireGuard-encrypted mesh · per-pod BGP autonomous systems · IPv6-only · Nutanix throughout the owned/colo tier · NIST SP 800-207 zero trust</w:t>
      </w:r>
    </w:p>
    <w:p>
      <w:pPr>
        <w:pBdr>
          <w:bottom w:val="single" w:color="C3C2B7" w:sz="6" w:space="1"/>
        </w:pBdr>
        <w:spacing w:after="240" w:before="120"/>
      </w:pPr>
    </w:p>
    <w:p>
      <w:pPr>
        <w:spacing w:after="140" w:line="276"/>
      </w:pPr>
      <w:r>
        <w:rPr>
          <w:b/>
          <w:bCs/>
        </w:rPr>
        <w:t xml:space="preserve">Scope: </w:t>
      </w:r>
      <w:r>
        <w:t xml:space="preserve">This document specifies the Alpha-phase hybrid-cloud connectivity architecture: a mesh of independently-numbered network pods, from a single edge device through on-prem, colocation, and a private European cloud, forking in parallel into five public hyperscalers. It is a standalone design — not a scaled-down version of the Quantum Datacenter reference architecture delivered previously — though it deliberately reuses that design's IPv6, zero-trust, and BGP conventions for a consistent house style.</w:t>
      </w:r>
    </w:p>
    <w:p>
      <w:pPr>
        <w:spacing w:after="140" w:line="276"/>
      </w:pPr>
      <w:r>
        <w:rPr>
          <w:b/>
          <w:bCs/>
        </w:rPr>
        <w:t xml:space="preserve">Companion diagram: </w:t>
      </w:r>
      <w:r>
        <w:t xml:space="preserve">hybrid-cloud-mesh-network-diagram.html — box names, AS numbers, and the five numbered flow steps below correspond 1:1 to the diagram.</w:t>
      </w:r>
    </w:p>
    <w:p>
      <w:pPr>
        <w:spacing w:after="140" w:line="276"/>
      </w:pPr>
      <w:r>
        <w:rPr>
          <w:b/>
          <w:bCs/>
        </w:rPr>
        <w:t xml:space="preserve">Program context: </w:t>
      </w:r>
      <w:r>
        <w:t xml:space="preserve">This is the Alpha phase of a two-phase program. Beta is the customer's dedicated, localized datacenter built around the quantum-computing strategy (see the companion Quantum Datacenter reference architecture) — expected to move through roughly a 64-month procurement and sales cycle before it is built and operational. This Alpha mesh is the interim, deployable-now fabric that carries real workloads and validates the connectivity model for the duration of that cycle. See Section 9.</w:t>
      </w:r>
    </w:p>
    <w:p>
      <w:pPr>
        <w:pStyle w:val="Heading1"/>
        <w:spacing w:after="160" w:before="360"/>
      </w:pPr>
      <w:r>
        <w:t xml:space="preserve">1. Design Goals &amp; Constraints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 literal, ordered connectivity chain: Edge (Intel NUC) → local comm-closet Nutanix cluster → Equinix COLO A Nutanix cluster → OVH Cloud Nutanix cluster → Equinix COLO B Nutanix cluster → parallel fork to five hyperscalers (DigitalOcean, AWS, Azure, GCP, IBM Cloud).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 true mesh, not just a chain: every hop above is the primary path, but each pod additionally holds one or more redundant peerings to a non-adjacent pod, so a single site or link failure does not partition the mesh.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BGP as the sole routing protocol between pods — each pod is its own autonomous system, peering eBGP with every pod it has a direct tunnel to. No IGP, no static routing between pods.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WireGuard as the only transport between pods — every inter-pod link, primary or redundant, is an encrypted, authenticated WireGuard tunnel. There is no plaintext or unauthenticated hop anywhere in the mesh.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IPv6-only addressing, consistent with the Quantum Datacenter design's conventions, using a distinct ULA range so the two designs' address spaces never collide if they are ever bridged.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Nutanix hyperconverged infrastructure at every owned/colo/private-cloud hop (comm closet, both Equinix COLOs, OVH); public hyperscaler pods are cloud-native landing zones, with Nutanix Cloud Clusters (NC2) used natively on AWS and Azure.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Zero trust throughout — WireGuard's own public-key identity model doubles as the zero-trust device/pod identity, reinforced by a central mesh controller acting as the NIST SP 800-207 Policy Decision Point.</w:t>
      </w:r>
    </w:p>
    <w:p>
      <w:pPr>
        <w:pStyle w:val="Heading1"/>
        <w:spacing w:after="160" w:before="360"/>
      </w:pPr>
      <w:r>
        <w:t xml:space="preserve">2. Pod Inventory &amp; Topology</w:t>
      </w:r>
    </w:p>
    <w:p>
      <w:pPr>
        <w:spacing w:after="160" w:line="276"/>
      </w:pPr>
      <w:r>
        <w:t xml:space="preserve">Ten pods make up the reference mesh: five on the primary chain, five at the multicloud fork. Every pod is a distinct BGP autonomous system and a distinct WireGuard peer — “pod” here means a logically and administratively separate site, not a rack or a single machine.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306"/>
        <w:gridCol w:w="1310"/>
        <w:gridCol w:w="1685"/>
      </w:tblGrid>
      <w:tr>
        <w:trPr>
          <w:tblHeader/>
        </w:trPr>
        <w:tc>
          <w:tcPr>
            <w:tcW w:type="dxa" w:w="2059"/>
            <w:shd w:fill="EB68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Pod</w:t>
            </w:r>
          </w:p>
        </w:tc>
        <w:tc>
          <w:tcPr>
            <w:tcW w:type="dxa" w:w="4306"/>
            <w:shd w:fill="EB68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/ contents</w:t>
            </w:r>
          </w:p>
        </w:tc>
        <w:tc>
          <w:tcPr>
            <w:tcW w:type="dxa" w:w="1310"/>
            <w:shd w:fill="EB68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</w:t>
            </w:r>
          </w:p>
        </w:tc>
        <w:tc>
          <w:tcPr>
            <w:tcW w:type="dxa" w:w="1685"/>
            <w:shd w:fill="EB68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IPv6 /48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Edge Pod</w:t>
            </w:r>
          </w:p>
        </w:tc>
        <w:tc>
          <w:tcPr>
            <w:tcW w:type="dxa" w:w="43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Intel NUC cluster — edge compute, roaming WireGuard peer</w:t>
            </w:r>
          </w:p>
        </w:tc>
        <w:tc>
          <w:tcPr>
            <w:tcW w:type="dxa" w:w="13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65001</w:t>
            </w:r>
          </w:p>
        </w:tc>
        <w:tc>
          <w:tcPr>
            <w:tcW w:type="dxa" w:w="168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fd20:mesh:1::/48</w:t>
            </w:r>
          </w:p>
        </w:tc>
      </w:tr>
      <w:tr>
        <w:tc>
          <w:tcPr>
            <w:tcW w:type="dxa" w:w="2059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Comm Closet Pod</w:t>
            </w:r>
          </w:p>
        </w:tc>
        <w:tc>
          <w:tcPr>
            <w:tcW w:type="dxa" w:w="4306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Local comm servers — on-prem Nutanix (AHV+CVM) cluster</w:t>
            </w:r>
          </w:p>
        </w:tc>
        <w:tc>
          <w:tcPr>
            <w:tcW w:type="dxa" w:w="1310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65002</w:t>
            </w:r>
          </w:p>
        </w:tc>
        <w:tc>
          <w:tcPr>
            <w:tcW w:type="dxa" w:w="168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fd20:mesh:2::/48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Equinix COLO A</w:t>
            </w:r>
          </w:p>
        </w:tc>
        <w:tc>
          <w:tcPr>
            <w:tcW w:type="dxa" w:w="43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Nutanix cluster — colo ingress hub, Equinix Fabric cross-connect</w:t>
            </w:r>
          </w:p>
        </w:tc>
        <w:tc>
          <w:tcPr>
            <w:tcW w:type="dxa" w:w="13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65003</w:t>
            </w:r>
          </w:p>
        </w:tc>
        <w:tc>
          <w:tcPr>
            <w:tcW w:type="dxa" w:w="168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fd20:mesh:3::/48</w:t>
            </w:r>
          </w:p>
        </w:tc>
      </w:tr>
      <w:tr>
        <w:tc>
          <w:tcPr>
            <w:tcW w:type="dxa" w:w="2059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OVH Cloud</w:t>
            </w:r>
          </w:p>
        </w:tc>
        <w:tc>
          <w:tcPr>
            <w:tcW w:type="dxa" w:w="4306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Nutanix cluster — EU private-cloud region, bare-metal hosted</w:t>
            </w:r>
          </w:p>
        </w:tc>
        <w:tc>
          <w:tcPr>
            <w:tcW w:type="dxa" w:w="1310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65004</w:t>
            </w:r>
          </w:p>
        </w:tc>
        <w:tc>
          <w:tcPr>
            <w:tcW w:type="dxa" w:w="168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fd20:mesh:4::/48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Equinix COLO B</w:t>
            </w:r>
          </w:p>
        </w:tc>
        <w:tc>
          <w:tcPr>
            <w:tcW w:type="dxa" w:w="43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Nutanix cluster — multicloud fork hub, on-ramps to all 5 clouds</w:t>
            </w:r>
          </w:p>
        </w:tc>
        <w:tc>
          <w:tcPr>
            <w:tcW w:type="dxa" w:w="13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65005</w:t>
            </w:r>
          </w:p>
        </w:tc>
        <w:tc>
          <w:tcPr>
            <w:tcW w:type="dxa" w:w="168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fd20:mesh:5::/48</w:t>
            </w:r>
          </w:p>
        </w:tc>
      </w:tr>
      <w:tr>
        <w:tc>
          <w:tcPr>
            <w:tcW w:type="dxa" w:w="2059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DigitalOcean Pod</w:t>
            </w:r>
          </w:p>
        </w:tc>
        <w:tc>
          <w:tcPr>
            <w:tcW w:type="dxa" w:w="4306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Cloud landing zone — Droplets / VPC</w:t>
            </w:r>
          </w:p>
        </w:tc>
        <w:tc>
          <w:tcPr>
            <w:tcW w:type="dxa" w:w="1310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65010</w:t>
            </w:r>
          </w:p>
        </w:tc>
        <w:tc>
          <w:tcPr>
            <w:tcW w:type="dxa" w:w="168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fd20:mesh:10::/48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AWS Pod</w:t>
            </w:r>
          </w:p>
        </w:tc>
        <w:tc>
          <w:tcPr>
            <w:tcW w:type="dxa" w:w="43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Cloud landing zone — Nutanix Cloud Clusters (NC2) on AWS + VPC</w:t>
            </w:r>
          </w:p>
        </w:tc>
        <w:tc>
          <w:tcPr>
            <w:tcW w:type="dxa" w:w="13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65011</w:t>
            </w:r>
          </w:p>
        </w:tc>
        <w:tc>
          <w:tcPr>
            <w:tcW w:type="dxa" w:w="168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fd20:mesh:11::/48</w:t>
            </w:r>
          </w:p>
        </w:tc>
      </w:tr>
      <w:tr>
        <w:tc>
          <w:tcPr>
            <w:tcW w:type="dxa" w:w="2059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Azure Pod</w:t>
            </w:r>
          </w:p>
        </w:tc>
        <w:tc>
          <w:tcPr>
            <w:tcW w:type="dxa" w:w="4306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Cloud landing zone — Nutanix Cloud Clusters (NC2) on Azure + VNet</w:t>
            </w:r>
          </w:p>
        </w:tc>
        <w:tc>
          <w:tcPr>
            <w:tcW w:type="dxa" w:w="1310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65012</w:t>
            </w:r>
          </w:p>
        </w:tc>
        <w:tc>
          <w:tcPr>
            <w:tcW w:type="dxa" w:w="168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fd20:mesh:12::/48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GCP Pod</w:t>
            </w:r>
          </w:p>
        </w:tc>
        <w:tc>
          <w:tcPr>
            <w:tcW w:type="dxa" w:w="430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Cloud landing zone — Compute Engine / VPC</w:t>
            </w:r>
          </w:p>
        </w:tc>
        <w:tc>
          <w:tcPr>
            <w:tcW w:type="dxa" w:w="13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65013</w:t>
            </w:r>
          </w:p>
        </w:tc>
        <w:tc>
          <w:tcPr>
            <w:tcW w:type="dxa" w:w="168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fd20:mesh:13::/48</w:t>
            </w:r>
          </w:p>
        </w:tc>
      </w:tr>
      <w:tr>
        <w:tc>
          <w:tcPr>
            <w:tcW w:type="dxa" w:w="2059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IBM Cloud Pod</w:t>
            </w:r>
          </w:p>
        </w:tc>
        <w:tc>
          <w:tcPr>
            <w:tcW w:type="dxa" w:w="4306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Cloud landing zone — VPC</w:t>
            </w:r>
          </w:p>
        </w:tc>
        <w:tc>
          <w:tcPr>
            <w:tcW w:type="dxa" w:w="1310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65014</w:t>
            </w:r>
          </w:p>
        </w:tc>
        <w:tc>
          <w:tcPr>
            <w:tcW w:type="dxa" w:w="168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fd20:mesh:14::/48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AS numbers are drawn from the 16-bit private range (64512–65534, RFC 6996) — these number the overlay mesh itself, not any pod's presence on the public internet. Section 8 covers how this maps onto each hyperscaler's real, publicly-routed backbone when the design moves from overlay-only to a production on-ramp.</w:t>
      </w:r>
    </w:p>
    <w:p>
      <w:pPr>
        <w:pStyle w:val="Heading1"/>
        <w:spacing w:after="160" w:before="360"/>
      </w:pPr>
      <w:r>
        <w:t xml:space="preserve">3. Primary Path &amp; Mesh Redundancy</w:t>
      </w:r>
    </w:p>
    <w:p>
      <w:pPr>
        <w:pStyle w:val="Heading2"/>
        <w:spacing w:after="120" w:before="260"/>
      </w:pPr>
      <w:r>
        <w:t xml:space="preserve">3.1 Primary path (the chain, in order)</w:t>
      </w:r>
    </w:p>
    <w:p>
      <w:pPr>
        <w:spacing w:after="140" w:line="276"/>
      </w:pPr>
      <w:r>
        <w:rPr>
          <w:b/>
          <w:bCs/>
        </w:rPr>
        <w:t xml:space="preserve">1. Edge → Comm Closet: </w:t>
      </w:r>
      <w:r>
        <w:t xml:space="preserve">the Intel NUC edge pod holds a roaming WireGuard peer (NAT-traversed, dynamic endpoint) to the on-prem Nutanix comm-closet cluster.</w:t>
      </w:r>
    </w:p>
    <w:p>
      <w:pPr>
        <w:spacing w:after="140" w:line="276"/>
      </w:pPr>
      <w:r>
        <w:rPr>
          <w:b/>
          <w:bCs/>
        </w:rPr>
        <w:t xml:space="preserve">2. Comm Closet → Equinix COLO A: </w:t>
      </w:r>
      <w:r>
        <w:t xml:space="preserve">the comm-closet cluster holds a fixed WireGuard peer to the first colo Nutanix cluster, additionally reachable over an Equinix Fabric cross-connect where available.</w:t>
      </w:r>
    </w:p>
    <w:p>
      <w:pPr>
        <w:spacing w:after="140" w:line="276"/>
      </w:pPr>
      <w:r>
        <w:rPr>
          <w:b/>
          <w:bCs/>
        </w:rPr>
        <w:t xml:space="preserve">3. Equinix COLO A → OVH Cloud: </w:t>
      </w:r>
      <w:r>
        <w:t xml:space="preserve">the colo ingress hub tunnels onward to the OVH-hosted Nutanix cluster.</w:t>
      </w:r>
    </w:p>
    <w:p>
      <w:pPr>
        <w:spacing w:after="140" w:line="276"/>
      </w:pPr>
      <w:r>
        <w:rPr>
          <w:b/>
          <w:bCs/>
        </w:rPr>
        <w:t xml:space="preserve">4. OVH → Equinix COLO B: </w:t>
      </w:r>
      <w:r>
        <w:t xml:space="preserve">the OVH cluster reaches the second colo Nutanix cluster — the pod designated as the multicloud fork hub.</w:t>
      </w:r>
    </w:p>
    <w:p>
      <w:pPr>
        <w:spacing w:after="140" w:line="276"/>
      </w:pPr>
      <w:r>
        <w:rPr>
          <w:b/>
          <w:bCs/>
        </w:rPr>
        <w:t xml:space="preserve">5. Equinix COLO B → 5 hyperscalers: </w:t>
      </w:r>
      <w:r>
        <w:t xml:space="preserve">COLO B forks in parallel over five simultaneous WireGuard tunnels, each carrying its own eBGP session, to DigitalOcean, AWS, Azure, GCP, and IBM Cloud. “Parallel” here means concurrent, independent sessions — not a single link split five ways — so one cloud's reachability never depends on another's.</w:t>
      </w:r>
    </w:p>
    <w:p>
      <w:pPr>
        <w:pStyle w:val="Heading2"/>
        <w:spacing w:after="120" w:before="260"/>
      </w:pPr>
      <w:r>
        <w:t xml:space="preserve">3.2 Mesh redundancy</w:t>
      </w:r>
    </w:p>
    <w:p>
      <w:pPr>
        <w:spacing w:after="160" w:line="276"/>
      </w:pPr>
      <w:r>
        <w:t xml:space="preserve">A pure five-hop chain has five single points of failure. The mesh model adds redundant WireGuard+eBGP peerings so any one pod or link can fail without partitioning the network: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Edge ↔ Equinix COLO A — bypasses the comm closet if it is offline.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Equinix COLO A ↔ Equinix COLO B — a direct colo-to-colo backbone (realistically an Equinix Fabric virtual connection between the two IBX facilities) that bypasses OVH entirely.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Each of the five hyperscaler pods ↔ Equinix COLO A — a second on-ramp so the fork survives COLO B being unreachable, not only OVH or COLO A.</w:t>
      </w:r>
    </w:p>
    <w:p>
      <w:pPr>
        <w:spacing w:after="160" w:line="276"/>
      </w:pPr>
      <w:r>
        <w:t xml:space="preserve">With these links in place, BGP's normal best-path selection and ECMP handle failover automatically — no pod needs to be reconfigured by hand when a link or site drops; the surviving eBGP peerings simply become the best path.</w:t>
      </w:r>
    </w:p>
    <w:p>
      <w:pPr>
        <w:pStyle w:val="Heading1"/>
        <w:spacing w:after="160" w:before="360"/>
      </w:pPr>
      <w:r>
        <w:t xml:space="preserve">4. WireGuard Mesh Design</w:t>
      </w:r>
    </w:p>
    <w:p>
      <w:pPr>
        <w:spacing w:after="160" w:line="276"/>
      </w:pPr>
      <w:r>
        <w:t xml:space="preserve">WireGuard is the only transport used between pods. Every primary-path and mesh-redundancy link in Section 3 is one WireGuard tunnel, and every tunnel carries exactly one eBGP session between the two pods' gateway nodes.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Identity: each pod's WireGuard keypair is its cryptographic identity. There is no username/password, no shared secret, and no implicit trust from source IP — a peer is only accepted if its public key is provisioned by the mesh controller.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Key management: a central WireGuard Mesh Controller issues, distributes, and rotates every pod's keypair and pushes the resulting peer/AllowedIPs configuration. This controller is also the zero-trust Policy Decision Point described in Section 7 — key issuance and access policy are the same control plane, not two separate systems.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AllowedIPs as policy: each WireGuard peer's AllowedIPs list is scoped to exactly the prefixes that pod is authorized to exchange — not “0::/0”. This makes WireGuard's own configuration a policy enforcement mechanism, not just a transport, and is the first PEP layer before BGP or any host firewall is even consulted.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Roaming edge peers: the Edge Pod's Intel NUC is expected to change network location and hold a dynamic endpoint; WireGuard's built-in roaming (re-keying on endpoint change without dropping the tunnel) is relied on here rather than a VPN concentrator or static IP requirement.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Underlying transport: WireGuard runs over whatever IP transport is available at each hop — public internet for the edge and comm-closet legs, and Equinix Fabric virtual circuits or provider backbone links for the colo/cloud legs — the tunnel is always encrypted regardless of what carries it.</w:t>
      </w:r>
    </w:p>
    <w:p>
      <w:pPr>
        <w:pStyle w:val="Heading1"/>
        <w:spacing w:after="160" w:before="360"/>
      </w:pPr>
      <w:r>
        <w:t xml:space="preserve">5. BGP Mesh Design</w:t>
      </w:r>
    </w:p>
    <w:p>
      <w:pPr>
        <w:spacing w:after="160" w:line="276"/>
      </w:pPr>
      <w:r>
        <w:t xml:space="preserve">Unlike the Quantum Datacenter design's single-AS iBGP-core model, this mesh gives every pod its own autonomous system and peers eBGP over every WireGuard tunnel — appropriate here because each pod is a genuinely separate administrative and physical domain (a different site, a different provider, sometimes a different company's infrastructure entirely).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One eBGP session per WireGuard tunnel, single-hop, running over the tunnel's IPv6 point-to-point addresses.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Each pod originates and advertises only its own /48 (Section 6); no pod advertises a route it did not originate or explicitly agree to transit, preventing an accidental transit-provider role for, say, the comm closet.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Where a pod has more than one eBGP session (every pod on the mesh-redundancy list in Section 3.2), standard eBGP best-path selection provides automatic failover; ECMP is enabled where two paths are genuinely equal-cost, for load distribution across the mesh rather than pure failover.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Route hygiene mirrors the Quantum Datacenter design: max-prefix limits per session, and no pod accepts a default route or a full table from another pod — each session only ever carries the small set of specific /48s and /127s relevant to this mesh.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BGP session authentication rides on top of the WireGuard tunnel's own encryption and peer authentication — the tunnel being up and the correct peer identity already having been verified is a precondition for the BGP session to even attempt to establish.</w:t>
      </w:r>
    </w:p>
    <w:p>
      <w:pPr>
        <w:pStyle w:val="Heading1"/>
        <w:spacing w:after="160" w:before="360"/>
      </w:pPr>
      <w:r>
        <w:t xml:space="preserve">6. IPv6 Addressing Plan</w:t>
      </w:r>
    </w:p>
    <w:p>
      <w:pPr>
        <w:spacing w:after="160" w:line="276"/>
      </w:pPr>
      <w:r>
        <w:t xml:space="preserve">A ULA range distinct from the Quantum Datacenter design's fd10:dc01::/32 is used here — fd20:mesh::/32 — so the two designs' address spaces are guaranteed not to collide if a future phase bridges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995"/>
        <w:gridCol w:w="3931"/>
      </w:tblGrid>
      <w:tr>
        <w:trPr>
          <w:tblHeader/>
        </w:trPr>
        <w:tc>
          <w:tcPr>
            <w:tcW w:type="dxa" w:w="2434"/>
            <w:shd w:fill="EB68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995"/>
            <w:shd w:fill="EB68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Prefix type &amp; size</w:t>
            </w:r>
          </w:p>
        </w:tc>
        <w:tc>
          <w:tcPr>
            <w:tcW w:type="dxa" w:w="3931"/>
            <w:shd w:fill="EB68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Whole mesh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ULA /32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fd20:mesh::/32 (shown symbolically; a real deployment uses a random ULA /32 per RFC 4193)</w:t>
            </w:r>
          </w:p>
        </w:tc>
      </w:tr>
      <w:tr>
        <w:tc>
          <w:tcPr>
            <w:tcW w:type="dxa" w:w="2434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Per pod</w:t>
            </w:r>
          </w:p>
        </w:tc>
        <w:tc>
          <w:tcPr>
            <w:tcW w:type="dxa" w:w="299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ULA /48</w:t>
            </w:r>
          </w:p>
        </w:tc>
        <w:tc>
          <w:tcPr>
            <w:tcW w:type="dxa" w:w="3931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fd20:mesh:3::/48 (Equinix COLO A)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WireGuard tunnel interfaces</w:t>
            </w:r>
          </w:p>
        </w:tc>
        <w:tc>
          <w:tcPr>
            <w:tcW w:type="dxa" w:w="299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ULA /127 per tunnel, drawn from a dedicated pool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fd20:mesh:ffff:1::/127</w:t>
            </w:r>
          </w:p>
        </w:tc>
      </w:tr>
      <w:tr>
        <w:tc>
          <w:tcPr>
            <w:tcW w:type="dxa" w:w="2434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Pod-internal subnets</w:t>
            </w:r>
          </w:p>
        </w:tc>
        <w:tc>
          <w:tcPr>
            <w:tcW w:type="dxa" w:w="299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ULA /56 → /64, carved from the pod's /48</w:t>
            </w:r>
          </w:p>
        </w:tc>
        <w:tc>
          <w:tcPr>
            <w:tcW w:type="dxa" w:w="3931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fd20:mesh:3:10::/64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As in the Quantum Datacenter design, SLAAC is disabled on all tunnel and infrastructure interfaces — every address is explicitly assigned by the mesh controller so it is attributable to a specific pod and, ultimately, a specific WireGuard key.</w:t>
      </w:r>
    </w:p>
    <w:p>
      <w:pPr>
        <w:pStyle w:val="Heading1"/>
        <w:spacing w:after="160" w:before="360"/>
      </w:pPr>
      <w:r>
        <w:t xml:space="preserve">7. Zero-Trust Security Model</w:t>
      </w:r>
    </w:p>
    <w:p>
      <w:pPr>
        <w:spacing w:after="160" w:line="276"/>
      </w:pPr>
      <w:r>
        <w:t xml:space="preserve">The same NIST SP 800-207 tenets carry over from the Quantum Datacenter design, but the enforcement mechanism is different: instead of a fleet of dedicated PEP appliances, WireGuard's own cryptographic peer model does most of the work, layered under conventional host/cloud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557"/>
        <w:gridCol w:w="4118"/>
      </w:tblGrid>
      <w:tr>
        <w:trPr>
          <w:tblHeader/>
        </w:trPr>
        <w:tc>
          <w:tcPr>
            <w:tcW w:type="dxa" w:w="1685"/>
            <w:shd w:fill="EB68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57"/>
            <w:shd w:fill="EB68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4118"/>
            <w:shd w:fill="EB68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Enforces</w:t>
            </w:r>
          </w:p>
        </w:tc>
      </w:tr>
      <w:tr>
        <w:tc>
          <w:tcPr>
            <w:tcW w:type="dxa" w:w="168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Transport identity</w:t>
            </w:r>
          </w:p>
        </w:tc>
        <w:tc>
          <w:tcPr>
            <w:tcW w:type="dxa" w:w="355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WireGuard public-key handshake</w:t>
            </w:r>
          </w:p>
        </w:tc>
        <w:tc>
          <w:tcPr>
            <w:tcW w:type="dxa" w:w="411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Only provisioned, known pods can establish a tunnel at all — the first and strongest gate</w:t>
            </w:r>
          </w:p>
        </w:tc>
      </w:tr>
      <w:tr>
        <w:tc>
          <w:tcPr>
            <w:tcW w:type="dxa" w:w="168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Transport policy</w:t>
            </w:r>
          </w:p>
        </w:tc>
        <w:tc>
          <w:tcPr>
            <w:tcW w:type="dxa" w:w="3557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WireGuard AllowedIPs per peer</w:t>
            </w:r>
          </w:p>
        </w:tc>
        <w:tc>
          <w:tcPr>
            <w:tcW w:type="dxa" w:w="411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Exactly which prefixes may cross a given tunnel, in either direction</w:t>
            </w:r>
          </w:p>
        </w:tc>
      </w:tr>
      <w:tr>
        <w:tc>
          <w:tcPr>
            <w:tcW w:type="dxa" w:w="168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Routing policy</w:t>
            </w:r>
          </w:p>
        </w:tc>
        <w:tc>
          <w:tcPr>
            <w:tcW w:type="dxa" w:w="355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eBGP max-prefix + explicit-origin-only advertisement</w:t>
            </w:r>
          </w:p>
        </w:tc>
        <w:tc>
          <w:tcPr>
            <w:tcW w:type="dxa" w:w="411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No pod can inject or transit routes it wasn't explicitly authorized to carry</w:t>
            </w:r>
          </w:p>
        </w:tc>
      </w:tr>
      <w:tr>
        <w:tc>
          <w:tcPr>
            <w:tcW w:type="dxa" w:w="168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Host / cluster policy</w:t>
            </w:r>
          </w:p>
        </w:tc>
        <w:tc>
          <w:tcPr>
            <w:tcW w:type="dxa" w:w="3557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Nutanix Flow microsegmentation (comm closet, both COLOs, OVH)</w:t>
            </w:r>
          </w:p>
        </w:tc>
        <w:tc>
          <w:tcPr>
            <w:tcW w:type="dxa" w:w="411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East–west traffic within each Nutanix cluster</w:t>
            </w:r>
          </w:p>
        </w:tc>
      </w:tr>
      <w:tr>
        <w:tc>
          <w:tcPr>
            <w:tcW w:type="dxa" w:w="168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Cloud policy</w:t>
            </w:r>
          </w:p>
        </w:tc>
        <w:tc>
          <w:tcPr>
            <w:tcW w:type="dxa" w:w="355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VPC/VNet firewalls, security groups, NC2 Flow (AWS/Azure)</w:t>
            </w:r>
          </w:p>
        </w:tc>
        <w:tc>
          <w:tcPr>
            <w:tcW w:type="dxa" w:w="411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East–west and ingress traffic within each hyperscaler landing zone</w:t>
            </w:r>
          </w:p>
        </w:tc>
      </w:tr>
      <w:tr>
        <w:tc>
          <w:tcPr>
            <w:tcW w:type="dxa" w:w="1685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Control plane</w:t>
            </w:r>
          </w:p>
        </w:tc>
        <w:tc>
          <w:tcPr>
            <w:tcW w:type="dxa" w:w="3557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WireGuard Mesh Controller / PDP</w:t>
            </w:r>
          </w:p>
        </w:tc>
        <w:tc>
          <w:tcPr>
            <w:tcW w:type="dxa" w:w="4118"/>
            <w:shd w:fill="F4F3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9"/>
                <w:sz w:val="19"/>
                <w:szCs w:val="19"/>
              </w:rPr>
              <w:t xml:space="preserve">Key issuance, rotation, AllowedIPs policy changes, continuous posture checks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Because every hop is already an authenticated, encrypted WireGuard tunnel, this design has no meaningful “inside the perimeter” — every pod, including ones the organization does not operate the physical hardware for (OVH, the five hyperscalers), is treated identically: a peer with a provisioned key and a scoped AllowedIPs policy, nothing more.</w:t>
      </w:r>
    </w:p>
    <w:p>
      <w:pPr>
        <w:pStyle w:val="Heading1"/>
        <w:spacing w:after="160" w:before="360"/>
      </w:pPr>
      <w:r>
        <w:t xml:space="preserve">8. From Overlay Mesh to Production Cloud On-Ramps</w:t>
      </w:r>
    </w:p>
    <w:p>
      <w:pPr>
        <w:spacing w:after="160" w:line="276"/>
      </w:pPr>
      <w:r>
        <w:t xml:space="preserve">The AS numbers and eBGP sessions in Sections 2 and 4 describe the private overlay mesh — they are not the hyperscalers' own public route tables. A production evolution of this design would additionally establish direct, provider-native interconnects alongside (not instead of) the WireGuard overlay, peering with each provider's real public ASN: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AWS — Direct Connect + Transit Gateway, peering with Amazon's public ASN(s) at the chosen Direct Connect location.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Azure — ExpressRoute, peering with Microsoft's public ASN 8075.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Google Cloud — Cloud Interconnect / Cloud Router, peering with Google's public ASN 15169.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IBM Cloud — Direct Link, peering with IBM's public ASN 36351.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DigitalOcean — no native BGP-based direct-connect product as of this writing; the WireGuard overlay remains the primary path to this pod even in a production topology.</w:t>
      </w:r>
    </w:p>
    <w:p>
      <w:pPr>
        <w:spacing w:after="160" w:line="276"/>
      </w:pPr>
      <w:r>
        <w:t xml:space="preserve">In that evolved state, the WireGuard mesh continues to serve as the encrypted control- and data-plane fabric between pods, while the provider on-ramps add a second, higher-bandwidth physical path for bulk data transfer — the overlay's eBGP sessions and the on-ramps' eBGP sessions run side by side, with local preference tuned to prefer the on-ramp when it is up.</w:t>
      </w:r>
    </w:p>
    <w:p>
      <w:pPr>
        <w:pStyle w:val="Heading1"/>
        <w:spacing w:after="160" w:before="360"/>
      </w:pPr>
      <w:r>
        <w:t xml:space="preserve">9. Program Phasing</w:t>
      </w:r>
    </w:p>
    <w:p>
      <w:pPr>
        <w:spacing w:after="160" w:line="276"/>
      </w:pPr>
      <w:r>
        <w:t xml:space="preserve">This mesh is explicitly the Alpha phase of a two-phase program:</w:t>
      </w:r>
    </w:p>
    <w:p>
      <w:pPr>
        <w:spacing w:after="140" w:line="276"/>
      </w:pPr>
      <w:r>
        <w:rPr>
          <w:b/>
          <w:bCs/>
        </w:rPr>
        <w:t xml:space="preserve">Alpha (this design, near-term): </w:t>
      </w:r>
      <w:r>
        <w:t xml:space="preserve">a commodity edge device, one comm closet, two colocation footprints, one private European cloud, and five public hyperscalers, connected entirely by software (WireGuard + BGP) with minimal capital outlay. It is deployable in weeks, not years, and is intended to carry real workloads and prove the connectivity and security model.</w:t>
      </w:r>
    </w:p>
    <w:p>
      <w:pPr>
        <w:spacing w:after="140" w:line="276"/>
      </w:pPr>
      <w:r>
        <w:rPr>
          <w:b/>
          <w:bCs/>
        </w:rPr>
        <w:t xml:space="preserve">Beta (future): </w:t>
      </w:r>
      <w:r>
        <w:t xml:space="preserve">the customer's dedicated, localized datacenter built around the quantum-computing strategy — the Clos-fabric, InfiniBand/VAST/Nutanix/quantum-core design delivered as the companion Quantum Datacenter reference architecture. That build-out is expected to move through roughly a 64-month procurement and sales cycle from decision to operational capability.</w:t>
      </w:r>
    </w:p>
    <w:p>
      <w:pPr>
        <w:spacing w:after="160" w:line="276"/>
      </w:pPr>
      <w:r>
        <w:t xml:space="preserve">The practical implication is that this Alpha mesh is not a throwaway prototype — it needs to remain the organization's production connectivity fabric for the multi-year span the Beta datacenter's procurement cycle occupies. That is reflected in this design's choices: real redundancy (Section 3.2), real zero-trust enforcement (Section 7), and a stated path to production-grade cloud on-ramps (Section 8) rather than a purely illustrative topology.</w:t>
      </w:r>
    </w:p>
    <w:p>
      <w:pPr>
        <w:pStyle w:val="Heading1"/>
        <w:spacing w:after="160" w:before="360"/>
      </w:pPr>
      <w:r>
        <w:t xml:space="preserve">10. Sources Consulted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Nutanix, “Nutanix Cloud Clusters (NC2)” — nutanix.com/products/nutanix-cloud-clusters (NC2 on AWS and Azure)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bella.network, “Internal BGP with WireGuard” — blog.bella.network/internal-bgp-with-wireguard (FRRouting-over-WireGuard pattern)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Wiunix, “WireGuard Hub and Spoke BGP FRR: Dynamic Routing Across Multiple Sites” — wiunix.com/wireguard-hub-and-spoke-bgp-frr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NYC Mesh, “VPN – WireGuard + OSPF” — docs.nycmesh.net/networking/vpnwireguardospf (community mesh-over-WireGuard precedent)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IETF RFC 6996 (private 16-bit AS number range) and RFC 4193 (ULA)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t xml:space="preserve">NIST SP 800-207, “Zero Trust Architecture”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B6834" w:sz="8" w:space="4"/>
      </w:pBdr>
      <w:spacing w:after="160" w:before="360"/>
    </w:pPr>
    <w:rPr>
      <w:rFonts w:ascii="Calibri" w:cs="Calibri" w:eastAsia="Calibri" w:hAnsi="Calibri"/>
      <w:b/>
      <w:bCs/>
      <w:color w:val="1A1A1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EB683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5251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2026-08-16T04:58:47.639Z</dcterms:created>
  <dcterms:modified xsi:type="dcterms:W3CDTF">2026-08-16T04:58:47.639Z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