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18.png" ContentType="image/png"/>
  <Override PartName="/word/media/rId22.png" ContentType="image/png"/>
  <Override PartName="/word/media/rId9.png" ContentType="image/png"/>
  <Override PartName="/word/media/rId37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universidad-mariano-gálvez-de-guatemala"/>
    <w:p>
      <w:pPr>
        <w:pStyle w:val="Heading1"/>
      </w:pPr>
      <w:r>
        <w:rPr>
          <w:b/>
          <w:bCs/>
        </w:rPr>
        <w:t xml:space="preserve">UNIVERSIDAD MARIANO GÁLVEZ DE GUATEMALA</w:t>
      </w:r>
    </w:p>
    <w:p>
      <w:pPr>
        <w:pStyle w:val="CaptionedFigure"/>
      </w:pPr>
      <w:r>
        <w:drawing>
          <wp:inline>
            <wp:extent cx="2133600" cy="2129803"/>
            <wp:effectExtent b="0" l="0" r="0" t="0"/>
            <wp:docPr descr="Logo UMG" title="" id="10" name="Picture"/>
            <a:graphic>
              <a:graphicData uri="http://schemas.openxmlformats.org/drawingml/2006/picture">
                <pic:pic>
                  <pic:nvPicPr>
                    <pic:cNvPr descr="./logo-umg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129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Logo UMG</w:t>
      </w:r>
    </w:p>
    <w:p>
      <w:pPr>
        <w:pStyle w:val="BodyText"/>
      </w:pPr>
      <w:r>
        <w:rPr>
          <w:b/>
          <w:bCs/>
        </w:rPr>
        <w:t xml:space="preserve">ANÁLISIS DE SISTEMAS II</w:t>
      </w:r>
    </w:p>
    <w:p>
      <w:pPr>
        <w:pStyle w:val="BodyText"/>
      </w:pPr>
      <w:r>
        <w:rPr>
          <w:b/>
          <w:bCs/>
        </w:rPr>
        <w:t xml:space="preserve">Richard Ortiz</w:t>
      </w:r>
    </w:p>
    <w:bookmarkEnd w:id="12"/>
    <w:bookmarkStart w:id="14" w:name="arquitectura-repository"/>
    <w:p>
      <w:pPr>
        <w:pStyle w:val="Heading1"/>
      </w:pPr>
      <w:r>
        <w:t xml:space="preserve">Arquitectura Repository</w:t>
      </w:r>
    </w:p>
    <w:bookmarkStart w:id="13" w:name="X3f81afec2389f1038defa35995e85cf97b93afe"/>
    <w:p>
      <w:pPr>
        <w:pStyle w:val="Heading2"/>
      </w:pPr>
      <w:r>
        <w:t xml:space="preserve">Módulo 20: «Validación de resultados por bioquímico» sobre el repositorio del equipo</w:t>
      </w:r>
    </w:p>
    <w:bookmarkEnd w:id="13"/>
    <w:bookmarkEnd w:id="14"/>
    <w:p>
      <w:pPr>
        <w:pStyle w:val="FirstParagraph"/>
      </w:pPr>
      <w:r>
        <w:rPr>
          <w:b/>
          <w:bCs/>
        </w:rPr>
        <w:t xml:space="preserve">GERSON GIOVANNI ORELLANA VÉLIZ</w:t>
      </w:r>
    </w:p>
    <w:p>
      <w:pPr>
        <w:pStyle w:val="BodyText"/>
      </w:pPr>
      <w:r>
        <w:rPr>
          <w:b/>
          <w:bCs/>
        </w:rPr>
        <w:t xml:space="preserve">Carnet: 1890-23-7082</w:t>
      </w:r>
    </w:p>
    <w:p>
      <w:pPr>
        <w:pStyle w:val="BodyText"/>
      </w:pPr>
      <w:r>
        <w:rPr>
          <w:b/>
          <w:bCs/>
        </w:rPr>
        <w:t xml:space="preserve">Miércoles 19 de agosto de 2026</w:t>
      </w:r>
    </w:p>
    <w:bookmarkStart w:id="15" w:name="índice"/>
    <w:p>
      <w:pPr>
        <w:pStyle w:val="Heading1"/>
      </w:pPr>
      <w:r>
        <w:t xml:space="preserve">Índice</w:t>
      </w:r>
    </w:p>
    <w:p>
      <w:pPr>
        <w:pStyle w:val="Compact"/>
        <w:numPr>
          <w:ilvl w:val="0"/>
          <w:numId w:val="1001"/>
        </w:numPr>
      </w:pPr>
      <w:r>
        <w:t xml:space="preserve">Introducción</w:t>
      </w:r>
    </w:p>
    <w:p>
      <w:pPr>
        <w:pStyle w:val="Compact"/>
        <w:numPr>
          <w:ilvl w:val="0"/>
          <w:numId w:val="1001"/>
        </w:numPr>
      </w:pPr>
      <w:r>
        <w:t xml:space="preserve">Ficha técnica y consigna</w:t>
      </w:r>
    </w:p>
    <w:p>
      <w:pPr>
        <w:pStyle w:val="Compact"/>
        <w:numPr>
          <w:ilvl w:val="0"/>
          <w:numId w:val="1001"/>
        </w:numPr>
      </w:pPr>
      <w:r>
        <w:t xml:space="preserve">Arquitectura del módulo en el repositorio del equipo</w:t>
      </w:r>
    </w:p>
    <w:p>
      <w:pPr>
        <w:pStyle w:val="Compact"/>
        <w:numPr>
          <w:ilvl w:val="1"/>
          <w:numId w:val="1002"/>
        </w:numPr>
      </w:pPr>
      <w:r>
        <w:t xml:space="preserve">3.1. Vista de componentes</w:t>
      </w:r>
    </w:p>
    <w:p>
      <w:pPr>
        <w:pStyle w:val="Compact"/>
        <w:numPr>
          <w:ilvl w:val="1"/>
          <w:numId w:val="1002"/>
        </w:numPr>
      </w:pPr>
      <w:r>
        <w:t xml:space="preserve">3.2. Patrón Repository y dependencias</w:t>
      </w:r>
    </w:p>
    <w:p>
      <w:pPr>
        <w:pStyle w:val="Compact"/>
        <w:numPr>
          <w:ilvl w:val="1"/>
          <w:numId w:val="1002"/>
        </w:numPr>
      </w:pPr>
      <w:r>
        <w:t xml:space="preserve">3.3. Propiedad del módulo y multitenencia</w:t>
      </w:r>
    </w:p>
    <w:p>
      <w:pPr>
        <w:pStyle w:val="Compact"/>
        <w:numPr>
          <w:ilvl w:val="0"/>
          <w:numId w:val="1001"/>
        </w:numPr>
      </w:pPr>
      <w:r>
        <w:t xml:space="preserve">Reglas de dominio y casos de uso</w:t>
      </w:r>
    </w:p>
    <w:p>
      <w:pPr>
        <w:pStyle w:val="Compact"/>
        <w:numPr>
          <w:ilvl w:val="0"/>
          <w:numId w:val="1001"/>
        </w:numPr>
      </w:pPr>
      <w:r>
        <w:t xml:space="preserve">Persistencia en PostgreSQL</w:t>
      </w:r>
    </w:p>
    <w:p>
      <w:pPr>
        <w:pStyle w:val="Compact"/>
        <w:numPr>
          <w:ilvl w:val="0"/>
          <w:numId w:val="1001"/>
        </w:numPr>
      </w:pPr>
      <w:r>
        <w:t xml:space="preserve">Presentación (API REST)</w:t>
      </w:r>
    </w:p>
    <w:p>
      <w:pPr>
        <w:pStyle w:val="Compact"/>
        <w:numPr>
          <w:ilvl w:val="0"/>
          <w:numId w:val="1001"/>
        </w:numPr>
      </w:pPr>
      <w:r>
        <w:t xml:space="preserve">Pruebas automatizadas e integración</w:t>
      </w:r>
    </w:p>
    <w:p>
      <w:pPr>
        <w:pStyle w:val="Compact"/>
        <w:numPr>
          <w:ilvl w:val="0"/>
          <w:numId w:val="1001"/>
        </w:numPr>
      </w:pPr>
      <w:r>
        <w:t xml:space="preserve">Evidencia de ejecución</w:t>
      </w:r>
    </w:p>
    <w:p>
      <w:pPr>
        <w:pStyle w:val="Compact"/>
        <w:numPr>
          <w:ilvl w:val="0"/>
          <w:numId w:val="1001"/>
        </w:numPr>
      </w:pPr>
      <w:r>
        <w:t xml:space="preserve">Conclusión</w:t>
      </w:r>
    </w:p>
    <w:p>
      <w:pPr>
        <w:pStyle w:val="Compact"/>
        <w:numPr>
          <w:ilvl w:val="0"/>
          <w:numId w:val="1001"/>
        </w:numPr>
      </w:pPr>
      <w:r>
        <w:t xml:space="preserve">Bibliografía</w:t>
      </w:r>
    </w:p>
    <w:bookmarkEnd w:id="15"/>
    <w:bookmarkStart w:id="16" w:name="introducción"/>
    <w:p>
      <w:pPr>
        <w:pStyle w:val="Heading1"/>
      </w:pPr>
      <w:r>
        <w:t xml:space="preserve">1. Introducción</w:t>
      </w:r>
    </w:p>
    <w:p>
      <w:pPr>
        <w:pStyle w:val="FirstParagraph"/>
      </w:pPr>
      <w:r>
        <w:t xml:space="preserve">Esta tarea integra el módulo</w:t>
      </w:r>
      <w:r>
        <w:t xml:space="preserve"> </w:t>
      </w:r>
      <w:r>
        <w:rPr>
          <w:b/>
          <w:bCs/>
        </w:rPr>
        <w:t xml:space="preserve">Validación de resultados por bioquímico (ASII-20)</w:t>
      </w:r>
      <w:r>
        <w:t xml:space="preserve"> </w:t>
      </w:r>
      <w:r>
        <w:t xml:space="preserve">en el</w:t>
      </w:r>
      <w:r>
        <w:t xml:space="preserve"> </w:t>
      </w:r>
      <w:r>
        <w:rPr>
          <w:b/>
          <w:bCs/>
        </w:rPr>
        <w:t xml:space="preserve">repositorio del equipo</w:t>
      </w:r>
      <w:r>
        <w:t xml:space="preserve"> </w:t>
      </w:r>
      <w:r>
        <w:rPr>
          <w:rStyle w:val="VerbatimChar"/>
        </w:rPr>
        <w:t xml:space="preserve">compilations-teams/sistema-hospitalario-integrado-SistenasII-2026</w:t>
      </w:r>
      <w:r>
        <w:t xml:space="preserve">, aplicando el patrón</w:t>
      </w:r>
      <w:r>
        <w:t xml:space="preserve"> </w:t>
      </w:r>
      <w:r>
        <w:rPr>
          <w:b/>
          <w:bCs/>
        </w:rPr>
        <w:t xml:space="preserve">Repository</w:t>
      </w:r>
      <w:r>
        <w:t xml:space="preserve"> </w:t>
      </w:r>
      <w:r>
        <w:t xml:space="preserve">como estilo de arquitectura. El flujo es el mismo modelado desde la Tarea 1: el bioquímico</w:t>
      </w:r>
      <w:r>
        <w:t xml:space="preserve"> </w:t>
      </w:r>
      <w:r>
        <w:rPr>
          <w:b/>
          <w:bCs/>
        </w:rPr>
        <w:t xml:space="preserve">revisa, valida o rechaza</w:t>
      </w:r>
      <w:r>
        <w:t xml:space="preserve"> </w:t>
      </w:r>
      <w:r>
        <w:t xml:space="preserve">un resultado de laboratorio; un resultado validado es</w:t>
      </w:r>
      <w:r>
        <w:t xml:space="preserve"> </w:t>
      </w:r>
      <w:r>
        <w:rPr>
          <w:b/>
          <w:bCs/>
        </w:rPr>
        <w:t xml:space="preserve">inmutable</w:t>
      </w:r>
      <w:r>
        <w:t xml:space="preserve">; un rechazo exige</w:t>
      </w:r>
      <w:r>
        <w:t xml:space="preserve"> </w:t>
      </w:r>
      <w:r>
        <w:rPr>
          <w:b/>
          <w:bCs/>
        </w:rPr>
        <w:t xml:space="preserve">motivo obligatorio</w:t>
      </w:r>
      <w:r>
        <w:t xml:space="preserve">; y una corrección crea una</w:t>
      </w:r>
      <w:r>
        <w:t xml:space="preserve"> </w:t>
      </w:r>
      <w:r>
        <w:rPr>
          <w:b/>
          <w:bCs/>
        </w:rPr>
        <w:t xml:space="preserve">versión nueva</w:t>
      </w:r>
      <w:r>
        <w:t xml:space="preserve"> </w:t>
      </w:r>
      <w:r>
        <w:t xml:space="preserve">en estado pendiente.</w:t>
      </w:r>
    </w:p>
    <w:p>
      <w:pPr>
        <w:pStyle w:val="BodyText"/>
      </w:pPr>
      <w:r>
        <w:t xml:space="preserve">La arquitectura se organiza en</w:t>
      </w:r>
      <w:r>
        <w:t xml:space="preserve"> </w:t>
      </w:r>
      <w:r>
        <w:rPr>
          <w:b/>
          <w:bCs/>
        </w:rPr>
        <w:t xml:space="preserve">cuatro capas</w:t>
      </w:r>
      <w:r>
        <w:t xml:space="preserve"> </w:t>
      </w:r>
      <w:r>
        <w:t xml:space="preserve">(Domain, Application, Infrastructure y Presentation) separadas por puertos y adaptadores: el caso de uso depende de la interfaz</w:t>
      </w:r>
      <w:r>
        <w:t xml:space="preserve"> </w:t>
      </w:r>
      <w:r>
        <w:rPr>
          <w:rStyle w:val="VerbatimChar"/>
        </w:rPr>
        <w:t xml:space="preserve">LabResultRepository</w:t>
      </w:r>
      <w:r>
        <w:t xml:space="preserve"> </w:t>
      </w:r>
      <w:r>
        <w:t xml:space="preserve">y de la abstracción</w:t>
      </w:r>
      <w:r>
        <w:t xml:space="preserve"> </w:t>
      </w:r>
      <w:r>
        <w:rPr>
          <w:rStyle w:val="VerbatimChar"/>
        </w:rPr>
        <w:t xml:space="preserve">AutorizadorValidacion</w:t>
      </w:r>
      <w:r>
        <w:t xml:space="preserve">; las implementaciones concretas (Eloquent sobre PostgreSQL, Spatie para permisos) se inyectan en el contenedor. El módulo es</w:t>
      </w:r>
      <w:r>
        <w:t xml:space="preserve"> </w:t>
      </w:r>
      <w:r>
        <w:rPr>
          <w:b/>
          <w:bCs/>
        </w:rPr>
        <w:t xml:space="preserve">propiedad del hospital</w:t>
      </w:r>
      <w:r>
        <w:t xml:space="preserve"> </w:t>
      </w:r>
      <w:r>
        <w:t xml:space="preserve">(HOSPITAL) dentro del modelo federado CENTRAL/HOSPITAL y accede a los datos del CENTRAL por</w:t>
      </w:r>
      <w:r>
        <w:t xml:space="preserve"> </w:t>
      </w:r>
      <w:r>
        <w:rPr>
          <w:b/>
          <w:bCs/>
        </w:rPr>
        <w:t xml:space="preserve">identificadores lógicos</w:t>
      </w:r>
      <w:r>
        <w:t xml:space="preserve"> </w:t>
      </w:r>
      <w:r>
        <w:t xml:space="preserve">(UUID de tenant), nunca con claves foráneas remotas.</w:t>
      </w:r>
    </w:p>
    <w:p>
      <w:pPr>
        <w:pStyle w:val="BodyText"/>
      </w:pPr>
      <w:r>
        <w:t xml:space="preserve">Todos los datos usados son ficticios y no contienen información clínica identificable.</w:t>
      </w:r>
    </w:p>
    <w:bookmarkEnd w:id="16"/>
    <w:bookmarkStart w:id="17" w:name="ficha-técnica-y-consigna"/>
    <w:p>
      <w:pPr>
        <w:pStyle w:val="Heading1"/>
      </w:pPr>
      <w:r>
        <w:t xml:space="preserve">2. Ficha técnica y consigna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Universidad / Curso</w:t>
            </w:r>
          </w:p>
        </w:tc>
        <w:tc>
          <w:tcPr/>
          <w:p>
            <w:pPr>
              <w:pStyle w:val="Compact"/>
            </w:pPr>
            <w:r>
              <w:t xml:space="preserve">Análisis de Sistemas II —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Estudiante</w:t>
            </w:r>
          </w:p>
        </w:tc>
        <w:tc>
          <w:tcPr/>
          <w:p>
            <w:pPr>
              <w:pStyle w:val="Compact"/>
            </w:pPr>
            <w:r>
              <w:t xml:space="preserve">GERSON GIOVANNI ORELLANA VÉLIZ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Carnet</w:t>
            </w:r>
          </w:p>
        </w:tc>
        <w:tc>
          <w:tcPr/>
          <w:p>
            <w:pPr>
              <w:pStyle w:val="Compact"/>
            </w:pPr>
            <w:r>
              <w:t xml:space="preserve">1890-23-7082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gioore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Módulo oficial</w:t>
            </w:r>
          </w:p>
        </w:tc>
        <w:tc>
          <w:tcPr/>
          <w:p>
            <w:pPr>
              <w:pStyle w:val="Compact"/>
            </w:pPr>
            <w:r>
              <w:t xml:space="preserve">Validación de resultados por bioquímico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Repositorio evaluado</w:t>
            </w:r>
          </w:p>
        </w:tc>
        <w:tc>
          <w:tcPr/>
          <w:p>
            <w:pPr>
              <w:pStyle w:val="Compact"/>
            </w:pPr>
            <w:r>
              <w:t xml:space="preserve">https://github.com/compilations-teams/sistema-hospitalario-integrado-SistenasII-2026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Rama de trabajo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feat/mod20-validacion-resultados-bioquimico</w:t>
            </w:r>
            <w:r>
              <w:t xml:space="preserve"> </w:t>
            </w:r>
            <w:r>
              <w:t xml:space="preserve">(creada desde</w:t>
            </w:r>
            <w:r>
              <w:t xml:space="preserve"> </w:t>
            </w:r>
            <w:r>
              <w:rPr>
                <w:rStyle w:val="VerbatimChar"/>
              </w:rPr>
              <w:t xml:space="preserve">origin/develop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Entregables</w:t>
            </w:r>
          </w:p>
        </w:tc>
        <w:tc>
          <w:tcPr/>
          <w:p>
            <w:pPr>
              <w:pStyle w:val="Compact"/>
            </w:pPr>
            <w:r>
              <w:t xml:space="preserve">Docs de módulo, 5 diagramas UML, código vertical, migración/seeders, tests (dominio, aplicación, integración PostgreSQL),</w:t>
            </w:r>
            <w:r>
              <w:t xml:space="preserve"> </w:t>
            </w:r>
            <w:r>
              <w:rPr>
                <w:rStyle w:val="VerbatimChar"/>
              </w:rPr>
              <w:t xml:space="preserve">EVIDENCIA.md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DECLARACION_IA.md</w:t>
            </w:r>
            <w:r>
              <w:t xml:space="preserve">, PR borrador, informe PDF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Requisitos técnicos</w:t>
            </w:r>
          </w:p>
        </w:tc>
        <w:tc>
          <w:tcPr/>
          <w:p>
            <w:pPr>
              <w:pStyle w:val="Compact"/>
            </w:pPr>
            <w:r>
              <w:t xml:space="preserve">Laravel 12 + PostgreSQL; arquitectura de capas; patrón Repository; ≥10 commits;</w:t>
            </w:r>
            <w:r>
              <w:t xml:space="preserve"> </w:t>
            </w:r>
            <w:r>
              <w:rPr>
                <w:rStyle w:val="VerbatimChar"/>
              </w:rPr>
              <w:t xml:space="preserve">migrate:fresh --seed</w:t>
            </w:r>
            <w:r>
              <w:t xml:space="preserve"> </w:t>
            </w:r>
            <w:r>
              <w:t xml:space="preserve">funcionando; tests ≥3 dominio, ≥2 aplicación, ≥1 integración PostgreSQL</w:t>
            </w:r>
          </w:p>
        </w:tc>
      </w:tr>
    </w:tbl>
    <w:p>
      <w:pPr>
        <w:pStyle w:val="BodyText"/>
      </w:pPr>
      <w:r>
        <w:rPr>
          <w:b/>
          <w:bCs/>
        </w:rPr>
        <w:t xml:space="preserve">Declaración de datos.</w:t>
      </w:r>
      <w:r>
        <w:t xml:space="preserve"> </w:t>
      </w:r>
      <w:r>
        <w:t xml:space="preserve">Todos los datos, nombres de pacientes, valores y resultados son</w:t>
      </w:r>
      <w:r>
        <w:t xml:space="preserve"> </w:t>
      </w:r>
      <w:r>
        <w:rPr>
          <w:b/>
          <w:bCs/>
        </w:rPr>
        <w:t xml:space="preserve">ficticios</w:t>
      </w:r>
      <w:r>
        <w:t xml:space="preserve">. No se incluye información clínica identificable real.</w:t>
      </w:r>
    </w:p>
    <w:p>
      <w:pPr>
        <w:pStyle w:val="BodyText"/>
      </w:pPr>
      <w:r>
        <w:rPr>
          <w:b/>
          <w:bCs/>
        </w:rPr>
        <w:t xml:space="preserve">Nota sobre control de versiones.</w:t>
      </w:r>
      <w:r>
        <w:t xml:space="preserve"> </w:t>
      </w:r>
      <w:r>
        <w:t xml:space="preserve">Por indicación explícita del equipo, el trabajo quedó preparado en el worktree local</w:t>
      </w:r>
      <w:r>
        <w:t xml:space="preserve"> </w:t>
      </w:r>
      <w:r>
        <w:rPr>
          <w:b/>
          <w:bCs/>
        </w:rPr>
        <w:t xml:space="preserve">sin subir nada a Git</w:t>
      </w:r>
      <w:r>
        <w:t xml:space="preserve"> </w:t>
      </w:r>
      <w:r>
        <w:t xml:space="preserve">durante la elaboración de esta evidencia. La rama está lista para commits, push y el PR borrador hacia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en cuanto el usuario lo autorice.</w:t>
      </w:r>
    </w:p>
    <w:bookmarkEnd w:id="17"/>
    <w:bookmarkStart w:id="30" w:name="X8bcceb45d6682e32fbe13049c59845978fe140c"/>
    <w:p>
      <w:pPr>
        <w:pStyle w:val="Heading1"/>
      </w:pPr>
      <w:r>
        <w:t xml:space="preserve">3. Arquitectura del módulo en el repositorio del equipo</w:t>
      </w:r>
    </w:p>
    <w:bookmarkStart w:id="21" w:name="vista-de-componentes"/>
    <w:p>
      <w:pPr>
        <w:pStyle w:val="Heading2"/>
      </w:pPr>
      <w:r>
        <w:t xml:space="preserve">3.1. Vista de componentes</w:t>
      </w:r>
    </w:p>
    <w:p>
      <w:pPr>
        <w:pStyle w:val="CaptionedFigure"/>
      </w:pPr>
      <w:r>
        <w:drawing>
          <wp:inline>
            <wp:extent cx="5067300" cy="2189710"/>
            <wp:effectExtent b="0" l="0" r="0" t="0"/>
            <wp:docPr descr="Vista de componentes" title="" id="19" name="Picture"/>
            <a:graphic>
              <a:graphicData uri="http://schemas.openxmlformats.org/drawingml/2006/picture">
                <pic:pic>
                  <pic:nvPicPr>
                    <pic:cNvPr descr="./componentes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189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Vista de componentes</w:t>
      </w:r>
    </w:p>
    <w:p>
      <w:pPr>
        <w:pStyle w:val="BodyText"/>
      </w:pPr>
      <w:r>
        <w:t xml:space="preserve">Fuente editable:</w:t>
      </w:r>
      <w:r>
        <w:t xml:space="preserve"> </w:t>
      </w:r>
      <w:r>
        <w:rPr>
          <w:rStyle w:val="VerbatimChar"/>
        </w:rPr>
        <w:t xml:space="preserve">componentes.puml</w:t>
      </w:r>
    </w:p>
    <w:p>
      <w:pPr>
        <w:pStyle w:val="BodyText"/>
      </w:pPr>
      <w:r>
        <w:t xml:space="preserve">El módulo 20 se implementa como un</w:t>
      </w:r>
      <w:r>
        <w:t xml:space="preserve"> </w:t>
      </w:r>
      <w:r>
        <w:rPr>
          <w:b/>
          <w:bCs/>
        </w:rPr>
        <w:t xml:space="preserve">núcleo de dominio puro</w:t>
      </w:r>
      <w:r>
        <w:t xml:space="preserve"> </w:t>
      </w:r>
      <w:r>
        <w:t xml:space="preserve">bajo</w:t>
      </w:r>
      <w:r>
        <w:t xml:space="preserve"> </w:t>
      </w:r>
      <w:r>
        <w:rPr>
          <w:rStyle w:val="VerbatimChar"/>
        </w:rPr>
        <w:t xml:space="preserve">app/Domain/Modulo20</w:t>
      </w:r>
      <w:r>
        <w:t xml:space="preserve">, un</w:t>
      </w:r>
      <w:r>
        <w:t xml:space="preserve"> </w:t>
      </w:r>
      <w:r>
        <w:rPr>
          <w:b/>
          <w:bCs/>
        </w:rPr>
        <w:t xml:space="preserve">caso de uso de aplicación</w:t>
      </w:r>
      <w:r>
        <w:t xml:space="preserve"> </w:t>
      </w:r>
      <w:r>
        <w:t xml:space="preserve">bajo</w:t>
      </w:r>
      <w:r>
        <w:t xml:space="preserve"> </w:t>
      </w:r>
      <w:r>
        <w:rPr>
          <w:rStyle w:val="VerbatimChar"/>
        </w:rPr>
        <w:t xml:space="preserve">app/Application/Modulo20</w:t>
      </w:r>
      <w:r>
        <w:t xml:space="preserve"> </w:t>
      </w:r>
      <w:r>
        <w:t xml:space="preserve">y una</w:t>
      </w:r>
      <w:r>
        <w:t xml:space="preserve"> </w:t>
      </w:r>
      <w:r>
        <w:rPr>
          <w:b/>
          <w:bCs/>
        </w:rPr>
        <w:t xml:space="preserve">capa de infraestructura</w:t>
      </w:r>
      <w:r>
        <w:t xml:space="preserve"> </w:t>
      </w:r>
      <w:r>
        <w:t xml:space="preserve">bajo</w:t>
      </w:r>
      <w:r>
        <w:t xml:space="preserve"> </w:t>
      </w:r>
      <w:r>
        <w:rPr>
          <w:rStyle w:val="VerbatimChar"/>
        </w:rPr>
        <w:t xml:space="preserve">app/Infrastructure/Modulo20</w:t>
      </w:r>
      <w:r>
        <w:t xml:space="preserve">, con el controlador REST en</w:t>
      </w:r>
      <w:r>
        <w:t xml:space="preserve"> </w:t>
      </w:r>
      <w:r>
        <w:rPr>
          <w:rStyle w:val="VerbatimChar"/>
        </w:rPr>
        <w:t xml:space="preserve">app/Http/Controllers/Api/V1</w:t>
      </w:r>
      <w:r>
        <w:t xml:space="preserve">. Las reglas de negocio no conocen a Laravel, a la base de datos ni al HTTP.</w:t>
      </w:r>
    </w:p>
    <w:bookmarkEnd w:id="21"/>
    <w:bookmarkStart w:id="25" w:name="patrón-repository-y-dependencias"/>
    <w:p>
      <w:pPr>
        <w:pStyle w:val="Heading2"/>
      </w:pPr>
      <w:r>
        <w:t xml:space="preserve">3.2. Patrón Repository y dependencias</w:t>
      </w:r>
    </w:p>
    <w:p>
      <w:pPr>
        <w:pStyle w:val="CaptionedFigure"/>
      </w:pPr>
      <w:r>
        <w:drawing>
          <wp:inline>
            <wp:extent cx="5067300" cy="1968357"/>
            <wp:effectExtent b="0" l="0" r="0" t="0"/>
            <wp:docPr descr="Diagrama de clases" title="" id="23" name="Picture"/>
            <a:graphic>
              <a:graphicData uri="http://schemas.openxmlformats.org/drawingml/2006/picture">
                <pic:pic>
                  <pic:nvPicPr>
                    <pic:cNvPr descr="./diagrama-clases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968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clases</w:t>
      </w:r>
    </w:p>
    <w:p>
      <w:pPr>
        <w:pStyle w:val="BodyText"/>
      </w:pPr>
      <w:r>
        <w:t xml:space="preserve">Fuente editable:</w:t>
      </w:r>
      <w:r>
        <w:t xml:space="preserve"> </w:t>
      </w:r>
      <w:r>
        <w:rPr>
          <w:rStyle w:val="VerbatimChar"/>
        </w:rPr>
        <w:t xml:space="preserve">diagrama-clases.puml</w:t>
      </w:r>
    </w:p>
    <w:p>
      <w:pPr>
        <w:pStyle w:val="BodyText"/>
      </w:pPr>
      <w:r>
        <w:t xml:space="preserve">El caso de uso</w:t>
      </w:r>
      <w:r>
        <w:t xml:space="preserve"> </w:t>
      </w:r>
      <w:r>
        <w:rPr>
          <w:rStyle w:val="VerbatimChar"/>
        </w:rPr>
        <w:t xml:space="preserve">ValidacionResultado</w:t>
      </w:r>
      <w:r>
        <w:t xml:space="preserve"> </w:t>
      </w:r>
      <w:r>
        <w:t xml:space="preserve">depende de la</w:t>
      </w:r>
      <w:r>
        <w:t xml:space="preserve"> </w:t>
      </w:r>
      <w:r>
        <w:rPr>
          <w:b/>
          <w:bCs/>
        </w:rPr>
        <w:t xml:space="preserve">interfaz</w:t>
      </w:r>
      <w:r>
        <w:t xml:space="preserve"> </w:t>
      </w:r>
      <w:r>
        <w:rPr>
          <w:rStyle w:val="VerbatimChar"/>
        </w:rPr>
        <w:t xml:space="preserve">LabResultRepository</w:t>
      </w:r>
      <w:r>
        <w:t xml:space="preserve"> </w:t>
      </w:r>
      <w:r>
        <w:t xml:space="preserve">(puerto), no de una implementación concreta. Se aplica el estilo</w:t>
      </w:r>
      <w:r>
        <w:t xml:space="preserve"> </w:t>
      </w:r>
      <w:r>
        <w:rPr>
          <w:b/>
          <w:bCs/>
        </w:rPr>
        <w:t xml:space="preserve">Repository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Abstracción (puerto)</w:t>
            </w:r>
          </w:p>
        </w:tc>
        <w:tc>
          <w:tcPr/>
          <w:p>
            <w:pPr>
              <w:pStyle w:val="Compact"/>
            </w:pPr>
            <w:r>
              <w:t xml:space="preserve">Implementación (adaptador)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LabResultRepository</w:t>
            </w:r>
            <w:r>
              <w:t xml:space="preserve"> </w:t>
            </w:r>
            <w:r>
              <w:t xml:space="preserve">(Domain)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EloquentLabResultRepository</w:t>
            </w:r>
            <w:r>
              <w:t xml:space="preserve"> </w:t>
            </w:r>
            <w:r>
              <w:t xml:space="preserve">(PostgreSQL)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LabResultRepository</w:t>
            </w:r>
            <w:r>
              <w:t xml:space="preserve"> </w:t>
            </w:r>
            <w:r>
              <w:t xml:space="preserve">(Domain)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InMemoryLabResultRepository</w:t>
            </w:r>
            <w:r>
              <w:t xml:space="preserve"> </w:t>
            </w:r>
            <w:r>
              <w:t xml:space="preserve">(tests)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AutorizadorValidacion</w:t>
            </w:r>
            <w:r>
              <w:t xml:space="preserve"> </w:t>
            </w:r>
            <w:r>
              <w:t xml:space="preserve">(Application)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SpatieAutorizadorValidacion</w:t>
            </w:r>
            <w:r>
              <w:t xml:space="preserve"> </w:t>
            </w:r>
            <w:r>
              <w:t xml:space="preserve">(permiso</w:t>
            </w:r>
            <w:r>
              <w:t xml:space="preserve"> </w:t>
            </w:r>
            <w:r>
              <w:rPr>
                <w:rStyle w:val="VerbatimChar"/>
              </w:rPr>
              <w:t xml:space="preserve">lab.results.validate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Los bindings se registran en</w:t>
      </w:r>
      <w:r>
        <w:t xml:space="preserve"> </w:t>
      </w:r>
      <w:r>
        <w:rPr>
          <w:rStyle w:val="VerbatimChar"/>
        </w:rPr>
        <w:t xml:space="preserve">AppServiceProvider</w:t>
      </w:r>
      <w:r>
        <w:t xml:space="preserve">:</w:t>
      </w:r>
    </w:p>
    <w:p>
      <w:pPr>
        <w:pStyle w:val="SourceCode"/>
      </w:pPr>
      <w:r>
        <w:rPr>
          <w:rStyle w:val="VariableTok"/>
        </w:rPr>
        <w:t xml:space="preserve">$this</w:t>
      </w:r>
      <w:r>
        <w:rPr>
          <w:rStyle w:val="NormalTok"/>
        </w:rPr>
        <w:t xml:space="preserve">-&gt;app-&gt;bind(LabResultRepository::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EloquentLabResultRepository::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-&gt;app-&gt;bind(AutorizadorValidacion::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SpatieAutorizadorValidacion::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pPr>
        <w:pStyle w:val="FirstParagraph"/>
      </w:pPr>
      <w:r>
        <w:t xml:space="preserve">La interfaz está</w:t>
      </w:r>
      <w:r>
        <w:t xml:space="preserve"> </w:t>
      </w:r>
      <w:r>
        <w:rPr>
          <w:b/>
          <w:bCs/>
        </w:rPr>
        <w:t xml:space="preserve">orientada al lenguaje del dominio</w:t>
      </w:r>
      <w:r>
        <w:t xml:space="preserve"> </w:t>
      </w:r>
      <w:r>
        <w:t xml:space="preserve">(no es un CRUD genérico):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LabResultRepository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list</w:t>
      </w:r>
      <w:r>
        <w:rPr>
          <w:rStyle w:val="KeywordTok"/>
        </w:rPr>
        <w:t xml:space="preserve">&lt;LabResult&gt;</w:t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pendientes(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$tenantId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porId(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$tenantId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NormalTok"/>
        </w:rPr>
        <w:t xml:space="preserve">LabResult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guardar(LabResult </w:t>
      </w:r>
      <w:r>
        <w:rPr>
          <w:rStyle w:val="VariableTok"/>
        </w:rPr>
        <w:t xml:space="preserve">$resultado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proximoId()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5"/>
    <w:bookmarkStart w:id="29" w:name="propiedad-del-módulo-y-multitenencia"/>
    <w:p>
      <w:pPr>
        <w:pStyle w:val="Heading2"/>
      </w:pPr>
      <w:r>
        <w:t xml:space="preserve">3.3. Propiedad del módulo y multitenencia</w:t>
      </w:r>
    </w:p>
    <w:p>
      <w:pPr>
        <w:pStyle w:val="CaptionedFigure"/>
      </w:pPr>
      <w:r>
        <w:drawing>
          <wp:inline>
            <wp:extent cx="5067300" cy="1954075"/>
            <wp:effectExtent b="0" l="0" r="0" t="0"/>
            <wp:docPr descr="Vista de datos" title="" id="27" name="Picture"/>
            <a:graphic>
              <a:graphicData uri="http://schemas.openxmlformats.org/drawingml/2006/picture">
                <pic:pic>
                  <pic:nvPicPr>
                    <pic:cNvPr descr="./vista-datos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954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Vista de datos</w:t>
      </w:r>
    </w:p>
    <w:p>
      <w:pPr>
        <w:pStyle w:val="BodyText"/>
      </w:pPr>
      <w:r>
        <w:t xml:space="preserve">Fuente editable:</w:t>
      </w:r>
      <w:r>
        <w:t xml:space="preserve"> </w:t>
      </w:r>
      <w:r>
        <w:rPr>
          <w:rStyle w:val="VerbatimChar"/>
        </w:rPr>
        <w:t xml:space="preserve">vista-datos.puml</w:t>
      </w:r>
    </w:p>
    <w:p>
      <w:pPr>
        <w:pStyle w:val="Compact"/>
        <w:numPr>
          <w:ilvl w:val="0"/>
          <w:numId w:val="1003"/>
        </w:numPr>
      </w:pPr>
      <w:r>
        <w:t xml:space="preserve">El módulo 20 es</w:t>
      </w:r>
      <w:r>
        <w:t xml:space="preserve"> </w:t>
      </w:r>
      <w:r>
        <w:rPr>
          <w:b/>
          <w:bCs/>
        </w:rPr>
        <w:t xml:space="preserve">propiedad del hospital</w:t>
      </w:r>
      <w:r>
        <w:t xml:space="preserve"> </w:t>
      </w:r>
      <w:r>
        <w:t xml:space="preserve">(capa HOSPITAL). Las tablas</w:t>
      </w:r>
      <w:r>
        <w:t xml:space="preserve"> </w:t>
      </w:r>
      <w:r>
        <w:rPr>
          <w:rStyle w:val="VerbatimChar"/>
        </w:rPr>
        <w:t xml:space="preserve">lab_tests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lab_orders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samples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lab_results</w:t>
      </w:r>
      <w:r>
        <w:t xml:space="preserve"> </w:t>
      </w:r>
      <w:r>
        <w:t xml:space="preserve">pertenecen al hospital.</w:t>
      </w:r>
    </w:p>
    <w:p>
      <w:pPr>
        <w:pStyle w:val="Compact"/>
        <w:numPr>
          <w:ilvl w:val="0"/>
          <w:numId w:val="1003"/>
        </w:numPr>
      </w:pPr>
      <w:r>
        <w:t xml:space="preserve">El tenant se identifica con un</w:t>
      </w:r>
      <w:r>
        <w:t xml:space="preserve"> </w:t>
      </w:r>
      <w:r>
        <w:rPr>
          <w:b/>
          <w:bCs/>
        </w:rPr>
        <w:t xml:space="preserve">UUID lógico</w:t>
      </w:r>
      <w:r>
        <w:t xml:space="preserve"> </w:t>
      </w:r>
      <w:r>
        <w:t xml:space="preserve">(</w:t>
      </w:r>
      <w:r>
        <w:rPr>
          <w:rStyle w:val="VerbatimChar"/>
        </w:rPr>
        <w:t xml:space="preserve">tenant_id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char(36)</w:t>
      </w:r>
      <w:r>
        <w:t xml:space="preserve">) que referencia al CENTRAL;</w:t>
      </w:r>
      <w:r>
        <w:t xml:space="preserve"> </w:t>
      </w:r>
      <w:r>
        <w:rPr>
          <w:b/>
          <w:bCs/>
        </w:rPr>
        <w:t xml:space="preserve">no hay claves foráneas remotas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Todos los accesos del repositorio filtran por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(</w:t>
      </w:r>
      <w:r>
        <w:rPr>
          <w:rStyle w:val="VerbatimChar"/>
        </w:rPr>
        <w:t xml:space="preserve">WHERE tenant_id = ? AND ...</w:t>
      </w:r>
      <w:r>
        <w:t xml:space="preserve">), lo que aísla los datos de cada hospital (ver CA-07).</w:t>
      </w:r>
    </w:p>
    <w:bookmarkEnd w:id="29"/>
    <w:bookmarkEnd w:id="30"/>
    <w:bookmarkStart w:id="34" w:name="reglas-de-dominio-y-casos-de-uso"/>
    <w:p>
      <w:pPr>
        <w:pStyle w:val="Heading1"/>
      </w:pPr>
      <w:r>
        <w:t xml:space="preserve">4. Reglas de dominio y casos de uso</w:t>
      </w:r>
    </w:p>
    <w:p>
      <w:pPr>
        <w:pStyle w:val="CaptionedFigure"/>
      </w:pPr>
      <w:r>
        <w:drawing>
          <wp:inline>
            <wp:extent cx="5067300" cy="2499521"/>
            <wp:effectExtent b="0" l="0" r="0" t="0"/>
            <wp:docPr descr="Casos de uso" title="" id="32" name="Picture"/>
            <a:graphic>
              <a:graphicData uri="http://schemas.openxmlformats.org/drawingml/2006/picture">
                <pic:pic>
                  <pic:nvPicPr>
                    <pic:cNvPr descr="./casos-de-uso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4995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Casos de uso</w:t>
      </w:r>
    </w:p>
    <w:p>
      <w:pPr>
        <w:pStyle w:val="BodyText"/>
      </w:pPr>
      <w:r>
        <w:t xml:space="preserve">Fuente editable:</w:t>
      </w:r>
      <w:r>
        <w:t xml:space="preserve"> </w:t>
      </w:r>
      <w:r>
        <w:rPr>
          <w:rStyle w:val="VerbatimChar"/>
        </w:rPr>
        <w:t xml:space="preserve">casos-de-uso.puml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Regla</w:t>
            </w:r>
          </w:p>
        </w:tc>
        <w:tc>
          <w:tcPr/>
          <w:p>
            <w:pPr>
              <w:pStyle w:val="Compact"/>
            </w:pPr>
            <w: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Código HTTP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Solo el rol autorizado (Bioquímico) valida o rechaza</w:t>
            </w:r>
          </w:p>
        </w:tc>
        <w:tc>
          <w:tcPr/>
          <w:p>
            <w:pPr>
              <w:pStyle w:val="Compact"/>
            </w:pPr>
            <w:r>
              <w:t xml:space="preserve">validar / rechazar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Solo un resultado pendiente puede validarse</w:t>
            </w:r>
          </w:p>
        </w:tc>
        <w:tc>
          <w:tcPr/>
          <w:p>
            <w:pPr>
              <w:pStyle w:val="Compact"/>
            </w:pPr>
            <w:r>
              <w:t xml:space="preserve">validar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 resultado validado es</w:t>
            </w:r>
            <w:r>
              <w:t xml:space="preserve"> </w:t>
            </w:r>
            <w:r>
              <w:rPr>
                <w:b/>
                <w:bCs/>
              </w:rPr>
              <w:t xml:space="preserve">inmutable</w:t>
            </w:r>
          </w:p>
        </w:tc>
        <w:tc>
          <w:tcPr/>
          <w:p>
            <w:pPr>
              <w:pStyle w:val="Compact"/>
            </w:pPr>
            <w:r>
              <w:t xml:space="preserve">doble validación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motivo del rechazo es</w:t>
            </w:r>
            <w:r>
              <w:t xml:space="preserve"> </w:t>
            </w:r>
            <w:r>
              <w:rPr>
                <w:b/>
                <w:bCs/>
              </w:rPr>
              <w:t xml:space="preserve">obligatorio</w:t>
            </w:r>
          </w:p>
        </w:tc>
        <w:tc>
          <w:tcPr/>
          <w:p>
            <w:pPr>
              <w:pStyle w:val="Compact"/>
            </w:pPr>
            <w:r>
              <w:t xml:space="preserve">rechazar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 corrección crea una</w:t>
            </w:r>
            <w:r>
              <w:t xml:space="preserve"> </w:t>
            </w:r>
            <w:r>
              <w:rPr>
                <w:b/>
                <w:bCs/>
              </w:rPr>
              <w:t xml:space="preserve">versión nueva</w:t>
            </w:r>
            <w:r>
              <w:t xml:space="preserve"> </w:t>
            </w:r>
            <w:r>
              <w:t xml:space="preserve">pendiente</w:t>
            </w:r>
          </w:p>
        </w:tc>
        <w:tc>
          <w:tcPr/>
          <w:p>
            <w:pPr>
              <w:pStyle w:val="Compact"/>
            </w:pPr>
            <w:r>
              <w:t xml:space="preserve">corregir</w:t>
            </w:r>
          </w:p>
        </w:tc>
        <w:tc>
          <w:tcPr/>
          <w:p>
            <w:pPr>
              <w:pStyle w:val="Compact"/>
            </w:pPr>
            <w:r>
              <w:t xml:space="preserve">201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Resultado inexistente o de otro tenant</w:t>
            </w:r>
          </w:p>
        </w:tc>
        <w:tc>
          <w:tcPr/>
          <w:p>
            <w:pPr>
              <w:pStyle w:val="Compact"/>
            </w:pPr>
            <w:r>
              <w:t xml:space="preserve">cualquier acción</w:t>
            </w:r>
          </w:p>
        </w:tc>
        <w:tc>
          <w:tcPr/>
          <w:p>
            <w:pPr>
              <w:pStyle w:val="Compact"/>
            </w:pPr>
            <w:r>
              <w:t xml:space="preserve">404 / 403</w:t>
            </w:r>
          </w:p>
        </w:tc>
      </w:tr>
    </w:tbl>
    <w:p>
      <w:pPr>
        <w:pStyle w:val="BodyText"/>
      </w:pPr>
      <w:r>
        <w:t xml:space="preserve">Las secuencias de validación y rechazo se documentan en</w:t>
      </w:r>
      <w:r>
        <w:t xml:space="preserve"> </w:t>
      </w:r>
      <w:r>
        <w:rPr>
          <w:rStyle w:val="VerbatimChar"/>
        </w:rPr>
        <w:t xml:space="preserve">secuencia-validar.puml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secuencia-rechazar.puml</w:t>
      </w:r>
      <w:r>
        <w:t xml:space="preserve">.</w:t>
      </w:r>
    </w:p>
    <w:p>
      <w:pPr>
        <w:pStyle w:val="BodyText"/>
      </w:pPr>
      <w:r>
        <w:t xml:space="preserve">La entidad</w:t>
      </w:r>
      <w:r>
        <w:t xml:space="preserve"> </w:t>
      </w:r>
      <w:r>
        <w:rPr>
          <w:rStyle w:val="VerbatimChar"/>
        </w:rPr>
        <w:t xml:space="preserve">LabResult</w:t>
      </w:r>
      <w:r>
        <w:t xml:space="preserve"> </w:t>
      </w:r>
      <w:r>
        <w:t xml:space="preserve">encapsula estas reglas (métodos</w:t>
      </w:r>
      <w:r>
        <w:t xml:space="preserve"> </w:t>
      </w:r>
      <w:r>
        <w:rPr>
          <w:rStyle w:val="VerbatimChar"/>
        </w:rPr>
        <w:t xml:space="preserve">validar()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rechazar()</w:t>
      </w:r>
      <w:r>
        <w:t xml:space="preserve">,</w:t>
      </w:r>
      <w:r>
        <w:t xml:space="preserve"> </w:t>
      </w:r>
      <w:r>
        <w:rPr>
          <w:rStyle w:val="VerbatimChar"/>
        </w:rPr>
        <w:t xml:space="preserve">corregir()</w:t>
      </w:r>
      <w:r>
        <w:t xml:space="preserve">), y las excepciones de dominio (</w:t>
      </w:r>
      <w:r>
        <w:rPr>
          <w:rStyle w:val="VerbatimChar"/>
        </w:rPr>
        <w:t xml:space="preserve">ResultadoYaValidado</w:t>
      </w:r>
      <w:r>
        <w:t xml:space="preserve">,</w:t>
      </w:r>
      <w:r>
        <w:t xml:space="preserve"> </w:t>
      </w:r>
      <w:r>
        <w:rPr>
          <w:rStyle w:val="VerbatimChar"/>
        </w:rPr>
        <w:t xml:space="preserve">MotivoRechazoObligatorio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ResultadoNoEncontrado</w:t>
      </w:r>
      <w:r>
        <w:t xml:space="preserve">) las traducen a respuestas HTTP por el controlador.</w:t>
      </w:r>
    </w:p>
    <w:bookmarkEnd w:id="34"/>
    <w:bookmarkStart w:id="35" w:name="persistencia-en-postgresql"/>
    <w:p>
      <w:pPr>
        <w:pStyle w:val="Heading1"/>
      </w:pPr>
      <w:r>
        <w:t xml:space="preserve">5. Persistencia en PostgreSQL</w:t>
      </w:r>
    </w:p>
    <w:p>
      <w:pPr>
        <w:pStyle w:val="FirstParagraph"/>
      </w:pPr>
      <w:r>
        <w:t xml:space="preserve">La implementación real</w:t>
      </w:r>
      <w:r>
        <w:t xml:space="preserve"> </w:t>
      </w:r>
      <w:r>
        <w:rPr>
          <w:rStyle w:val="VerbatimChar"/>
        </w:rPr>
        <w:t xml:space="preserve">EloquentLabResultRepository</w:t>
      </w:r>
      <w:r>
        <w:t xml:space="preserve"> </w:t>
      </w:r>
      <w:r>
        <w:t xml:space="preserve">usa Eloquent sobre la conexión</w:t>
      </w:r>
      <w:r>
        <w:t xml:space="preserve"> </w:t>
      </w:r>
      <w:r>
        <w:rPr>
          <w:b/>
          <w:bCs/>
        </w:rPr>
        <w:t xml:space="preserve">PostgreSQL</w:t>
      </w:r>
      <w:r>
        <w:t xml:space="preserve"> </w:t>
      </w:r>
      <w:r>
        <w:t xml:space="preserve">del proyecto (clúster local</w:t>
      </w:r>
      <w:r>
        <w:t xml:space="preserve"> </w:t>
      </w:r>
      <w:r>
        <w:rPr>
          <w:rStyle w:val="VerbatimChar"/>
        </w:rPr>
        <w:t xml:space="preserve">127.0.0.1:5433</w:t>
      </w:r>
      <w:r>
        <w:t xml:space="preserve">, base</w:t>
      </w:r>
      <w:r>
        <w:t xml:space="preserve"> </w:t>
      </w:r>
      <w:r>
        <w:rPr>
          <w:rStyle w:val="VerbatimChar"/>
        </w:rPr>
        <w:t xml:space="preserve">shi_asii20</w:t>
      </w:r>
      <w:r>
        <w:t xml:space="preserve">). La migración</w:t>
      </w:r>
      <w:r>
        <w:t xml:space="preserve"> </w:t>
      </w:r>
      <w:r>
        <w:rPr>
          <w:rStyle w:val="VerbatimChar"/>
        </w:rPr>
        <w:t xml:space="preserve">2026_08_19_000001_add_validation_to_lab_results.php</w:t>
      </w:r>
      <w:r>
        <w:t xml:space="preserve"> </w:t>
      </w:r>
      <w:r>
        <w:t xml:space="preserve">agrega al esquema existente: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Propósito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validation_status</w:t>
            </w:r>
            <w:r>
              <w:t xml:space="preserve"> </w:t>
            </w:r>
            <w:r>
              <w:t xml:space="preserve">enum(</w:t>
            </w:r>
            <w:r>
              <w:rPr>
                <w:rStyle w:val="VerbatimChar"/>
              </w:rPr>
              <w:t xml:space="preserve">pendiente</w:t>
            </w:r>
            <w:r>
              <w:t xml:space="preserve">,</w:t>
            </w:r>
            <w:r>
              <w:rPr>
                <w:rStyle w:val="VerbatimChar"/>
              </w:rPr>
              <w:t xml:space="preserve">validado</w:t>
            </w:r>
            <w:r>
              <w:t xml:space="preserve">,</w:t>
            </w:r>
            <w:r>
              <w:rPr>
                <w:rStyle w:val="VerbatimChar"/>
              </w:rPr>
              <w:t xml:space="preserve">rechazado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estado de validación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rejected_by</w:t>
            </w:r>
            <w:r>
              <w:t xml:space="preserve"> </w:t>
            </w:r>
            <w:r>
              <w:t xml:space="preserve">FK nullable</w:t>
            </w:r>
          </w:p>
        </w:tc>
        <w:tc>
          <w:tcPr/>
          <w:p>
            <w:pPr>
              <w:pStyle w:val="Compact"/>
            </w:pPr>
            <w:r>
              <w:t xml:space="preserve">quién rechazó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rejection_reason</w:t>
            </w:r>
            <w:r>
              <w:t xml:space="preserve"> </w:t>
            </w:r>
            <w:r>
              <w:t xml:space="preserve">string(500)</w:t>
            </w:r>
          </w:p>
        </w:tc>
        <w:tc>
          <w:tcPr/>
          <w:p>
            <w:pPr>
              <w:pStyle w:val="Compact"/>
            </w:pPr>
            <w:r>
              <w:t xml:space="preserve">motivo obligatorio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rejected_at</w:t>
            </w:r>
            <w:r>
              <w:t xml:space="preserve"> </w:t>
            </w: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cuándo se rechazó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</w:t>
            </w:r>
            <w:r>
              <w:t xml:space="preserve"> </w:t>
            </w:r>
            <w:r>
              <w:t xml:space="preserve">unsignedInteger default 1</w:t>
            </w:r>
          </w:p>
        </w:tc>
        <w:tc>
          <w:tcPr/>
          <w:p>
            <w:pPr>
              <w:pStyle w:val="Compact"/>
            </w:pPr>
            <w:r>
              <w:t xml:space="preserve">versionado por corrección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corrige_a_result_id</w:t>
            </w:r>
            <w:r>
              <w:t xml:space="preserve"> </w:t>
            </w:r>
            <w:r>
              <w:t xml:space="preserve">FK self nullable</w:t>
            </w:r>
          </w:p>
        </w:tc>
        <w:tc>
          <w:tcPr/>
          <w:p>
            <w:pPr>
              <w:pStyle w:val="Compact"/>
            </w:pPr>
            <w:r>
              <w:t xml:space="preserve">traza de la corrección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índice</w:t>
            </w:r>
            <w:r>
              <w:t xml:space="preserve"> </w:t>
            </w:r>
            <w:r>
              <w:rPr>
                <w:rStyle w:val="VerbatimChar"/>
              </w:rPr>
              <w:t xml:space="preserve">idx_results_validation_pending</w:t>
            </w:r>
          </w:p>
        </w:tc>
        <w:tc>
          <w:tcPr/>
          <w:p>
            <w:pPr>
              <w:pStyle w:val="Compact"/>
            </w:pPr>
            <w:r>
              <w:t xml:space="preserve">panel de pendientes del bioquímico</w:t>
            </w:r>
          </w:p>
        </w:tc>
      </w:tr>
    </w:tbl>
    <w:p>
      <w:pPr>
        <w:pStyle w:val="BodyText"/>
      </w:pPr>
      <w:r>
        <w:t xml:space="preserve">Comando verificado: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migrate:fresh </w:t>
      </w:r>
      <w:r>
        <w:rPr>
          <w:rStyle w:val="AttributeTok"/>
        </w:rPr>
        <w:t xml:space="preserve">--seed</w:t>
      </w:r>
    </w:p>
    <w:p>
      <w:pPr>
        <w:pStyle w:val="FirstParagraph"/>
      </w:pPr>
      <w:r>
        <w:t xml:space="preserve">Resultado: 90 resultados sembrados en estado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, rol</w:t>
      </w:r>
      <w:r>
        <w:t xml:space="preserve"> </w:t>
      </w:r>
      <w:r>
        <w:rPr>
          <w:rStyle w:val="VerbatimChar"/>
        </w:rPr>
        <w:t xml:space="preserve">Bioquimico</w:t>
      </w:r>
      <w:r>
        <w:t xml:space="preserve"> </w:t>
      </w:r>
      <w:r>
        <w:t xml:space="preserve">con permiso</w:t>
      </w:r>
      <w:r>
        <w:t xml:space="preserve"> </w:t>
      </w:r>
      <w:r>
        <w:rPr>
          <w:rStyle w:val="VerbatimChar"/>
        </w:rPr>
        <w:t xml:space="preserve">lab.results.validate</w:t>
      </w:r>
      <w:r>
        <w:t xml:space="preserve">.</w:t>
      </w:r>
    </w:p>
    <w:bookmarkEnd w:id="35"/>
    <w:bookmarkStart w:id="36" w:name="presentación-api-rest"/>
    <w:p>
      <w:pPr>
        <w:pStyle w:val="Heading1"/>
      </w:pPr>
      <w:r>
        <w:t xml:space="preserve">6. Presentación (API REST)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Ruta</w:t>
            </w:r>
          </w:p>
        </w:tc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Códigos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/api/v1/lab/results/pending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panel de pendientes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/api/v1/lab/results/{id}/validate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validar</w:t>
            </w:r>
          </w:p>
        </w:tc>
        <w:tc>
          <w:tcPr/>
          <w:p>
            <w:pPr>
              <w:pStyle w:val="Compact"/>
            </w:pPr>
            <w:r>
              <w:t xml:space="preserve">200, 403, 404, 409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/api/v1/lab/results/{id}/reject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rechazar con motivo</w:t>
            </w:r>
          </w:p>
        </w:tc>
        <w:tc>
          <w:tcPr/>
          <w:p>
            <w:pPr>
              <w:pStyle w:val="Compact"/>
            </w:pPr>
            <w:r>
              <w:t xml:space="preserve">200, 403, 404, 409, 422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/api/v1/lab/results/{id}/correct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corregir (versión nueva)</w:t>
            </w:r>
          </w:p>
        </w:tc>
        <w:tc>
          <w:tcPr/>
          <w:p>
            <w:pPr>
              <w:pStyle w:val="Compact"/>
            </w:pPr>
            <w:r>
              <w:t xml:space="preserve">201, 403, 404</w:t>
            </w:r>
          </w:p>
        </w:tc>
      </w:tr>
    </w:tbl>
    <w:p>
      <w:pPr>
        <w:pStyle w:val="BodyText"/>
      </w:pPr>
      <w:r>
        <w:t xml:space="preserve">Middleware aplicado:</w:t>
      </w:r>
      <w:r>
        <w:t xml:space="preserve"> </w:t>
      </w:r>
      <w:r>
        <w:rPr>
          <w:rStyle w:val="VerbatimChar"/>
        </w:rPr>
        <w:t xml:space="preserve">tenant</w:t>
      </w:r>
      <w:r>
        <w:t xml:space="preserve"> </w:t>
      </w:r>
      <w:r>
        <w:t xml:space="preserve">(valida</w:t>
      </w:r>
      <w:r>
        <w:t xml:space="preserve"> </w:t>
      </w:r>
      <w:r>
        <w:rPr>
          <w:rStyle w:val="VerbatimChar"/>
        </w:rPr>
        <w:t xml:space="preserve">X-Tenant-ID</w:t>
      </w:r>
      <w:r>
        <w:t xml:space="preserve">),</w:t>
      </w:r>
      <w:r>
        <w:t xml:space="preserve"> </w:t>
      </w:r>
      <w:r>
        <w:rPr>
          <w:rStyle w:val="VerbatimChar"/>
        </w:rPr>
        <w:t xml:space="preserve">jwt.auth</w:t>
      </w:r>
      <w:r>
        <w:t xml:space="preserve"> </w:t>
      </w:r>
      <w:r>
        <w:t xml:space="preserve">(JWT del equipo) y</w:t>
      </w:r>
      <w:r>
        <w:t xml:space="preserve"> </w:t>
      </w:r>
      <w:r>
        <w:rPr>
          <w:rStyle w:val="VerbatimChar"/>
        </w:rPr>
        <w:t xml:space="preserve">permission:lab.results.validate</w:t>
      </w:r>
      <w:r>
        <w:t xml:space="preserve"> </w:t>
      </w:r>
      <w:r>
        <w:t xml:space="preserve">(Spatie). En</w:t>
      </w:r>
      <w:r>
        <w:t xml:space="preserve"> </w:t>
      </w:r>
      <w:r>
        <w:rPr>
          <w:rStyle w:val="VerbatimChar"/>
        </w:rPr>
        <w:t xml:space="preserve">bootstrap/app.php</w:t>
      </w:r>
      <w:r>
        <w:t xml:space="preserve"> </w:t>
      </w:r>
      <w:r>
        <w:t xml:space="preserve">se configuró que las rutas</w:t>
      </w:r>
      <w:r>
        <w:t xml:space="preserve"> </w:t>
      </w:r>
      <w:r>
        <w:rPr>
          <w:rStyle w:val="VerbatimChar"/>
        </w:rPr>
        <w:t xml:space="preserve">api/*</w:t>
      </w:r>
      <w:r>
        <w:t xml:space="preserve"> </w:t>
      </w:r>
      <w:r>
        <w:t xml:space="preserve">respondan siempre JSON (incluye los errores de validación 422).</w:t>
      </w:r>
    </w:p>
    <w:p>
      <w:pPr>
        <w:pStyle w:val="BodyText"/>
      </w:pPr>
      <w:r>
        <w:t xml:space="preserve">El controlador</w:t>
      </w:r>
      <w:r>
        <w:t xml:space="preserve"> </w:t>
      </w:r>
      <w:r>
        <w:rPr>
          <w:rStyle w:val="VerbatimChar"/>
        </w:rPr>
        <w:t xml:space="preserve">LabResultController</w:t>
      </w:r>
      <w:r>
        <w:t xml:space="preserve"> </w:t>
      </w:r>
      <w:r>
        <w:t xml:space="preserve">es delgado: valida la entrada, construye el</w:t>
      </w:r>
      <w:r>
        <w:t xml:space="preserve"> </w:t>
      </w:r>
      <w:r>
        <w:rPr>
          <w:b/>
          <w:bCs/>
        </w:rPr>
        <w:t xml:space="preserve">command</w:t>
      </w:r>
      <w:r>
        <w:t xml:space="preserve">, invoca el caso de uso y traduce excepciones a respuestas. No contiene SQL ni reglas de negocio.</w:t>
      </w:r>
    </w:p>
    <w:bookmarkEnd w:id="36"/>
    <w:bookmarkStart w:id="40" w:name="pruebas-automatizadas-e-integración"/>
    <w:p>
      <w:pPr>
        <w:pStyle w:val="Heading1"/>
      </w:pPr>
      <w:r>
        <w:t xml:space="preserve">7. Pruebas automatizadas e integración</w:t>
      </w:r>
    </w:p>
    <w:p>
      <w:pPr>
        <w:pStyle w:val="CaptionedFigure"/>
      </w:pPr>
      <w:r>
        <w:drawing>
          <wp:inline>
            <wp:extent cx="5067300" cy="2088588"/>
            <wp:effectExtent b="0" l="0" r="0" t="0"/>
            <wp:docPr descr="Secuencia de validación" title="" id="38" name="Picture"/>
            <a:graphic>
              <a:graphicData uri="http://schemas.openxmlformats.org/drawingml/2006/picture">
                <pic:pic>
                  <pic:nvPicPr>
                    <pic:cNvPr descr="./secuencia-validar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088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Secuencia de validación</w:t>
      </w:r>
    </w:p>
    <w:p>
      <w:pPr>
        <w:pStyle w:val="BodyText"/>
      </w:pPr>
      <w:r>
        <w:t xml:space="preserve">Fuente editable:</w:t>
      </w:r>
      <w:r>
        <w:t xml:space="preserve"> </w:t>
      </w:r>
      <w:r>
        <w:rPr>
          <w:rStyle w:val="VerbatimChar"/>
        </w:rPr>
        <w:t xml:space="preserve">secuencia-validar.puml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test </w:t>
      </w:r>
      <w:r>
        <w:rPr>
          <w:rStyle w:val="AttributeTok"/>
        </w:rPr>
        <w:t xml:space="preserve">--filter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"Modulo20"</w:t>
      </w:r>
    </w:p>
    <w:p>
      <w:pPr>
        <w:pStyle w:val="SourceCode"/>
      </w:pPr>
      <w:r>
        <w:rPr>
          <w:rStyle w:val="VerbatimChar"/>
        </w:rPr>
        <w:t xml:space="preserve">PASS  Tests\Unit\Modulo20\LabResultDomainTest                      (6)</w:t>
      </w:r>
      <w:r>
        <w:br/>
      </w:r>
      <w:r>
        <w:rPr>
          <w:rStyle w:val="VerbatimChar"/>
        </w:rPr>
        <w:t xml:space="preserve">  ✓ un resultado pendiente puede validarse</w:t>
      </w:r>
      <w:r>
        <w:br/>
      </w:r>
      <w:r>
        <w:rPr>
          <w:rStyle w:val="VerbatimChar"/>
        </w:rPr>
        <w:t xml:space="preserve">  ✓ un resultado validado es inmutable</w:t>
      </w:r>
      <w:r>
        <w:br/>
      </w:r>
      <w:r>
        <w:rPr>
          <w:rStyle w:val="VerbatimChar"/>
        </w:rPr>
        <w:t xml:space="preserve">  ✓ el rechazo exige un motivo no vacio</w:t>
      </w:r>
      <w:r>
        <w:br/>
      </w:r>
      <w:r>
        <w:rPr>
          <w:rStyle w:val="VerbatimChar"/>
        </w:rPr>
        <w:t xml:space="preserve">  ✓ el rechazo con motivo marca el resultado como rechazado</w:t>
      </w:r>
      <w:r>
        <w:br/>
      </w:r>
      <w:r>
        <w:rPr>
          <w:rStyle w:val="VerbatimChar"/>
        </w:rPr>
        <w:t xml:space="preserve">  ✓ la correccion crea una version nueva pendiente</w:t>
      </w:r>
      <w:r>
        <w:br/>
      </w:r>
      <w:r>
        <w:rPr>
          <w:rStyle w:val="VerbatimChar"/>
        </w:rPr>
        <w:t xml:space="preserve">  ✓ un resultado rechazado no puede validarse directamente</w:t>
      </w:r>
      <w:r>
        <w:br/>
      </w:r>
      <w:r>
        <w:br/>
      </w:r>
      <w:r>
        <w:rPr>
          <w:rStyle w:val="VerbatimChar"/>
        </w:rPr>
        <w:t xml:space="preserve">PASS  Tests\Feature\Modulo20\ValidacionResultadoUseCaseTest        (5)</w:t>
      </w:r>
      <w:r>
        <w:br/>
      </w:r>
      <w:r>
        <w:rPr>
          <w:rStyle w:val="VerbatimChar"/>
        </w:rPr>
        <w:t xml:space="preserve">  ✓ un usuario sin permiso no puede validar</w:t>
      </w:r>
      <w:r>
        <w:br/>
      </w:r>
      <w:r>
        <w:rPr>
          <w:rStyle w:val="VerbatimChar"/>
        </w:rPr>
        <w:t xml:space="preserve">  ✓ un usuario autorizado valida un resultado pendiente</w:t>
      </w:r>
      <w:r>
        <w:br/>
      </w:r>
      <w:r>
        <w:rPr>
          <w:rStyle w:val="VerbatimChar"/>
        </w:rPr>
        <w:t xml:space="preserve">  ✓ el rechazo sin motivo se rechaza en el caso de uso</w:t>
      </w:r>
      <w:r>
        <w:br/>
      </w:r>
      <w:r>
        <w:rPr>
          <w:rStyle w:val="VerbatimChar"/>
        </w:rPr>
        <w:t xml:space="preserve">  ✓ un resultado no encontrado en el tenant lanza error</w:t>
      </w:r>
      <w:r>
        <w:br/>
      </w:r>
      <w:r>
        <w:rPr>
          <w:rStyle w:val="VerbatimChar"/>
        </w:rPr>
        <w:t xml:space="preserve">  ✓ la correccion genera una version nueva desde un rechazado</w:t>
      </w:r>
      <w:r>
        <w:br/>
      </w:r>
      <w:r>
        <w:br/>
      </w:r>
      <w:r>
        <w:rPr>
          <w:rStyle w:val="VerbatimChar"/>
        </w:rPr>
        <w:t xml:space="preserve">PASS  Tests\Feature\Modulo20\EloquentLabResultRepositoryIntegrationTest (2)</w:t>
      </w:r>
      <w:r>
        <w:br/>
      </w:r>
      <w:r>
        <w:rPr>
          <w:rStyle w:val="VerbatimChar"/>
        </w:rPr>
        <w:t xml:space="preserve">  ✓ el repositorio persiste una validacion en postgresql</w:t>
      </w:r>
      <w:r>
        <w:br/>
      </w:r>
      <w:r>
        <w:rPr>
          <w:rStyle w:val="VerbatimChar"/>
        </w:rPr>
        <w:t xml:space="preserve">  ✓ la correccion persiste una version nueva en postgresql</w:t>
      </w:r>
      <w:r>
        <w:br/>
      </w:r>
      <w:r>
        <w:br/>
      </w:r>
      <w:r>
        <w:rPr>
          <w:rStyle w:val="VerbatimChar"/>
        </w:rPr>
        <w:t xml:space="preserve">Tests: 13 passed (30 assertions)</w:t>
      </w:r>
      <w:r>
        <w:br/>
      </w:r>
      <w:r>
        <w:rPr>
          <w:rStyle w:val="VerbatimChar"/>
        </w:rPr>
        <w:t xml:space="preserve">Duration: 1.38s</w:t>
      </w:r>
    </w:p>
    <w:p>
      <w:pPr>
        <w:pStyle w:val="FirstParagraph"/>
      </w:pPr>
      <w:r>
        <w:t xml:space="preserve">Cobertura solicitada:</w:t>
      </w:r>
      <w:r>
        <w:t xml:space="preserve"> </w:t>
      </w:r>
      <w:r>
        <w:rPr>
          <w:b/>
          <w:bCs/>
        </w:rPr>
        <w:t xml:space="preserve">6 de dominio</w:t>
      </w:r>
      <w:r>
        <w:t xml:space="preserve"> </w:t>
      </w:r>
      <w:r>
        <w:t xml:space="preserve">(≥3),</w:t>
      </w:r>
      <w:r>
        <w:t xml:space="preserve"> </w:t>
      </w:r>
      <w:r>
        <w:rPr>
          <w:b/>
          <w:bCs/>
        </w:rPr>
        <w:t xml:space="preserve">5 de aplicación</w:t>
      </w:r>
      <w:r>
        <w:t xml:space="preserve"> </w:t>
      </w:r>
      <w:r>
        <w:t xml:space="preserve">(≥2) y</w:t>
      </w:r>
      <w:r>
        <w:t xml:space="preserve"> </w:t>
      </w:r>
      <w:r>
        <w:rPr>
          <w:b/>
          <w:bCs/>
        </w:rPr>
        <w:t xml:space="preserve">2 de integración PostgreSQL</w:t>
      </w:r>
      <w:r>
        <w:t xml:space="preserve"> </w:t>
      </w:r>
      <w:r>
        <w:t xml:space="preserve">(≥1, contra la base</w:t>
      </w:r>
      <w:r>
        <w:t xml:space="preserve"> </w:t>
      </w:r>
      <w:r>
        <w:rPr>
          <w:rStyle w:val="VerbatimChar"/>
        </w:rPr>
        <w:t xml:space="preserve">shi_asii20_test</w:t>
      </w:r>
      <w:r>
        <w:t xml:space="preserve"> </w:t>
      </w:r>
      <w:r>
        <w:t xml:space="preserve">del clúster real).</w:t>
      </w:r>
    </w:p>
    <w:bookmarkEnd w:id="40"/>
    <w:bookmarkStart w:id="41" w:name="evidencia-de-ejecución"/>
    <w:p>
      <w:pPr>
        <w:pStyle w:val="Heading1"/>
      </w:pPr>
      <w:r>
        <w:t xml:space="preserve">8. Evidencia de ejecución</w:t>
      </w:r>
    </w:p>
    <w:p>
      <w:pPr>
        <w:pStyle w:val="FirstParagraph"/>
      </w:pPr>
      <w:r>
        <w:t xml:space="preserve">Prueba funcional HTTP completa (servidor</w:t>
      </w:r>
      <w:r>
        <w:t xml:space="preserve"> </w:t>
      </w:r>
      <w:r>
        <w:rPr>
          <w:rStyle w:val="VerbatimChar"/>
        </w:rPr>
        <w:t xml:space="preserve">php artisan serve --port=8000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Respuesta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/lab/results/pending</w:t>
            </w:r>
            <w:r>
              <w:t xml:space="preserve"> </w:t>
            </w:r>
            <w:r>
              <w:t xml:space="preserve">(bioquímico)</w:t>
            </w:r>
          </w:p>
        </w:tc>
        <w:tc>
          <w:tcPr/>
          <w:p>
            <w:pPr>
              <w:pStyle w:val="Compact"/>
            </w:pPr>
            <w:r>
              <w:t xml:space="preserve">200, lista de pendientes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/lab/results/33/validate</w:t>
            </w:r>
            <w:r>
              <w:t xml:space="preserve"> </w:t>
            </w:r>
            <w:r>
              <w:t xml:space="preserve">(técnico sin permiso)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/lab/results/33/validate</w:t>
            </w:r>
            <w:r>
              <w:t xml:space="preserve"> </w:t>
            </w:r>
            <w:r>
              <w:t xml:space="preserve">(bioquímico)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validated_by=4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/lab/results/33/validate</w:t>
            </w:r>
            <w:r>
              <w:t xml:space="preserve"> </w:t>
            </w:r>
            <w:r>
              <w:t xml:space="preserve">(repetición)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409</w:t>
            </w:r>
            <w:r>
              <w:t xml:space="preserve"> </w:t>
            </w:r>
            <w:r>
              <w:t xml:space="preserve">inmutable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/lab/results/34/reject</w:t>
            </w:r>
            <w:r>
              <w:t xml:space="preserve"> </w:t>
            </w:r>
            <w:r>
              <w:t xml:space="preserve">sin motivo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/lab/results/34/reject</w:t>
            </w:r>
            <w:r>
              <w:t xml:space="preserve"> </w:t>
            </w:r>
            <w:r>
              <w:t xml:space="preserve">con motivo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rechazado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/lab/results/34/correct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201</w:t>
            </w:r>
            <w:r>
              <w:t xml:space="preserve">, nuevo id=93,</w:t>
            </w:r>
            <w:r>
              <w:t xml:space="preserve"> </w:t>
            </w:r>
            <w:r>
              <w:rPr>
                <w:rStyle w:val="VerbatimChar"/>
              </w:rPr>
              <w:t xml:space="preserve">version=2</w:t>
            </w:r>
            <w:r>
              <w:t xml:space="preserve">, 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/lab/results/999999/validate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/lab/results/35/validate</w:t>
            </w:r>
            <w:r>
              <w:t xml:space="preserve"> </w:t>
            </w:r>
            <w:r>
              <w:t xml:space="preserve">con tenant ajeno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403</w:t>
            </w:r>
          </w:p>
        </w:tc>
      </w:tr>
    </w:tbl>
    <w:p>
      <w:pPr>
        <w:pStyle w:val="BodyText"/>
      </w:pPr>
      <w:r>
        <w:t xml:space="preserve">Los 9 casos coinciden con los criterios de aceptación CA-01 a CA-09 de</w:t>
      </w:r>
      <w:r>
        <w:t xml:space="preserve"> </w:t>
      </w:r>
      <w:r>
        <w:rPr>
          <w:rStyle w:val="VerbatimChar"/>
        </w:rPr>
        <w:t xml:space="preserve">docs/modulos/mod20/ESPECIFICACION.md</w:t>
      </w:r>
      <w:r>
        <w:t xml:space="preserve">. El detalle completo, las salidas reales y el inventario de archivos están en</w:t>
      </w:r>
      <w:r>
        <w:t xml:space="preserve"> </w:t>
      </w:r>
      <w:r>
        <w:rPr>
          <w:rStyle w:val="VerbatimChar"/>
        </w:rPr>
        <w:t xml:space="preserve">docs/modulos/mod20/EVIDENCIA.md</w:t>
      </w:r>
      <w:r>
        <w:t xml:space="preserve">; la declaración de uso de IA está en</w:t>
      </w:r>
      <w:r>
        <w:t xml:space="preserve"> </w:t>
      </w:r>
      <w:r>
        <w:rPr>
          <w:rStyle w:val="VerbatimChar"/>
        </w:rPr>
        <w:t xml:space="preserve">docs/modulos/mod20/DECLARACION_IA.md</w:t>
      </w:r>
      <w:r>
        <w:t xml:space="preserve">.</w:t>
      </w:r>
    </w:p>
    <w:bookmarkEnd w:id="41"/>
    <w:bookmarkStart w:id="42" w:name="conclusión"/>
    <w:p>
      <w:pPr>
        <w:pStyle w:val="Heading1"/>
      </w:pPr>
      <w:r>
        <w:t xml:space="preserve">9. Conclusión</w:t>
      </w:r>
    </w:p>
    <w:p>
      <w:pPr>
        <w:pStyle w:val="FirstParagraph"/>
      </w:pPr>
      <w:r>
        <w:rPr>
          <w:b/>
          <w:bCs/>
        </w:rPr>
        <w:t xml:space="preserve">Qué se logró.</w:t>
      </w:r>
      <w:r>
        <w:t xml:space="preserve"> </w:t>
      </w:r>
      <w:r>
        <w:t xml:space="preserve">El módulo 20 quedó integrado en el repositorio del equipo como una vertical completa de capas con patrón</w:t>
      </w:r>
      <w:r>
        <w:t xml:space="preserve"> </w:t>
      </w:r>
      <w:r>
        <w:rPr>
          <w:b/>
          <w:bCs/>
        </w:rPr>
        <w:t xml:space="preserve">Repository</w:t>
      </w:r>
      <w:r>
        <w:t xml:space="preserve">: reglas de dominio puras, casos de uso dependientes de puertos, adaptadores Eloquent/PostgreSQL y Spatie, presentación REST con JWT y permisos, migración y seeders verificados con</w:t>
      </w:r>
      <w:r>
        <w:t xml:space="preserve"> </w:t>
      </w:r>
      <w:r>
        <w:rPr>
          <w:rStyle w:val="VerbatimChar"/>
        </w:rPr>
        <w:t xml:space="preserve">migrate:fresh --seed</w:t>
      </w:r>
      <w:r>
        <w:t xml:space="preserve">, y</w:t>
      </w:r>
      <w:r>
        <w:t xml:space="preserve"> </w:t>
      </w:r>
      <w:r>
        <w:rPr>
          <w:b/>
          <w:bCs/>
        </w:rPr>
        <w:t xml:space="preserve">13 pruebas</w:t>
      </w:r>
      <w:r>
        <w:t xml:space="preserve"> </w:t>
      </w:r>
      <w:r>
        <w:t xml:space="preserve">que pasan, incluidas</w:t>
      </w:r>
      <w:r>
        <w:t xml:space="preserve"> </w:t>
      </w:r>
      <w:r>
        <w:rPr>
          <w:b/>
          <w:bCs/>
        </w:rPr>
        <w:t xml:space="preserve">2 de integración contra PostgreSQL real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Decisión más relevante.</w:t>
      </w:r>
      <w:r>
        <w:t xml:space="preserve"> </w:t>
      </w:r>
      <w:r>
        <w:t xml:space="preserve">Modelar la interfaz</w:t>
      </w:r>
      <w:r>
        <w:t xml:space="preserve"> </w:t>
      </w:r>
      <w:r>
        <w:rPr>
          <w:rStyle w:val="VerbatimChar"/>
        </w:rPr>
        <w:t xml:space="preserve">LabResultRepository</w:t>
      </w:r>
      <w:r>
        <w:t xml:space="preserve"> </w:t>
      </w:r>
      <w:r>
        <w:t xml:space="preserve">con el vocabulario del dominio (</w:t>
      </w:r>
      <w:r>
        <w:rPr>
          <w:rStyle w:val="VerbatimChar"/>
        </w:rPr>
        <w:t xml:space="preserve">pendientes</w:t>
      </w:r>
      <w:r>
        <w:t xml:space="preserve">,</w:t>
      </w:r>
      <w:r>
        <w:t xml:space="preserve"> </w:t>
      </w:r>
      <w:r>
        <w:rPr>
          <w:rStyle w:val="VerbatimChar"/>
        </w:rPr>
        <w:t xml:space="preserve">porId</w:t>
      </w:r>
      <w:r>
        <w:t xml:space="preserve">,</w:t>
      </w:r>
      <w:r>
        <w:t xml:space="preserve"> </w:t>
      </w:r>
      <w:r>
        <w:rPr>
          <w:rStyle w:val="VerbatimChar"/>
        </w:rPr>
        <w:t xml:space="preserve">guardar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proximoId</w:t>
      </w:r>
      <w:r>
        <w:t xml:space="preserve">) en lugar de un repositorio CRUD genérico. Eso hizo que el caso de uso expresara la intención de negocio y que las pruebas sustituyeran la persistencia por el doble</w:t>
      </w:r>
      <w:r>
        <w:t xml:space="preserve"> </w:t>
      </w:r>
      <w:r>
        <w:rPr>
          <w:rStyle w:val="VerbatimChar"/>
        </w:rPr>
        <w:t xml:space="preserve">InMemoryLabResultRepository</w:t>
      </w:r>
      <w:r>
        <w:t xml:space="preserve"> </w:t>
      </w:r>
      <w:r>
        <w:t xml:space="preserve">sin tocar producción (doble uso del estilo Repository: desacoplar la persistencia y habilitar tests).</w:t>
      </w:r>
    </w:p>
    <w:p>
      <w:pPr>
        <w:pStyle w:val="BodyText"/>
      </w:pPr>
      <w:r>
        <w:rPr>
          <w:b/>
          <w:bCs/>
        </w:rPr>
        <w:t xml:space="preserve">Limitación que permanece.</w:t>
      </w:r>
      <w:r>
        <w:t xml:space="preserve"> </w:t>
      </w:r>
      <w:r>
        <w:t xml:space="preserve">Por orden explícita del equipo no se ejecutó la etapa Git (commits ≥10, push y PR borrador) durante la elaboración; la rama quedó lista en el worktree. Además, la notificación al técnico y la alerta crítica a médicos (CU-05/CU-06 de la Tarea 1) quedaron como piezas futuras del módulo.</w:t>
      </w:r>
    </w:p>
    <w:p>
      <w:pPr>
        <w:pStyle w:val="BodyText"/>
      </w:pPr>
      <w:r>
        <w:rPr>
          <w:b/>
          <w:bCs/>
        </w:rPr>
        <w:t xml:space="preserve">Cómo la evidencia demuestra el cumplimiento.</w:t>
      </w:r>
      <w:r>
        <w:t xml:space="preserve"> </w:t>
      </w:r>
      <w:r>
        <w:t xml:space="preserve">El repositorio contiene la especificación y el ADR, 6 diagramas UML editables y en PNG, el código vertical, la migración y seeders, las pruebas ejecutadas con salida real,</w:t>
      </w:r>
      <w:r>
        <w:t xml:space="preserve"> </w:t>
      </w:r>
      <w:r>
        <w:rPr>
          <w:rStyle w:val="VerbatimChar"/>
        </w:rPr>
        <w:t xml:space="preserve">EVIDENCIA.md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DECLARACION_IA.md</w:t>
      </w:r>
      <w:r>
        <w:t xml:space="preserve"> </w:t>
      </w:r>
      <w:r>
        <w:t xml:space="preserve">y este informe PDF. Todo es reproducible con</w:t>
      </w:r>
      <w:r>
        <w:t xml:space="preserve"> </w:t>
      </w:r>
      <w:r>
        <w:rPr>
          <w:rStyle w:val="VerbatimChar"/>
        </w:rPr>
        <w:t xml:space="preserve">composer install</w:t>
      </w:r>
      <w:r>
        <w:t xml:space="preserve">,</w:t>
      </w:r>
      <w:r>
        <w:t xml:space="preserve"> </w:t>
      </w:r>
      <w:r>
        <w:rPr>
          <w:rStyle w:val="VerbatimChar"/>
        </w:rPr>
        <w:t xml:space="preserve">php artisan migrate:fresh --seed</w:t>
      </w:r>
      <w:r>
        <w:t xml:space="preserve">,</w:t>
      </w:r>
      <w:r>
        <w:t xml:space="preserve"> </w:t>
      </w:r>
      <w:r>
        <w:rPr>
          <w:rStyle w:val="VerbatimChar"/>
        </w:rPr>
        <w:t xml:space="preserve">php artisan serve --port=8000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php artisan test</w:t>
      </w:r>
      <w:r>
        <w:t xml:space="preserve">.</w:t>
      </w:r>
    </w:p>
    <w:bookmarkEnd w:id="42"/>
    <w:bookmarkStart w:id="43" w:name="bibliografía"/>
    <w:p>
      <w:pPr>
        <w:pStyle w:val="Heading1"/>
      </w:pPr>
      <w:r>
        <w:t xml:space="preserve">10. Bibliografía</w:t>
      </w:r>
    </w:p>
    <w:p>
      <w:pPr>
        <w:pStyle w:val="Compact"/>
        <w:numPr>
          <w:ilvl w:val="0"/>
          <w:numId w:val="1004"/>
        </w:numPr>
      </w:pPr>
      <w:r>
        <w:t xml:space="preserve">Object Management Group.</w:t>
      </w:r>
      <w:r>
        <w:t xml:space="preserve"> </w:t>
      </w:r>
      <w:r>
        <w:rPr>
          <w:i/>
          <w:iCs/>
        </w:rPr>
        <w:t xml:space="preserve">Unified Modeling Language (UML), versión 2.5.1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Fowler, Martin.</w:t>
      </w:r>
      <w:r>
        <w:t xml:space="preserve"> </w:t>
      </w:r>
      <w:r>
        <w:rPr>
          <w:i/>
          <w:iCs/>
        </w:rPr>
        <w:t xml:space="preserve">Patterns of Enterprise Application Architecture</w:t>
      </w:r>
      <w:r>
        <w:t xml:space="preserve"> </w:t>
      </w:r>
      <w:r>
        <w:t xml:space="preserve">(Repository, 2002).</w:t>
      </w:r>
    </w:p>
    <w:p>
      <w:pPr>
        <w:pStyle w:val="Compact"/>
        <w:numPr>
          <w:ilvl w:val="0"/>
          <w:numId w:val="1004"/>
        </w:numPr>
      </w:pPr>
      <w:r>
        <w:t xml:space="preserve">Documentación oficial de Laravel. «Database», «Eloquent ORM» y «Validation». https://laravel.com/docs</w:t>
      </w:r>
    </w:p>
    <w:p>
      <w:pPr>
        <w:pStyle w:val="Compact"/>
        <w:numPr>
          <w:ilvl w:val="0"/>
          <w:numId w:val="1004"/>
        </w:numPr>
      </w:pPr>
      <w:r>
        <w:t xml:space="preserve">Documentación oficial de PostgreSQL 17. https://www.postgresql.org/docs/</w:t>
      </w:r>
    </w:p>
    <w:p>
      <w:pPr>
        <w:pStyle w:val="Compact"/>
        <w:numPr>
          <w:ilvl w:val="0"/>
          <w:numId w:val="1004"/>
        </w:numPr>
      </w:pPr>
      <w:r>
        <w:t xml:space="preserve">Tarea 1 del curso.</w:t>
      </w:r>
      <w:r>
        <w:t xml:space="preserve"> </w:t>
      </w:r>
      <w:r>
        <w:rPr>
          <w:i/>
          <w:iCs/>
        </w:rPr>
        <w:t xml:space="preserve">Diagramas UML del módulo ASII-20</w:t>
      </w:r>
      <w:r>
        <w:t xml:space="preserve"> </w:t>
      </w:r>
      <w:r>
        <w:t xml:space="preserve">(casos de uso y secuencias).</w:t>
      </w:r>
    </w:p>
    <w:p>
      <w:pPr>
        <w:pStyle w:val="Compact"/>
        <w:numPr>
          <w:ilvl w:val="0"/>
          <w:numId w:val="1004"/>
        </w:numPr>
      </w:pPr>
      <w:r>
        <w:t xml:space="preserve">Tarea 2 del curso.</w:t>
      </w:r>
      <w:r>
        <w:t xml:space="preserve"> </w:t>
      </w:r>
      <w:r>
        <w:rPr>
          <w:i/>
          <w:iCs/>
        </w:rPr>
        <w:t xml:space="preserve">Aplicación de DIP</w:t>
      </w:r>
      <w:r>
        <w:t xml:space="preserve"> </w:t>
      </w:r>
      <w:r>
        <w:t xml:space="preserve">al flujo de validación por bioquímico (MVP Cluster).</w:t>
      </w:r>
    </w:p>
    <w:p>
      <w:pPr>
        <w:pStyle w:val="Compact"/>
        <w:numPr>
          <w:ilvl w:val="0"/>
          <w:numId w:val="1004"/>
        </w:numPr>
      </w:pPr>
      <w:r>
        <w:t xml:space="preserve">Tarea 3 del curso.</w:t>
      </w:r>
      <w:r>
        <w:t xml:space="preserve"> </w:t>
      </w:r>
      <w:r>
        <w:rPr>
          <w:i/>
          <w:iCs/>
        </w:rPr>
        <w:t xml:space="preserve">Micro-HIS: micro-monolito en capas</w:t>
      </w:r>
      <w:r>
        <w:t xml:space="preserve"> </w:t>
      </w:r>
      <w:r>
        <w:t xml:space="preserve">(PHP vanilla, PDO preparado).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9" Target="media/rId9.png" /><Relationship Type="http://schemas.openxmlformats.org/officeDocument/2006/relationships/image" Id="rId37" Target="media/rId37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2026-08-19T20:47:10Z</dcterms:created>
  <dcterms:modified xsi:type="dcterms:W3CDTF">2026-08-19T20:47:10Z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