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FirstParagraph"/>
      </w:pPr>
      <w:r>
        <w:t xml:space="preserve">Broad sense heritability was calculated from the Finlay-Wilkinson regression model, in a 10 year rolling window over the cultivar’s year of release starting in 1989.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e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e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Sup>
                    <m:e>
                      <m:r>
                        <m:t>σ</m:t>
                      </m:r>
                    </m:e>
                    <m:sub>
                      <m:r>
                        <m:t>ϵ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t>ϵ</m:t>
                      </m:r>
                    </m:sub>
                  </m:sSub>
                </m:den>
              </m:f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E</m:t>
              </m:r>
              <m:sSubSup>
                <m:e>
                  <m:r>
                    <m:t>σ</m:t>
                  </m:r>
                </m:e>
                <m:sub>
                  <m:r>
                    <m:t>e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g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G</m:t>
              </m:r>
              <m:sSubSup>
                <m:e>
                  <m:r>
                    <m:t>σ</m:t>
                  </m:r>
                </m:e>
                <m:sub>
                  <m:r>
                    <m:t>g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0</m:t>
              </m:r>
              <m:r>
                <m:rPr>
                  <m:sty m:val="p"/>
                </m:rPr>
                <m:t>,</m:t>
              </m:r>
              <m:r>
                <m:rPr>
                  <m:sty m:val="b"/>
                </m:rPr>
                <m:t>A</m:t>
              </m:r>
              <m:sSubSup>
                <m:e>
                  <m:r>
                    <m:t>σ</m:t>
                  </m:r>
                </m:e>
                <m:sub>
                  <m:r>
                    <m:t>b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μ</m:t>
                  </m:r>
                </m:e>
                <m:sub>
                  <m:r>
                    <m:t>i</m:t>
                  </m:r>
                  <m:r>
                    <m:t>j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g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i</m:t>
              </m:r>
            </m:sub>
          </m:sSub>
          <m:sSub>
            <m:e>
              <m:r>
                <m:t>e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r>
            <m:t>j</m:t>
          </m:r>
          <m:r>
            <m:t>k</m:t>
          </m:r>
        </m:oMath>
      </m:oMathPara>
    </w:p>
    <w:p>
      <w:pPr>
        <w:pStyle w:val="FirstParagraph"/>
      </w:pPr>
      <w:r>
        <w:t xml:space="preserve">In Equation XXX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represents the observed yield at the</w:t>
      </w:r>
      <w:r>
        <w:t xml:space="preserve"> </w:t>
      </w:r>
      <m:oMath>
        <m:sSup>
          <m:e>
            <m:r>
              <m:t>k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replicate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genotype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j</m:t>
            </m:r>
            <m:r>
              <m:rPr>
                <m:sty m:val="p"/>
              </m:rPr>
              <m:t>: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.</m:t>
            </m:r>
            <m:r>
              <m:rPr>
                <m:sty m:val="p"/>
              </m:rPr>
              <m:t>.</m:t>
            </m:r>
            <m:r>
              <m:t>.235</m:t>
            </m:r>
          </m:e>
        </m:d>
      </m:oMath>
      <w:r>
        <w:t xml:space="preserve"> </w:t>
      </w:r>
      <w:r>
        <w:t xml:space="preserve">at the</w:t>
      </w:r>
      <w:r>
        <w:t xml:space="preserve"> </w:t>
      </w:r>
      <m:oMath>
        <m:sSup>
          <m:e>
            <m:r>
              <m:t>j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environment. This model assumed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represents the overall intercept, while</w:t>
      </w:r>
      <w:r>
        <w:t xml:space="preserve"> </w:t>
      </w:r>
      <m:oMath>
        <m:sSub>
          <m:e>
            <m:r>
              <m:t>g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main effects of genotypes and environments respectively.</w:t>
      </w:r>
      <w:r>
        <w:t xml:space="preserve"> </w:t>
      </w:r>
      <w:r>
        <w:t xml:space="preserve">$\g_i$</w:t>
      </w:r>
      <w:r>
        <w:t xml:space="preserve"> </w:t>
      </w:r>
      <w:r>
        <w:t xml:space="preserve">can be also interpreted as the intercept of the reaction norm and</w:t>
      </w:r>
      <w:r>
        <w:t xml:space="preserve"> </w:t>
      </w: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represents the slope used as an estimate of grain yield phenotypic plasticity.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 </w:t>
      </w:r>
      <w:r>
        <w:t xml:space="preserve">is the error term assumed normally distributed with expected value equal to zero and variance</w:t>
      </w:r>
      <w:r>
        <w:t xml:space="preserve"> </w:t>
      </w:r>
      <m:oMath>
        <m:sSubSup>
          <m:e>
            <m:r>
              <m:t>σ</m:t>
            </m:r>
          </m:e>
          <m:sub>
            <m:r>
              <m:t>e</m:t>
            </m:r>
          </m:sub>
          <m:sup>
            <m:r>
              <m:t>2</m:t>
            </m:r>
          </m:sup>
        </m:sSubSup>
      </m:oMath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2024-10-10T01:11:48Z</dcterms:created>
  <dcterms:modified xsi:type="dcterms:W3CDTF">2024-10-10T01:11:48Z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