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8EA8" w14:textId="3BF569D3" w:rsidR="00977B3D" w:rsidRDefault="00977B3D" w:rsidP="0063384F">
      <w:pPr>
        <w:pStyle w:val="Title"/>
      </w:pPr>
      <w:r>
        <w:t xml:space="preserve">Genetic architecture of </w:t>
      </w:r>
      <w:r w:rsidR="00E97B6E">
        <w:t xml:space="preserve">winter wheat </w:t>
      </w:r>
      <w:r>
        <w:t xml:space="preserve">grain </w:t>
      </w:r>
      <w:r w:rsidR="00E97B6E">
        <w:t>yields</w:t>
      </w:r>
      <w:r>
        <w:t xml:space="preserve"> phenotypic plasticity in </w:t>
      </w:r>
      <w:r w:rsidR="00E97B6E">
        <w:t>the Central Great Plains</w:t>
      </w:r>
    </w:p>
    <w:p w14:paraId="22E3E3A4" w14:textId="77777777" w:rsidR="0063384F" w:rsidRPr="0063384F" w:rsidRDefault="0063384F" w:rsidP="0063384F"/>
    <w:p w14:paraId="394CC975" w14:textId="74ACE7BA" w:rsidR="00DE2AAA" w:rsidRDefault="00977B3D" w:rsidP="00977B3D">
      <w:r>
        <w:t>Nicolas Giordano</w:t>
      </w:r>
    </w:p>
    <w:p w14:paraId="44A14E2A" w14:textId="7B4070E7" w:rsidR="00DE2AAA" w:rsidRPr="00DE2AAA" w:rsidRDefault="00DE2AAA" w:rsidP="00DE2AAA">
      <w:pPr>
        <w:pStyle w:val="Heading2"/>
      </w:pPr>
      <w:commentRangeStart w:id="0"/>
      <w:r>
        <w:t>Highlight</w:t>
      </w:r>
      <w:commentRangeEnd w:id="0"/>
      <w:r w:rsidR="00E97B6E">
        <w:rPr>
          <w:rStyle w:val="CommentReference"/>
          <w:rFonts w:eastAsiaTheme="minorHAnsi" w:cstheme="minorBidi"/>
          <w:color w:val="auto"/>
        </w:rPr>
        <w:commentReference w:id="0"/>
      </w:r>
    </w:p>
    <w:p w14:paraId="22493557" w14:textId="50DB85E4" w:rsidR="00977B3D" w:rsidRPr="00977B3D" w:rsidRDefault="00977B3D" w:rsidP="00977B3D">
      <w:pPr>
        <w:pStyle w:val="Heading1"/>
      </w:pPr>
      <w:commentRangeStart w:id="1"/>
      <w:r w:rsidRPr="00977B3D">
        <w:t>Abstract</w:t>
      </w:r>
      <w:commentRangeEnd w:id="1"/>
      <w:r w:rsidR="00E97B6E">
        <w:rPr>
          <w:rStyle w:val="CommentReference"/>
          <w:rFonts w:eastAsiaTheme="minorHAnsi" w:cstheme="minorBidi"/>
          <w:b w:val="0"/>
        </w:rPr>
        <w:commentReference w:id="1"/>
      </w:r>
    </w:p>
    <w:p w14:paraId="680B888C" w14:textId="1E4AC2AF" w:rsidR="00DE2AAA" w:rsidRDefault="00DE2AAA" w:rsidP="00DE2AAA">
      <w:pPr>
        <w:pStyle w:val="Heading1"/>
      </w:pPr>
      <w:commentRangeStart w:id="2"/>
      <w:r>
        <w:t>Keywords and Abbreviations</w:t>
      </w:r>
      <w:commentRangeEnd w:id="2"/>
      <w:r w:rsidR="00E97B6E">
        <w:rPr>
          <w:rStyle w:val="CommentReference"/>
          <w:rFonts w:eastAsiaTheme="minorHAnsi" w:cstheme="minorBidi"/>
          <w:b w:val="0"/>
        </w:rPr>
        <w:commentReference w:id="2"/>
      </w:r>
    </w:p>
    <w:p w14:paraId="54135994" w14:textId="6D84D514" w:rsidR="00977B3D" w:rsidRDefault="00977B3D" w:rsidP="00977B3D">
      <w:pPr>
        <w:pStyle w:val="Heading1"/>
      </w:pPr>
      <w:r w:rsidRPr="00977B3D">
        <w:t>Introduction</w:t>
      </w:r>
    </w:p>
    <w:p w14:paraId="1BEF462C" w14:textId="77777777" w:rsidR="00DE2AAA" w:rsidRPr="00DE2AAA" w:rsidRDefault="00DE2AAA" w:rsidP="00DE2AAA"/>
    <w:p w14:paraId="40442358" w14:textId="6FF24C2F" w:rsidR="00DE2AAA" w:rsidRDefault="00DE2AAA" w:rsidP="00DE2AAA">
      <w:r>
        <w:t xml:space="preserve">This differential performance of cultivars across a given range of environments is due to environmental (E) as well as genotype × environment interaction (G×E) and can be quantified in a trait called phenotypic plasticity. </w:t>
      </w:r>
    </w:p>
    <w:p w14:paraId="110CAE87" w14:textId="77777777" w:rsidR="00DE2AAA" w:rsidRDefault="00DE2AAA" w:rsidP="00DE2AAA">
      <w:r>
        <w:t xml:space="preserve">When breeders release a new cultivar, they expect the variety to have consistently high yields across a wide range of environments. In wheat, plasticity can be a positive or negative trait depending on the source of environmental variation. If phenotypic plasticity of yield is a positive trait, increases in plasticity associate with greater yield potential while maintaining or increasing yield under stress. If phenotypic plasticity of yield is a negative trait, increases in plasticity associate with decreased yield and stress while sustaining or decreasing yield under high yielding conditions. Quantifying how yield plasticity relates to wheat grain yield in the Great Plains remains uncertain, and is crucial to target selection efforts correctly. </w:t>
      </w:r>
    </w:p>
    <w:p w14:paraId="1368E4BF" w14:textId="064E28DA" w:rsidR="00DE2AAA" w:rsidRPr="00DE2AAA" w:rsidRDefault="00DE2AAA" w:rsidP="00DE2AAA">
      <w:r>
        <w:t xml:space="preserve">Previous literature remarked that plasticity has its own genetic regulation and can be subjected to selection (Bradshaw, 1965; </w:t>
      </w:r>
      <w:proofErr w:type="spellStart"/>
      <w:r>
        <w:t>Laitinen</w:t>
      </w:r>
      <w:proofErr w:type="spellEnd"/>
      <w:r>
        <w:t xml:space="preserve"> and </w:t>
      </w:r>
      <w:proofErr w:type="spellStart"/>
      <w:r>
        <w:t>Nikoloski</w:t>
      </w:r>
      <w:proofErr w:type="spellEnd"/>
      <w:r>
        <w:t xml:space="preserve">, 2019; Diouf et al., 2020; Monforte, 2020). Breeders </w:t>
      </w:r>
      <w:r w:rsidR="003D3FA6">
        <w:t xml:space="preserve">select for yield </w:t>
      </w:r>
      <w:r>
        <w:t xml:space="preserve">phenotypic </w:t>
      </w:r>
      <w:r w:rsidR="003D3FA6">
        <w:t xml:space="preserve">plasticity </w:t>
      </w:r>
      <w:r>
        <w:t>over a minor number of cultivars on the latter generations of the breeding cycle, by testing lines on target population environments. However, in early generations the only way to select for genotypes with the ability to couple with environmental variation would be only on presence of molecular markers. Thus, is crucial to discover quantitative trait loci (QTL) associated with the ability of cultivars to consistently yield high across diverse environments.</w:t>
      </w:r>
    </w:p>
    <w:p w14:paraId="06F512F9" w14:textId="6B356DE3" w:rsidR="003746B6" w:rsidRDefault="003746B6" w:rsidP="003746B6">
      <w:r>
        <w:lastRenderedPageBreak/>
        <w:t>In this study we compiled data from variety testing networks on four major wheat producing regions worldwide to answer the following question:</w:t>
      </w:r>
    </w:p>
    <w:p w14:paraId="03DAA1F6" w14:textId="746F443F" w:rsidR="003746B6" w:rsidRDefault="003746B6" w:rsidP="003746B6">
      <w:pPr>
        <w:pStyle w:val="ListParagraph"/>
        <w:numPr>
          <w:ilvl w:val="0"/>
          <w:numId w:val="3"/>
        </w:numPr>
      </w:pPr>
      <w:r>
        <w:t>How has yield phenotypic plasticity changed over time across major wheat producing regions with contrasting germplasms and variety release standards?</w:t>
      </w:r>
    </w:p>
    <w:p w14:paraId="6B9A2C48" w14:textId="3F59F994" w:rsidR="003746B6" w:rsidRDefault="003746B6" w:rsidP="003746B6">
      <w:r>
        <w:t xml:space="preserve">In </w:t>
      </w:r>
      <w:proofErr w:type="gramStart"/>
      <w:r>
        <w:t>addition</w:t>
      </w:r>
      <w:proofErr w:type="gramEnd"/>
      <w:r>
        <w:t xml:space="preserve"> we collected QTL data to decipher the genetic </w:t>
      </w:r>
      <w:r w:rsidR="000E567A">
        <w:t>architecture</w:t>
      </w:r>
      <w:r>
        <w:t xml:space="preserve"> of wheat yield phenotypic plasticity and assess whether yield plasticity is under the same genetic regulation as yield per se. </w:t>
      </w:r>
      <w:r w:rsidR="0034200A">
        <w:t>We hypothesize that yield plasticity</w:t>
      </w:r>
      <w:r w:rsidR="006B23CB">
        <w:t xml:space="preserve"> are unrelated and controlled by different genomic region. </w:t>
      </w:r>
      <w:proofErr w:type="gramStart"/>
      <w:r w:rsidR="006B23CB">
        <w:t>Furthermore</w:t>
      </w:r>
      <w:proofErr w:type="gramEnd"/>
      <w:r w:rsidR="006B23CB">
        <w:t xml:space="preserve"> we hypothesize that yield plasticity</w:t>
      </w:r>
      <w:r w:rsidR="0034200A">
        <w:t xml:space="preserve"> is control by non-genic regions, such as promoters that trigger the action of genes in certain environmental conditions. </w:t>
      </w:r>
    </w:p>
    <w:p w14:paraId="12D919BE" w14:textId="77777777" w:rsidR="003746B6" w:rsidRPr="00DE2AAA" w:rsidRDefault="003746B6" w:rsidP="003746B6"/>
    <w:p w14:paraId="1D89F40F" w14:textId="4A2AA7F1" w:rsidR="00DE2AAA" w:rsidRDefault="00DE2AAA" w:rsidP="00DE2AAA">
      <w:pPr>
        <w:pStyle w:val="Heading1"/>
      </w:pPr>
      <w:r w:rsidRPr="00DE2AAA">
        <w:t>Materials and methods</w:t>
      </w:r>
    </w:p>
    <w:p w14:paraId="617994C0" w14:textId="104C7F8A" w:rsidR="007D330A" w:rsidRDefault="007D330A" w:rsidP="007D330A"/>
    <w:p w14:paraId="61C59949" w14:textId="4BC88E2E" w:rsidR="007D330A" w:rsidRDefault="007D330A" w:rsidP="007D330A">
      <w:pPr>
        <w:pStyle w:val="Heading2"/>
      </w:pPr>
      <w:r>
        <w:t>Variety testing network</w:t>
      </w:r>
    </w:p>
    <w:p w14:paraId="68034F87" w14:textId="620EDF8F" w:rsidR="000245BB" w:rsidRDefault="000245BB" w:rsidP="000245BB"/>
    <w:p w14:paraId="5F7341E8" w14:textId="7BBF61D4" w:rsidR="00646B6D" w:rsidRDefault="000245BB" w:rsidP="007D330A">
      <w:r>
        <w:t xml:space="preserve">Data was obtained from the variety testing network </w:t>
      </w:r>
      <w:r w:rsidR="0042227D">
        <w:t xml:space="preserve">in four countries (Argentina, Canada, United States and Uruguay) over 23 years, between 2000 and 2022. </w:t>
      </w:r>
      <w:r w:rsidR="008B3184">
        <w:t xml:space="preserve">Details of the field trials are presented in Table XX and Figure XXX. </w:t>
      </w:r>
    </w:p>
    <w:p w14:paraId="7819091C" w14:textId="77777777" w:rsidR="00BC043F" w:rsidRDefault="00BC043F" w:rsidP="007D330A"/>
    <w:p w14:paraId="4E621AEC" w14:textId="0544C15B" w:rsidR="00646B6D" w:rsidRDefault="00646B6D" w:rsidP="00646B6D">
      <w:pPr>
        <w:pStyle w:val="Heading2"/>
      </w:pPr>
      <w:r>
        <w:t>Yield phenotypic plasticity</w:t>
      </w:r>
    </w:p>
    <w:p w14:paraId="39BA685F" w14:textId="63B44589" w:rsidR="00646B6D" w:rsidRDefault="00646B6D" w:rsidP="00646B6D"/>
    <w:p w14:paraId="15DC73F6" w14:textId="500FCC92" w:rsidR="00646B6D" w:rsidRDefault="00646B6D" w:rsidP="00646B6D">
      <w:r>
        <w:t xml:space="preserve">Grain yield phenotypic plasticity was calculated as the ratio of </w:t>
      </w:r>
      <w:commentRangeStart w:id="3"/>
      <w:r>
        <w:t>variances</w:t>
      </w:r>
      <w:r w:rsidR="001A321F">
        <w:t xml:space="preserve"> (Eq. XX)</w:t>
      </w:r>
      <w:r w:rsidR="00B41BFF">
        <w:t xml:space="preserve">, </w:t>
      </w:r>
      <w:commentRangeEnd w:id="3"/>
      <w:r w:rsidR="001A321F">
        <w:rPr>
          <w:rStyle w:val="CommentReference"/>
        </w:rPr>
        <w:commentReference w:id="3"/>
      </w:r>
      <w:r w:rsidR="00B41BFF">
        <w:t>being the quotient between the variance of a given genotype and the variance of a population of genotypes across environments</w:t>
      </w:r>
      <w:r>
        <w:t xml:space="preserve"> </w:t>
      </w:r>
      <w:r>
        <w:fldChar w:fldCharType="begin"/>
      </w:r>
      <w:r>
        <w:instrText xml:space="preserve"> ADDIN ZOTERO_ITEM CSL_CITATION {"citationID":"IqgN2OLp","properties":{"formattedCitation":"(Lin et al., 1986; Giordano et al., 2024)","plainCitation":"(Lin et al., 1986; Giordano et al., 2024)","noteIndex":0},"citationItems":[{"id":1459,"uris":["http://zotero.org/users/7568527/items/JEDWA85E"],"itemData":{"id":1459,"type":"article-journal","abstract":"To clarify the apparent confusion arising from the diversity of published stability statistics, and the relationship of these with the clustering of genotypes for similarity of response to environments, the interrelationship of nine stability statistics and nine similarity measures are investigated. The stability statistics fall into four groups depending on whether they are based on the deviations from the average genotype effect or on the genotype </w:instrText>
      </w:r>
      <w:r>
        <w:rPr>
          <w:rFonts w:ascii="Segoe UI Symbol" w:hAnsi="Segoe UI Symbol" w:cs="Segoe UI Symbol"/>
        </w:rPr>
        <w:instrText>✕</w:instrText>
      </w:r>
      <w:r>
        <w:instrText xml:space="preserve"> environment (GE) term, and whether or not they incorporate a regression model on an environmental index. These groups of stability statistics are shown to be related to three concepts: A genotype may be considered to be stable (i) if its among‐environment variance is small, (ii) if its response to environments is parallel to the mean response of all genotypes in the trial, or (iii) if the residual mean square from a regression model on the environmental index is small. Unfortunately, these three concepts represent different aspects of stability and do not always provide a complete picture of the response. In the alternative approach of cluster analysis, the similarity measures define complete similarity in three different ways: i) equality of genotype's response across locations, ii) equality of all within location differences, and iii) equality of all within location ratios. The advantage of the nonparametric approach is that a cultivar's response characteristics can be assessed qualitatively, without the need for a mathematical characterization.","container-title":"Crop Science","DOI":"10.2135/cropsci1986.0011183X002600050012x","ISSN":"0011-183X, 1435-0653","issue":"5","journalAbbreviation":"Crop Science","language":"en","license":"http://onlinelibrary.wiley.com/termsAndConditions#vor","page":"894-900","source":"DOI.org (Crossref)","title":"Stability Analysis: Where Do We Stand? &lt;sup&gt;1&lt;/sup&gt;","title-short":"Stability Analysis","volume":"26","author":[{"family":"Lin","given":"C. S."},{"family":"Binns","given":"M. R."},{"family":"Lefkovitch","given":"L. P."}],"issued":{"date-parts":[["1986",9]]},"citation-key":"linStabilityAnalysisWhere1986"}},{"id":1457,"uris":["http://zotero.org/users/7568527/items/86U37GQ2"],"itemData":{"id":1457,"type":"article-journal","abstract":"Context\nOwing to the interaction between genotype and environment (G x E), identifying traits to increase wheat yield and grain protein concentration simultaneously or increasing one without affecting the other remains a challenge. Phenotypic plasticity is an insightful perspective to understand G x E.\nObjective\nTo explore the relations of wheat yield and grain protein concentration in response to N input and its physiological basis from the perspective of phenotypic plasticity.\nMethod\nWe established a factorial experiment combining 14 winter wheat cultivars and four N fertilization rates (0, 45, 90 and 135 kg ha−1) in eight environments. We analyzed the interaction of cultivar and N combining a phenotypic plasticity framework and a three-phase model of grain yield and protein response to N input. The phases are: phase I, N supply limits both yield and grain protein; phase II, N supply limits grain protein but not yield; and phase III, N supply does not limit yield or grain protein concentration\nResults\nGrain yield plasticity was positively associated to yield in high-yielding environments without N limitations (phase II) with no cost in low yielding environments, and associated to harvest index. Grain protein plasticity was positively associated to protein in high protein environments without N limitations (phase III). Plasticity of grain protein concentration was negatively associated to grain number m −2, resulting in moderate negative association of protein plasticity and yield. Grain C:N ratio associated weakly and positively with yield plasticity and strongly and negatively for grain protein plasticity.\nConclusion\nThis work proposes a yield-protein plasticity framework combined with a three-phase model that allows to disclose G × N interactions. Under our experimental conditions, we identified physiological mechanisms associated to yield and protein plasticity.\nImplications\nYield and protein plasticity can contribute guiding grower’s cultivar selection towards high yield plasticity cultivars when aiming to high yield with acceptable protein levels or high protein plasticity cultivars to ensure high protein at the expense of lower yields. Yield plasticity brings opportunity to breed for high yielding cultivars while maintaining grain protein concentration. Accuracy of N recommendations models and mechanistic crop models can be improved by accounting for G × N interactions through plasticity of yield and grain protein.","container-title":"Field Crops Research","DOI":"10.1016/j.fcr.2023.109202","ISSN":"0378-4290","journalAbbreviation":"Field Crops Research","page":"109202","source":"ScienceDirect","title":"Cultivar-specific phenotypic plasticity of yield and grain protein concentration in response to nitrogen in winter wheat","volume":"306","author":[{"family":"Giordano","given":"Nicolas"},{"family":"Sadras","given":"Victor O."},{"family":"Correndo","given":"Adrian A."},{"family":"Lollato","given":"Romulo P."}],"issued":{"date-parts":[["2024",2,1]]},"citation-key":"giordanoCultivarspecificPhenotypicPlasticity2024"}}],"schema":"https://github.com/citation-style-language/schema/raw/master/csl-citation.json"} </w:instrText>
      </w:r>
      <w:r>
        <w:fldChar w:fldCharType="separate"/>
      </w:r>
      <w:r w:rsidRPr="00646B6D">
        <w:t>(Lin et al., 1986; Giordano et al., 2024)</w:t>
      </w:r>
      <w:r>
        <w:fldChar w:fldCharType="end"/>
      </w:r>
      <w:r w:rsidR="00B41BFF">
        <w:t>.</w:t>
      </w:r>
      <w:r w:rsidR="00714275">
        <w:t xml:space="preserve"> The variance ratio gives a genotype-specific estimate for plasticity and is comparable  with the slope of a reaction norm of yield against yield environment </w:t>
      </w:r>
      <w:r w:rsidR="00714275">
        <w:fldChar w:fldCharType="begin"/>
      </w:r>
      <w:r w:rsidR="00714275">
        <w:instrText xml:space="preserve"> ADDIN ZOTERO_ITEM CSL_CITATION {"citationID":"3GFGUbyq","properties":{"formattedCitation":"(Sadras and Richards, 2014)","plainCitation":"(Sadras and Richards, 2014)","noteIndex":0},"citationItems":[{"id":13,"uris":["http://zotero.org/users/7568527/items/RJ4WAFPH"],"itemData":{"id":13,"type":"article-journal","abstract":"Crop yield in dry environments can be improved with complementary approaches including selecting for yield in the target environments, selecting for yield potential, and using indirect, trait- or genomic-based methods. This paper (i) outlines the achievements of direct selection for yield in improving drought adaptation, (ii) discusses the limitations of indirect approaches in the context of levels of organization, and (iii) emphasizes trade-offs and synergies between nitrogen nutrition and drought adaptation. Selection for yield in the water- and nitrogen-scarce environments of Australia improved wheat yield per unit transpiration at a rate of 0.12 kg ha–1 mm–1 yr–1; for indirect methods to be justified, they must return superior rates of improvement, achieve the same rate at lower cost or provide other costeffective benefits, such as expanding the genetic basis for selection. Slow improvement of crop adaptation to water stress using indirect methods is partially related to issues of scale. Traits are thus classified into three broad groups: those that generally scale up from low levels of organization to the crop level (e.g. herbicide resistance), those that do not (e.g. grain yield), and traits that might scale up provided they are considered in a integrated manner with scientifically sound scaling assumptions, appropriate growing conditions, and screening techniques (e.g. stay green). Predicting the scalability of traits may help to set priorities in the investment of research efforts. Primary productivity in arid and semi-arid environments is simultaneously limited by water and nitrogen, but few attempts are made to target adaptation to water and nitrogen stress simultaneously. Case studies in wheat and soybean highlight biological links between improved nitrogen nutrition and drought adaptation.","container-title":"Journal of Experimental Botany","DOI":"10.1093/jxb/eru061","ISSN":"0022-0957, 1460-2431","issue":"8","journalAbbreviation":"Journal of Experimental Botany","language":"en","page":"1981-1995","source":"DOI.org (Crossref)","title":"Improvement of crop yield in dry environments: benchmarks, levels of organisation and the role of nitrogen","title-short":"Improvement of crop yield in dry environments","volume":"65","author":[{"family":"Sadras","given":"V. O."},{"family":"Richards","given":"R. A."}],"issued":{"date-parts":[["2014",5,1]]},"citation-key":"sadrasImprovementCropYield2014"}}],"schema":"https://github.com/citation-style-language/schema/raw/master/csl-citation.json"} </w:instrText>
      </w:r>
      <w:r w:rsidR="00714275">
        <w:fldChar w:fldCharType="separate"/>
      </w:r>
      <w:r w:rsidR="00714275" w:rsidRPr="00714275">
        <w:t>(Sadras and Richards, 2014</w:t>
      </w:r>
      <w:r w:rsidR="00714275">
        <w:t>, Figure XXX</w:t>
      </w:r>
      <w:r w:rsidR="00714275" w:rsidRPr="00714275">
        <w:t>)</w:t>
      </w:r>
      <w:r w:rsidR="00714275">
        <w:fldChar w:fldCharType="end"/>
      </w:r>
      <w:r w:rsidR="00E97B6E">
        <w:t xml:space="preserve"> with the advantage that it does </w:t>
      </w:r>
      <w:r w:rsidR="00714275">
        <w:t>not require any assumptions on t</w:t>
      </w:r>
      <w:r w:rsidR="00E97B6E">
        <w:t>he estimation of</w:t>
      </w:r>
      <w:r w:rsidR="00714275">
        <w:t xml:space="preserve"> </w:t>
      </w:r>
      <w:r w:rsidR="00E97B6E">
        <w:t>phenotypic plasticity</w:t>
      </w:r>
      <w:r w:rsidR="00714275">
        <w:t xml:space="preserve">. </w:t>
      </w:r>
      <w:r w:rsidR="00B41BFF">
        <w:t xml:space="preserve">To avoid sample size bias in the calculation of yield plasticity, we included only cultivars that were tested </w:t>
      </w:r>
      <w:commentRangeStart w:id="4"/>
      <w:r w:rsidR="00B41BFF">
        <w:t xml:space="preserve">in at least 25 environments </w:t>
      </w:r>
      <w:commentRangeEnd w:id="4"/>
      <w:r w:rsidR="0056424F">
        <w:rPr>
          <w:rStyle w:val="CommentReference"/>
        </w:rPr>
        <w:commentReference w:id="4"/>
      </w:r>
      <w:r w:rsidR="00B41BFF">
        <w:t>(Table XXX).</w:t>
      </w:r>
    </w:p>
    <w:p w14:paraId="3BA3699E" w14:textId="77777777" w:rsidR="00F23CD7" w:rsidRPr="00646B6D" w:rsidRDefault="00F23CD7" w:rsidP="00646B6D"/>
    <w:p w14:paraId="2D203A1D" w14:textId="6BCDCCE8" w:rsidR="00646B6D" w:rsidRDefault="00646B6D" w:rsidP="00646B6D">
      <w:pPr>
        <w:pStyle w:val="Heading2"/>
      </w:pPr>
      <w:r>
        <w:t>Genotyping</w:t>
      </w:r>
    </w:p>
    <w:p w14:paraId="7A21E361" w14:textId="1498DD8F" w:rsidR="00646B6D" w:rsidRDefault="00646B6D" w:rsidP="00646B6D"/>
    <w:p w14:paraId="2D4D96A4" w14:textId="68CCB448" w:rsidR="00B41BFF" w:rsidRDefault="00B41BFF" w:rsidP="00646B6D">
      <w:r>
        <w:t xml:space="preserve">For genotypes present in at least 25 environments within the Central Great Plains region, DNA was extracted using </w:t>
      </w:r>
      <w:r w:rsidRPr="003B024C">
        <w:rPr>
          <w:color w:val="FF0000"/>
        </w:rPr>
        <w:t xml:space="preserve">XXX </w:t>
      </w:r>
      <w:r w:rsidR="003B024C" w:rsidRPr="003B024C">
        <w:rPr>
          <w:color w:val="FF0000"/>
        </w:rPr>
        <w:t>machin</w:t>
      </w:r>
      <w:r w:rsidR="003B024C">
        <w:rPr>
          <w:color w:val="FF0000"/>
        </w:rPr>
        <w:t xml:space="preserve">e from manufacturer. </w:t>
      </w:r>
      <w:r w:rsidR="003B024C">
        <w:t>Genotyping by sequence was done using T</w:t>
      </w:r>
      <w:r w:rsidR="003B024C" w:rsidRPr="003B024C">
        <w:t xml:space="preserve">ASSEL5-Reference pipeline </w:t>
      </w:r>
      <w:r w:rsidR="003B024C">
        <w:t xml:space="preserve">was used with </w:t>
      </w:r>
      <w:r w:rsidR="003B024C" w:rsidRPr="003B024C">
        <w:t>IWGSC_RefSeqv2.1</w:t>
      </w:r>
      <w:r w:rsidR="003B024C">
        <w:t xml:space="preserve"> reference </w:t>
      </w:r>
      <w:r w:rsidR="003B024C">
        <w:lastRenderedPageBreak/>
        <w:t xml:space="preserve">genome to find markers in the DNA samples. Single nucleotide polymorphisms (SNPs) with &lt;= 20% missing markers, and &gt;=5 % minor allele frequency were retained. The final number of SNPs was 18,789. </w:t>
      </w:r>
    </w:p>
    <w:p w14:paraId="5CD6AFE7" w14:textId="44ED1031" w:rsidR="0056424F" w:rsidRDefault="0056424F" w:rsidP="00646B6D"/>
    <w:p w14:paraId="7272072F" w14:textId="24530912" w:rsidR="0056424F" w:rsidRDefault="0056424F" w:rsidP="006F38BB">
      <w:pPr>
        <w:pStyle w:val="Heading2"/>
      </w:pPr>
      <w:r>
        <w:t>Data analysis</w:t>
      </w:r>
    </w:p>
    <w:p w14:paraId="208FAAFB" w14:textId="77777777" w:rsidR="006F38BB" w:rsidRPr="006F38BB" w:rsidRDefault="006F38BB" w:rsidP="006F38BB"/>
    <w:p w14:paraId="3BB87641" w14:textId="3F98F947" w:rsidR="00EB3496" w:rsidRDefault="00EB3496" w:rsidP="0056424F">
      <w:r>
        <w:t>Observed grain yield was modeled as</w:t>
      </w:r>
      <w:r w:rsidR="006F38BB">
        <w:t>:</w:t>
      </w:r>
    </w:p>
    <w:p w14:paraId="495B9CEA" w14:textId="695AD35B" w:rsidR="006F38BB" w:rsidRDefault="004A1BA4" w:rsidP="006F38B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r>
            <w:rPr>
              <w:rFonts w:ascii="Cambria Math" w:hAnsi="Cambria Math"/>
            </w:rPr>
            <m:t>,</m:t>
          </m:r>
        </m:oMath>
      </m:oMathPara>
    </w:p>
    <w:p w14:paraId="5A9F88C2" w14:textId="7ECCB78D" w:rsidR="006F38BB" w:rsidRDefault="006F38BB" w:rsidP="006F38BB">
      <w:pPr>
        <w:pStyle w:val="FirstParagraph"/>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eastAsiaTheme="minorEastAsia" w:hAnsi="Cambria Math"/>
            </w:rPr>
            <m:t>,</m:t>
          </m:r>
        </m:oMath>
      </m:oMathPara>
    </w:p>
    <w:p w14:paraId="354E6CD1" w14:textId="1471F512" w:rsidR="006F38BB" w:rsidRDefault="004A1BA4" w:rsidP="006F38BB">
      <w:pPr>
        <w:pStyle w:val="FirstParagraph"/>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E</m:t>
              </m:r>
            </m:sub>
          </m:sSub>
          <m:sSub>
            <m:sSubPr>
              <m:ctrlPr>
                <w:rPr>
                  <w:rFonts w:ascii="Cambria Math" w:hAnsi="Cambria Math"/>
                </w:rPr>
              </m:ctrlPr>
            </m:sSubPr>
            <m:e>
              <m:r>
                <w:rPr>
                  <w:rFonts w:ascii="Cambria Math" w:hAnsi="Cambria Math"/>
                </w:rPr>
                <m:t>β</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GE</m:t>
              </m:r>
            </m:sub>
          </m:sSub>
          <m:sSub>
            <m:sSubPr>
              <m:ctrlPr>
                <w:rPr>
                  <w:rFonts w:ascii="Cambria Math" w:hAnsi="Cambria Math"/>
                </w:rPr>
              </m:ctrlPr>
            </m:sSubPr>
            <m:e>
              <m:r>
                <w:rPr>
                  <w:rFonts w:ascii="Cambria Math" w:hAnsi="Cambria Math"/>
                </w:rPr>
                <m:t>β</m:t>
              </m:r>
            </m:e>
            <m:sub>
              <m:r>
                <w:rPr>
                  <w:rFonts w:ascii="Cambria Math" w:hAnsi="Cambria Math"/>
                </w:rPr>
                <m:t>GE</m:t>
              </m:r>
            </m:sub>
          </m:sSub>
          <m:r>
            <w:rPr>
              <w:rFonts w:ascii="Cambria Math" w:hAnsi="Cambria Math"/>
            </w:rPr>
            <m:t>.</m:t>
          </m:r>
        </m:oMath>
      </m:oMathPara>
    </w:p>
    <w:p w14:paraId="77DCD449" w14:textId="0927D10A" w:rsidR="006F38BB" w:rsidRDefault="006F38BB" w:rsidP="0056424F">
      <w:r>
        <w:t xml:space="preserve">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w:t>
      </w:r>
      <m:oMath>
        <m:r>
          <w:rPr>
            <w:rFonts w:ascii="Cambria Math" w:hAnsi="Cambria Math"/>
          </w:rPr>
          <m:t>ith</m:t>
        </m:r>
      </m:oMath>
      <w:r>
        <w:t xml:space="preserve"> yield observation </w:t>
      </w:r>
      <m:oMath>
        <m:d>
          <m:dPr>
            <m:ctrlPr>
              <w:rPr>
                <w:rFonts w:ascii="Cambria Math" w:hAnsi="Cambria Math"/>
              </w:rPr>
            </m:ctrlPr>
          </m:dPr>
          <m:e>
            <m:r>
              <w:rPr>
                <w:rFonts w:ascii="Cambria Math" w:hAnsi="Cambria Math"/>
              </w:rPr>
              <m:t>i</m:t>
            </m:r>
            <m:r>
              <m:rPr>
                <m:sty m:val="p"/>
              </m:rPr>
              <w:rPr>
                <w:rFonts w:ascii="Cambria Math" w:hAnsi="Cambria Math"/>
              </w:rPr>
              <m:t xml:space="preserve">:1, 2,  ...  , </m:t>
            </m:r>
            <m:r>
              <w:rPr>
                <w:rFonts w:ascii="Cambria Math" w:hAnsi="Cambria Math"/>
              </w:rPr>
              <m:t>148790</m:t>
            </m:r>
          </m:e>
        </m:d>
      </m:oMath>
      <w:r>
        <w:t xml:space="preserve"> with expected value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which is linked to the linear predictor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through a log-link function</w:t>
      </w:r>
      <w:r w:rsidR="00F4564C">
        <w:t xml:space="preserve">, while  </w:t>
      </w:r>
      <m:oMath>
        <m:r>
          <w:rPr>
            <w:rFonts w:ascii="Cambria Math" w:hAnsi="Cambria Math"/>
          </w:rPr>
          <m:t>ϕ</m:t>
        </m:r>
      </m:oMath>
      <w:r w:rsidR="00F4564C">
        <w:rPr>
          <w:rFonts w:eastAsiaTheme="minorEastAsia"/>
        </w:rPr>
        <w:t xml:space="preserve">represents the dispersion. </w:t>
      </w:r>
      <w:r>
        <w:t xml:space="preserve"> Thus, the process model for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includes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G</m:t>
            </m:r>
          </m:sub>
        </m:sSub>
      </m:oMath>
      <w:r>
        <w:t xml:space="preserve"> which is an</w:t>
      </w:r>
      <w:r w:rsidR="00B007BF">
        <w:t xml:space="preserve"> </w:t>
      </w:r>
      <m:oMath>
        <m:r>
          <w:rPr>
            <w:rFonts w:ascii="Cambria Math" w:hAnsi="Cambria Math"/>
          </w:rPr>
          <m:t xml:space="preserve">n </m:t>
        </m:r>
        <m:r>
          <m:rPr>
            <m:sty m:val="p"/>
          </m:rPr>
          <w:rPr>
            <w:rFonts w:ascii="Cambria Math" w:hAnsi="Cambria Math"/>
          </w:rPr>
          <m:t>x</m:t>
        </m:r>
        <m:r>
          <m:rPr>
            <m:sty m:val="b"/>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 xml:space="preserve"> matrix </w:t>
      </w:r>
      <m:oMath>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:1,2,...,</m:t>
            </m:r>
            <m:r>
              <w:rPr>
                <w:rFonts w:ascii="Cambria Math" w:hAnsi="Cambria Math"/>
              </w:rPr>
              <m:t>num</m:t>
            </m:r>
            <m:r>
              <m:rPr>
                <m:sty m:val="p"/>
              </m:rPr>
              <w:rPr>
                <w:rFonts w:ascii="Cambria Math" w:hAnsi="Cambria Math"/>
              </w:rPr>
              <m:t> </m:t>
            </m:r>
            <m:r>
              <w:rPr>
                <w:rFonts w:ascii="Cambria Math" w:hAnsi="Cambria Math"/>
              </w:rPr>
              <m:t>gen</m:t>
            </m:r>
          </m:e>
        </m:d>
      </m:oMath>
      <w:r w:rsidR="00217585">
        <w:rPr>
          <w:rFonts w:eastAsiaTheme="minorEastAsia"/>
        </w:rPr>
        <w:t xml:space="preserve"> </w:t>
      </w:r>
      <w:r>
        <w:t>of genotypes (</w:t>
      </w:r>
      <m:oMath>
        <m:r>
          <w:rPr>
            <w:rFonts w:ascii="Cambria Math" w:hAnsi="Cambria Math"/>
          </w:rPr>
          <m:t>G</m:t>
        </m:r>
      </m:oMath>
      <w:r>
        <w:t xml:space="preserve">), while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is a vector of length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 xml:space="preserve"> of random effects for </w:t>
      </w:r>
      <m:oMath>
        <m:r>
          <w:rPr>
            <w:rFonts w:ascii="Cambria Math" w:hAnsi="Cambria Math"/>
          </w:rPr>
          <m:t>G</m:t>
        </m:r>
      </m:oMath>
      <w:r>
        <w:t xml:space="preserve"> or BLUPs. Similarly,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E</m:t>
            </m:r>
          </m:sub>
        </m:sSub>
      </m:oMath>
      <w:r>
        <w:t xml:space="preserve"> is a matrix of size </w:t>
      </w:r>
      <m:oMath>
        <m:r>
          <w:rPr>
            <w:rFonts w:ascii="Cambria Math" w:hAnsi="Cambria Math"/>
          </w:rPr>
          <m:t xml:space="preserve">n </m:t>
        </m:r>
        <m:r>
          <m:rPr>
            <m:sty m:val="p"/>
          </m:rPr>
          <w:rPr>
            <w:rFonts w:ascii="Cambria Math" w:hAnsi="Cambria Math"/>
          </w:rPr>
          <m:t xml:space="preserve">x </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num env</m:t>
            </m:r>
          </m:e>
        </m:d>
      </m:oMath>
      <w:r>
        <w:t xml:space="preserve"> representing the incidence of each environment (</w:t>
      </w:r>
      <m:oMath>
        <m:r>
          <w:rPr>
            <w:rFonts w:ascii="Cambria Math" w:hAnsi="Cambria Math"/>
          </w:rPr>
          <m:t>E</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E</m:t>
            </m:r>
          </m:sub>
        </m:sSub>
      </m:oMath>
      <w:r>
        <w:t xml:space="preserve"> is a vector of length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containing the </w:t>
      </w:r>
      <m:oMath>
        <m:r>
          <w:rPr>
            <w:rFonts w:ascii="Cambria Math" w:hAnsi="Cambria Math"/>
          </w:rPr>
          <m:t>E</m:t>
        </m:r>
      </m:oMath>
      <w:r>
        <w:t xml:space="preserve"> random effects. Finally,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GE</m:t>
            </m:r>
          </m:sub>
        </m:sSub>
      </m:oMath>
      <w:r>
        <w:t xml:space="preserve"> is a matrix of size </w:t>
      </w:r>
      <m:oMath>
        <m:r>
          <w:rPr>
            <w:rFonts w:ascii="Cambria Math" w:hAnsi="Cambria Math"/>
          </w:rPr>
          <m:t>n</m:t>
        </m:r>
        <m:r>
          <m:rPr>
            <m:sty m:val="p"/>
          </m:rP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2</m:t>
                </m:r>
              </m:sub>
            </m:sSub>
          </m:e>
        </m:d>
      </m:oMath>
      <w:r>
        <w:t xml:space="preserve"> for </w:t>
      </w:r>
      <m:oMath>
        <m:r>
          <m:rPr>
            <m:sty m:val="p"/>
          </m:rPr>
          <w:rPr>
            <w:rFonts w:ascii="Cambria Math" w:hAnsi="Cambria Math"/>
          </w:rPr>
          <m:t>GxE</m:t>
        </m:r>
      </m:oMath>
      <w:r>
        <w:t xml:space="preserve"> random effects and </w:t>
      </w:r>
      <m:oMath>
        <m:sSub>
          <m:sSubPr>
            <m:ctrlPr>
              <w:rPr>
                <w:rFonts w:ascii="Cambria Math" w:hAnsi="Cambria Math"/>
              </w:rPr>
            </m:ctrlPr>
          </m:sSubPr>
          <m:e>
            <m:r>
              <w:rPr>
                <w:rFonts w:ascii="Cambria Math" w:hAnsi="Cambria Math"/>
              </w:rPr>
              <m:t>β</m:t>
            </m:r>
          </m:e>
          <m:sub>
            <m:r>
              <w:rPr>
                <w:rFonts w:ascii="Cambria Math" w:hAnsi="Cambria Math"/>
              </w:rPr>
              <m:t>GE</m:t>
            </m:r>
          </m:sub>
        </m:sSub>
      </m:oMath>
      <w:r>
        <w:t xml:space="preserve"> a vector of length XXXX for the </w:t>
      </w:r>
      <m:oMath>
        <m:r>
          <m:rPr>
            <m:sty m:val="p"/>
          </m:rPr>
          <w:rPr>
            <w:rFonts w:ascii="Cambria Math" w:hAnsi="Cambria Math"/>
          </w:rPr>
          <m:t>GxE</m:t>
        </m:r>
      </m:oMath>
      <w:r>
        <w:t xml:space="preserve"> random effects.</w:t>
      </w:r>
      <w:r w:rsidR="00DA2A94">
        <w:t xml:space="preserve"> </w:t>
      </w:r>
      <w:r w:rsidR="00684D88">
        <w:t xml:space="preserve">We run a gaussian model, compare it against the gamma and retained the one with the lowest </w:t>
      </w:r>
      <w:commentRangeStart w:id="5"/>
      <w:r w:rsidR="00684D88">
        <w:t>Bayesian Information Criterion</w:t>
      </w:r>
      <w:commentRangeEnd w:id="5"/>
      <w:r w:rsidR="00051357">
        <w:t xml:space="preserve"> </w:t>
      </w:r>
      <w:r w:rsidR="009C6BFB">
        <w:rPr>
          <w:rStyle w:val="CommentReference"/>
        </w:rPr>
        <w:commentReference w:id="5"/>
      </w:r>
      <w:r w:rsidR="00051357">
        <w:t>(BIC)</w:t>
      </w:r>
      <w:r w:rsidR="00684D88">
        <w:t xml:space="preserve">. </w:t>
      </w:r>
    </w:p>
    <w:p w14:paraId="3245FD1F" w14:textId="629B1512" w:rsidR="0056424F" w:rsidRDefault="0010089A" w:rsidP="0056424F">
      <w:r>
        <w:t xml:space="preserve">To explore the genetic changes </w:t>
      </w:r>
      <w:r w:rsidR="00DC4C8C">
        <w:t xml:space="preserve">on traits of interest </w:t>
      </w:r>
      <w:r>
        <w:t xml:space="preserve">over time we modeled the association </w:t>
      </w:r>
      <w:r w:rsidR="00DC4C8C">
        <w:t xml:space="preserve">between the genotype </w:t>
      </w:r>
      <w:r>
        <w:t xml:space="preserve">year of release </w:t>
      </w:r>
      <w:r w:rsidR="00244F57">
        <w:t xml:space="preserve">and </w:t>
      </w:r>
      <w:r w:rsidR="00DC4C8C">
        <w:t xml:space="preserve">(i) </w:t>
      </w:r>
      <w:r>
        <w:t>grain yield best linear unbiased predictors (BLUPs</w:t>
      </w:r>
      <w:r w:rsidR="00EB73F2">
        <w:t xml:space="preserv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and </w:t>
      </w:r>
      <w:r w:rsidR="00DC4C8C">
        <w:t xml:space="preserve">(ii) </w:t>
      </w:r>
      <w:r>
        <w:t xml:space="preserve">grain yield plasticity. </w:t>
      </w:r>
    </w:p>
    <w:p w14:paraId="72844C3F" w14:textId="7F48C89B" w:rsidR="00F53BD1" w:rsidRDefault="00F53BD1" w:rsidP="00F53BD1">
      <w:pPr>
        <w:pStyle w:val="Heading2"/>
      </w:pPr>
      <w:r>
        <w:t>Trait changes over time</w:t>
      </w:r>
    </w:p>
    <w:p w14:paraId="30858695" w14:textId="2F05EDF1" w:rsidR="00EB656A" w:rsidRDefault="00EB656A" w:rsidP="00EB656A">
      <w:pPr>
        <w:pStyle w:val="BodyText"/>
      </w:pPr>
      <w:r>
        <w:t xml:space="preserve">To explore the genetic trends over time of grain yield per se and yield plasticity we </w:t>
      </w:r>
      <w:r w:rsidR="00FE464B">
        <w:t>fitted for the expected trait value (Eq XX and Eq XX</w:t>
      </w:r>
      <w:r w:rsidR="001E593D">
        <w:t>)</w:t>
      </w:r>
      <w:r w:rsidR="00F53BD1">
        <w:t xml:space="preserve">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F53BD1" w14:paraId="2F6AF973" w14:textId="385029E8" w:rsidTr="00F53BD1">
        <w:tc>
          <w:tcPr>
            <w:tcW w:w="8730" w:type="dxa"/>
          </w:tcPr>
          <w:p w14:paraId="270CC193" w14:textId="798993A1" w:rsidR="00F53BD1" w:rsidRDefault="004A1BA4" w:rsidP="00F53BD1">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e>
                </m:d>
                <m:r>
                  <w:rPr>
                    <w:rFonts w:ascii="Cambria Math" w:hAnsi="Cambria Math"/>
                  </w:rPr>
                  <m:t>,</m:t>
                </m:r>
              </m:oMath>
            </m:oMathPara>
          </w:p>
        </w:tc>
        <w:tc>
          <w:tcPr>
            <w:tcW w:w="630" w:type="dxa"/>
          </w:tcPr>
          <w:p w14:paraId="76647BED" w14:textId="77777777" w:rsidR="00F53BD1" w:rsidRPr="00276353" w:rsidRDefault="00F53BD1" w:rsidP="00F53BD1">
            <w:pPr>
              <w:pStyle w:val="BodyText"/>
              <w:rPr>
                <w:rFonts w:eastAsia="Times New Roman" w:cs="Times New Roman"/>
              </w:rPr>
            </w:pPr>
          </w:p>
        </w:tc>
      </w:tr>
      <w:tr w:rsidR="00F53BD1" w14:paraId="6331788D" w14:textId="07F31A5A" w:rsidTr="00F53BD1">
        <w:tc>
          <w:tcPr>
            <w:tcW w:w="8730" w:type="dxa"/>
          </w:tcPr>
          <w:p w14:paraId="35F06A79" w14:textId="22FE44EF" w:rsidR="00F53BD1" w:rsidRDefault="00F53BD1" w:rsidP="00F53BD1">
            <w:pPr>
              <w:pStyle w:val="BodyText"/>
            </w:pPr>
            <m:oMathPara>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G</m:t>
                    </m:r>
                  </m:sub>
                </m:sSub>
                <m:r>
                  <w:rPr>
                    <w:rFonts w:ascii="Cambria Math" w:eastAsiaTheme="minorEastAsia" w:hAnsi="Cambria Math"/>
                  </w:rPr>
                  <m:t>,</m:t>
                </m:r>
              </m:oMath>
            </m:oMathPara>
          </w:p>
        </w:tc>
        <w:tc>
          <w:tcPr>
            <w:tcW w:w="630" w:type="dxa"/>
          </w:tcPr>
          <w:p w14:paraId="1446ADDD" w14:textId="77777777" w:rsidR="00F53BD1" w:rsidRPr="00276353" w:rsidRDefault="00F53BD1" w:rsidP="00F53BD1">
            <w:pPr>
              <w:pStyle w:val="BodyText"/>
              <w:rPr>
                <w:rFonts w:eastAsia="Times New Roman" w:cs="Times New Roman"/>
              </w:rPr>
            </w:pPr>
          </w:p>
        </w:tc>
      </w:tr>
      <w:tr w:rsidR="00F53BD1" w14:paraId="7182F9B2" w14:textId="7688AF7A" w:rsidTr="00F53BD1">
        <w:tc>
          <w:tcPr>
            <w:tcW w:w="8730" w:type="dxa"/>
          </w:tcPr>
          <w:p w14:paraId="7BEA95D5" w14:textId="1EF67ED3" w:rsidR="00F53BD1" w:rsidRDefault="004A1BA4" w:rsidP="00F53BD1">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w:rPr>
                    <w:rFonts w:ascii="Cambria Math" w:hAnsi="Cambria Math"/>
                  </w:rPr>
                  <m:t>,</m:t>
                </m:r>
              </m:oMath>
            </m:oMathPara>
          </w:p>
        </w:tc>
        <w:tc>
          <w:tcPr>
            <w:tcW w:w="630" w:type="dxa"/>
          </w:tcPr>
          <w:p w14:paraId="74C0E45C" w14:textId="77777777" w:rsidR="00F53BD1" w:rsidRPr="00276353" w:rsidRDefault="00F53BD1" w:rsidP="00F53BD1">
            <w:pPr>
              <w:pStyle w:val="BodyText"/>
              <w:rPr>
                <w:rFonts w:eastAsia="Times New Roman" w:cs="Times New Roman"/>
              </w:rPr>
            </w:pPr>
          </w:p>
        </w:tc>
      </w:tr>
    </w:tbl>
    <w:p w14:paraId="409E07BD" w14:textId="126FF7A6" w:rsidR="0056424F" w:rsidRDefault="00D12465" w:rsidP="00806474">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G</m:t>
            </m:r>
          </m:sub>
        </m:sSub>
      </m:oMath>
      <w:r>
        <w:t xml:space="preserve"> represents the </w:t>
      </w:r>
      <m:oMath>
        <m:r>
          <w:rPr>
            <w:rFonts w:ascii="Cambria Math" w:hAnsi="Cambria Math"/>
          </w:rPr>
          <m:t>g</m:t>
        </m:r>
        <m:r>
          <w:rPr>
            <w:rFonts w:ascii="Cambria Math" w:hAnsi="Cambria Math"/>
          </w:rPr>
          <m:t>th</m:t>
        </m:r>
      </m:oMath>
      <w:r>
        <w:t xml:space="preserve"> </w:t>
      </w:r>
      <m:oMath>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g</m:t>
            </m:r>
          </m:e>
        </m:d>
      </m:oMath>
      <w:r>
        <w:t xml:space="preserve"> genotype-specific yield BLUPs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or yield plasticity (</w:t>
      </w:r>
      <m:oMath>
        <m:sSub>
          <m:sSubPr>
            <m:ctrlPr>
              <w:rPr>
                <w:rFonts w:ascii="Cambria Math" w:hAnsi="Cambria Math"/>
              </w:rPr>
            </m:ctrlPr>
          </m:sSubPr>
          <m:e>
            <m:r>
              <m:rPr>
                <m:sty m:val="p"/>
              </m:rPr>
              <w:rPr>
                <w:rFonts w:ascii="Cambria Math" w:hAnsi="Cambria Math"/>
              </w:rPr>
              <m:t>PP</m:t>
            </m:r>
          </m:e>
          <m:sub>
            <m:r>
              <w:rPr>
                <w:rFonts w:ascii="Cambria Math" w:hAnsi="Cambria Math"/>
              </w:rPr>
              <m:t>g</m:t>
            </m:r>
          </m:sub>
        </m:sSub>
      </m:oMath>
      <w:r>
        <w:t>)</w:t>
      </w:r>
      <w:r w:rsidR="00CB7B26">
        <w:t xml:space="preserve"> within</w:t>
      </w:r>
      <w:r>
        <w:t xml:space="preserve"> a given region of interest. The expected value of the response </w:t>
      </w:r>
      <w:r>
        <w:lastRenderedPageBreak/>
        <w:t xml:space="preserve">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which is linked to the linear predictor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through a log-link function, while  </w:t>
      </w:r>
      <m:oMath>
        <m:r>
          <w:rPr>
            <w:rFonts w:ascii="Cambria Math" w:hAnsi="Cambria Math"/>
          </w:rPr>
          <m:t>ϕ</m:t>
        </m:r>
      </m:oMath>
      <w:r>
        <w:rPr>
          <w:rFonts w:eastAsiaTheme="minorEastAsia"/>
        </w:rPr>
        <w:t xml:space="preserve">represents the dispersion. </w:t>
      </w:r>
      <w:r>
        <w:t xml:space="preserve"> </w:t>
      </w:r>
    </w:p>
    <w:p w14:paraId="0476F4D4" w14:textId="0CF0598F" w:rsidR="00F53BD1" w:rsidRDefault="001E593D" w:rsidP="00A43F90">
      <w:pPr>
        <w:pStyle w:val="FirstParagraph"/>
      </w:pPr>
      <w:r>
        <w:t xml:space="preserve">In Argentina, we modeled </w:t>
      </w:r>
      <w:r w:rsidR="00A43F90">
        <w:t>90</w:t>
      </w:r>
      <w:r w:rsidR="00A43F90">
        <w:rPr>
          <w:vertAlign w:val="superscript"/>
        </w:rPr>
        <w:t>th</w:t>
      </w:r>
      <w:r w:rsidR="00A43F90">
        <w:t xml:space="preserve"> percentile </w:t>
      </w:r>
      <m:oMath>
        <m:r>
          <w:rPr>
            <w:rFonts w:ascii="Cambria Math" w:hAnsi="Cambria Math"/>
          </w:rPr>
          <m:t>(τ</m:t>
        </m:r>
        <m:r>
          <m:rPr>
            <m:sty m:val="p"/>
          </m:rPr>
          <w:rPr>
            <w:rFonts w:ascii="Cambria Math" w:hAnsi="Cambria Math"/>
          </w:rPr>
          <m:t>=</m:t>
        </m:r>
        <m:r>
          <w:rPr>
            <w:rFonts w:ascii="Cambria Math" w:hAnsi="Cambria Math"/>
          </w:rPr>
          <m:t>0.90</m:t>
        </m:r>
        <m:r>
          <w:rPr>
            <w:rFonts w:ascii="Cambria Math" w:eastAsiaTheme="minorEastAsia" w:hAnsi="Cambria Math"/>
          </w:rPr>
          <m:t>)</m:t>
        </m:r>
      </m:oMath>
      <w:r w:rsidR="00A43F90">
        <w:rPr>
          <w:rFonts w:eastAsiaTheme="minorEastAsia"/>
        </w:rPr>
        <w:t xml:space="preserve"> </w:t>
      </w:r>
      <w:r w:rsidR="00A43F90">
        <w:t xml:space="preserve">of </w:t>
      </w:r>
      <w:r>
        <w:t xml:space="preserve">yield plasticity changes with year of release </w:t>
      </w:r>
      <w:r w:rsidR="000A6772">
        <w:t xml:space="preserve">of </w:t>
      </w:r>
      <w:r>
        <w:t>the genotype as</w:t>
      </w:r>
      <w:r w:rsidR="00A43F9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A43F90" w14:paraId="446BFC89" w14:textId="77777777" w:rsidTr="00A43F90">
        <w:tc>
          <w:tcPr>
            <w:tcW w:w="8730" w:type="dxa"/>
          </w:tcPr>
          <w:p w14:paraId="31659621" w14:textId="79E3E68A" w:rsidR="00A43F90" w:rsidRDefault="004A1BA4" w:rsidP="00A43F9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∼ALD</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τ</m:t>
                    </m:r>
                  </m:e>
                </m:d>
                <m:r>
                  <w:rPr>
                    <w:rFonts w:ascii="Cambria Math" w:hAnsi="Cambria Math"/>
                  </w:rPr>
                  <m:t>,</m:t>
                </m:r>
              </m:oMath>
            </m:oMathPara>
          </w:p>
        </w:tc>
        <w:tc>
          <w:tcPr>
            <w:tcW w:w="620" w:type="dxa"/>
          </w:tcPr>
          <w:p w14:paraId="213D36CC" w14:textId="77777777" w:rsidR="00A43F90" w:rsidRDefault="00A43F90" w:rsidP="00A43F90">
            <w:pPr>
              <w:pStyle w:val="BodyText"/>
            </w:pPr>
          </w:p>
        </w:tc>
      </w:tr>
      <w:tr w:rsidR="00A43F90" w14:paraId="68CAB5BB" w14:textId="77777777" w:rsidTr="00A43F90">
        <w:tc>
          <w:tcPr>
            <w:tcW w:w="8730" w:type="dxa"/>
          </w:tcPr>
          <w:p w14:paraId="51F85BC6" w14:textId="4E63D164" w:rsidR="00A43F90" w:rsidRDefault="004A1BA4" w:rsidP="00F53BD1">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YO</m:t>
                </m:r>
                <m:sSubSup>
                  <m:sSubSupPr>
                    <m:ctrlPr>
                      <w:rPr>
                        <w:rFonts w:ascii="Cambria Math" w:hAnsi="Cambria Math"/>
                      </w:rPr>
                    </m:ctrlPr>
                  </m:sSubSupPr>
                  <m:e>
                    <m:r>
                      <w:rPr>
                        <w:rFonts w:ascii="Cambria Math" w:hAnsi="Cambria Math"/>
                      </w:rPr>
                      <m:t>R</m:t>
                    </m:r>
                  </m:e>
                  <m:sub>
                    <m:r>
                      <w:rPr>
                        <w:rFonts w:ascii="Cambria Math" w:hAnsi="Cambria Math"/>
                      </w:rPr>
                      <m:t>G</m:t>
                    </m:r>
                  </m:sub>
                  <m:sup>
                    <m:r>
                      <w:rPr>
                        <w:rFonts w:ascii="Cambria Math" w:hAnsi="Cambria Math"/>
                      </w:rPr>
                      <m:t>2</m:t>
                    </m:r>
                  </m:sup>
                </m:sSubSup>
                <m:r>
                  <w:rPr>
                    <w:rFonts w:ascii="Cambria Math" w:hAnsi="Cambria Math"/>
                  </w:rPr>
                  <m:t>.</m:t>
                </m:r>
              </m:oMath>
            </m:oMathPara>
          </w:p>
        </w:tc>
        <w:tc>
          <w:tcPr>
            <w:tcW w:w="620" w:type="dxa"/>
          </w:tcPr>
          <w:p w14:paraId="3FE5AA80" w14:textId="77777777" w:rsidR="00A43F90" w:rsidRDefault="00A43F90" w:rsidP="00F53BD1">
            <w:pPr>
              <w:pStyle w:val="BodyText"/>
            </w:pPr>
          </w:p>
        </w:tc>
      </w:tr>
    </w:tbl>
    <w:p w14:paraId="5F112032" w14:textId="3C5F42E8" w:rsidR="00A43F90" w:rsidRDefault="00847111" w:rsidP="00F53BD1">
      <w:pPr>
        <w:pStyle w:val="BodyText"/>
        <w:rPr>
          <w:rFonts w:eastAsiaTheme="minorEastAsia"/>
        </w:rPr>
      </w:pPr>
      <w:r>
        <w:t xml:space="preserve">In Eq. XX we assumed yield plasticity </w:t>
      </w:r>
      <m:oMath>
        <m:sSub>
          <m:sSubPr>
            <m:ctrlPr>
              <w:rPr>
                <w:rFonts w:ascii="Cambria Math" w:hAnsi="Cambria Math"/>
              </w:rPr>
            </m:ctrlPr>
          </m:sSubPr>
          <m:e>
            <m:r>
              <w:rPr>
                <w:rFonts w:ascii="Cambria Math" w:hAnsi="Cambria Math"/>
              </w:rPr>
              <m:t>(y</m:t>
            </m:r>
          </m:e>
          <m:sub>
            <m:r>
              <w:rPr>
                <w:rFonts w:ascii="Cambria Math" w:hAnsi="Cambria Math"/>
              </w:rPr>
              <m:t>G</m:t>
            </m:r>
          </m:sub>
        </m:sSub>
        <m:r>
          <w:rPr>
            <w:rFonts w:ascii="Cambria Math" w:hAnsi="Cambria Math"/>
          </w:rPr>
          <m:t>)</m:t>
        </m:r>
      </m:oMath>
      <w:r>
        <w:rPr>
          <w:rFonts w:eastAsiaTheme="minorEastAsia"/>
        </w:rPr>
        <w:t xml:space="preserve"> in Argentina follows an asymmetric Laplace distribution </w:t>
      </w:r>
      <m:oMath>
        <m:r>
          <w:rPr>
            <w:rFonts w:ascii="Cambria Math" w:eastAsiaTheme="minorEastAsia" w:hAnsi="Cambria Math"/>
          </w:rPr>
          <m:t>(</m:t>
        </m:r>
        <m:r>
          <m:rPr>
            <m:sty m:val="p"/>
          </m:rPr>
          <w:rPr>
            <w:rFonts w:ascii="Cambria Math" w:hAnsi="Cambria Math"/>
          </w:rPr>
          <m:t>ALD</m:t>
        </m:r>
        <m:r>
          <w:rPr>
            <w:rFonts w:ascii="Cambria Math" w:eastAsiaTheme="minorEastAsia" w:hAnsi="Cambria Math"/>
          </w:rPr>
          <m:t>)</m:t>
        </m:r>
      </m:oMath>
      <w:r>
        <w:rPr>
          <w:rFonts w:eastAsiaTheme="minorEastAsia"/>
        </w:rPr>
        <w:t xml:space="preserve"> where the expected value of </w:t>
      </w:r>
      <m:oMath>
        <m:r>
          <w:rPr>
            <w:rFonts w:ascii="Cambria Math" w:hAnsi="Cambria Math"/>
          </w:rPr>
          <m:t>τ</m:t>
        </m:r>
        <m:r>
          <m:rPr>
            <m:sty m:val="p"/>
          </m:rPr>
          <w:rPr>
            <w:rFonts w:ascii="Cambria Math" w:hAnsi="Cambria Math"/>
          </w:rPr>
          <m:t>=</m:t>
        </m:r>
        <m:r>
          <w:rPr>
            <w:rFonts w:ascii="Cambria Math" w:hAnsi="Cambria Math"/>
          </w:rPr>
          <m:t>0.90</m:t>
        </m:r>
      </m:oMath>
      <w:r>
        <w:rPr>
          <w:rFonts w:eastAsiaTheme="minorEastAsia"/>
        </w:rPr>
        <w:t xml:space="preserve"> is equal to </w:t>
      </w:r>
      <m:oMath>
        <m:sSub>
          <m:sSubPr>
            <m:ctrlPr>
              <w:rPr>
                <w:rFonts w:ascii="Cambria Math" w:hAnsi="Cambria Math"/>
              </w:rPr>
            </m:ctrlPr>
          </m:sSubPr>
          <m:e>
            <m:r>
              <w:rPr>
                <w:rFonts w:ascii="Cambria Math" w:hAnsi="Cambria Math"/>
              </w:rPr>
              <m:t>μ</m:t>
            </m:r>
          </m:e>
          <m:sub>
            <m:r>
              <w:rPr>
                <w:rFonts w:ascii="Cambria Math" w:hAnsi="Cambria Math"/>
              </w:rPr>
              <m:t>G</m:t>
            </m:r>
          </m:sub>
        </m:sSub>
      </m:oMath>
      <w:r>
        <w:rPr>
          <w:rFonts w:eastAsiaTheme="minorEastAsia"/>
        </w:rPr>
        <w:t xml:space="preserve"> and has a dispersion equal to </w:t>
      </w:r>
      <m:oMath>
        <m:r>
          <w:rPr>
            <w:rFonts w:ascii="Cambria Math" w:hAnsi="Cambria Math"/>
          </w:rPr>
          <m:t>ϕ</m:t>
        </m:r>
      </m:oMath>
      <w:r>
        <w:rPr>
          <w:rFonts w:eastAsiaTheme="minorEastAsia"/>
        </w:rPr>
        <w:t>.</w:t>
      </w:r>
    </w:p>
    <w:p w14:paraId="2D969D24" w14:textId="368F19BE" w:rsidR="002F1058" w:rsidRDefault="002F1058" w:rsidP="00F53BD1">
      <w:pPr>
        <w:pStyle w:val="BodyText"/>
        <w:rPr>
          <w:rFonts w:eastAsiaTheme="minorEastAsia"/>
        </w:rPr>
      </w:pPr>
      <w:r>
        <w:rPr>
          <w:rFonts w:eastAsiaTheme="minorEastAsia"/>
        </w:rPr>
        <w:t xml:space="preserve">Similarly, we </w:t>
      </w:r>
      <w:r w:rsidR="003F4802">
        <w:rPr>
          <w:rFonts w:eastAsiaTheme="minorEastAsia"/>
        </w:rPr>
        <w:t xml:space="preserve">explored the association </w:t>
      </w:r>
      <w:r>
        <w:rPr>
          <w:rFonts w:eastAsiaTheme="minorEastAsia"/>
        </w:rPr>
        <w:t xml:space="preserve">of yield </w:t>
      </w:r>
      <w:r>
        <w:rPr>
          <w:rFonts w:eastAsiaTheme="minorEastAsia"/>
          <w:i/>
        </w:rPr>
        <w:t>per se</w:t>
      </w:r>
      <w:r>
        <w:rPr>
          <w:rFonts w:eastAsiaTheme="minorEastAsia"/>
        </w:rPr>
        <w:t xml:space="preserve"> and yield plasticity </w:t>
      </w:r>
      <w:r w:rsidR="003F4802">
        <w:rPr>
          <w:rFonts w:eastAsiaTheme="minorEastAsia"/>
        </w:rPr>
        <w:t>with an asymmetric Laplace quantile regression model (Eq. XX). We modeled both 10</w:t>
      </w:r>
      <w:r w:rsidR="003F4802" w:rsidRPr="003F4802">
        <w:rPr>
          <w:rFonts w:eastAsiaTheme="minorEastAsia"/>
          <w:vertAlign w:val="superscript"/>
        </w:rPr>
        <w:t>th</w:t>
      </w:r>
      <w:r w:rsidR="003F4802">
        <w:rPr>
          <w:rFonts w:eastAsiaTheme="minorEastAsia"/>
        </w:rPr>
        <w:t xml:space="preserve"> </w:t>
      </w:r>
      <m:oMath>
        <m:r>
          <w:rPr>
            <w:rFonts w:ascii="Cambria Math" w:eastAsiaTheme="minorEastAsia" w:hAnsi="Cambria Math"/>
          </w:rPr>
          <m:t>(</m:t>
        </m:r>
        <m:r>
          <w:rPr>
            <w:rFonts w:ascii="Cambria Math" w:hAnsi="Cambria Math"/>
          </w:rPr>
          <m:t>τ</m:t>
        </m:r>
        <m:r>
          <m:rPr>
            <m:sty m:val="p"/>
          </m:rPr>
          <w:rPr>
            <w:rFonts w:ascii="Cambria Math" w:hAnsi="Cambria Math"/>
          </w:rPr>
          <m:t>=</m:t>
        </m:r>
        <m:r>
          <w:rPr>
            <w:rFonts w:ascii="Cambria Math" w:hAnsi="Cambria Math"/>
          </w:rPr>
          <m:t>0.10)</m:t>
        </m:r>
      </m:oMath>
      <w:r w:rsidR="003F4802">
        <w:rPr>
          <w:rFonts w:eastAsiaTheme="minorEastAsia"/>
        </w:rPr>
        <w:t xml:space="preserve"> and 90</w:t>
      </w:r>
      <w:r w:rsidR="003F4802" w:rsidRPr="003F4802">
        <w:rPr>
          <w:rFonts w:eastAsiaTheme="minorEastAsia"/>
          <w:vertAlign w:val="superscript"/>
        </w:rPr>
        <w:t>th</w:t>
      </w:r>
      <w:r w:rsidR="003F4802">
        <w:rPr>
          <w:rFonts w:eastAsiaTheme="minorEastAsia"/>
        </w:rPr>
        <w:t xml:space="preserve"> </w:t>
      </w:r>
      <m:oMath>
        <m:r>
          <w:rPr>
            <w:rFonts w:ascii="Cambria Math" w:eastAsiaTheme="minorEastAsia" w:hAnsi="Cambria Math"/>
          </w:rPr>
          <m:t>(</m:t>
        </m:r>
        <m:r>
          <w:rPr>
            <w:rFonts w:ascii="Cambria Math" w:hAnsi="Cambria Math"/>
          </w:rPr>
          <m:t>τ</m:t>
        </m:r>
        <m:r>
          <m:rPr>
            <m:sty m:val="p"/>
          </m:rPr>
          <w:rPr>
            <w:rFonts w:ascii="Cambria Math" w:hAnsi="Cambria Math"/>
          </w:rPr>
          <m:t>=</m:t>
        </m:r>
        <m:r>
          <w:rPr>
            <w:rFonts w:ascii="Cambria Math" w:hAnsi="Cambria Math"/>
          </w:rPr>
          <m:t>0.90)</m:t>
        </m:r>
      </m:oMath>
      <w:r w:rsidR="003F4802">
        <w:rPr>
          <w:rFonts w:eastAsiaTheme="minorEastAsia"/>
        </w:rPr>
        <w:t xml:space="preserve"> percentiles</w:t>
      </w:r>
      <w:r w:rsidR="00316674">
        <w:rPr>
          <w:rFonts w:eastAsiaTheme="minorEastAsia"/>
        </w:rPr>
        <w:t xml:space="preserve"> to make inference on this association at high and low yielding environments, respectively.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3F4802" w14:paraId="6E37BE4A" w14:textId="77777777" w:rsidTr="003F4802">
        <w:tc>
          <w:tcPr>
            <w:tcW w:w="8725" w:type="dxa"/>
          </w:tcPr>
          <w:p w14:paraId="300806DE" w14:textId="7FA5486D" w:rsidR="003F4802" w:rsidRDefault="004A1BA4" w:rsidP="003F4802">
            <w:pPr>
              <w:pStyle w:val="BodyTex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∼ALD</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τ</m:t>
                    </m:r>
                  </m:e>
                </m:d>
              </m:oMath>
            </m:oMathPara>
          </w:p>
        </w:tc>
        <w:tc>
          <w:tcPr>
            <w:tcW w:w="625" w:type="dxa"/>
          </w:tcPr>
          <w:p w14:paraId="3EFC4033" w14:textId="77777777" w:rsidR="003F4802" w:rsidRDefault="003F4802" w:rsidP="003F4802">
            <w:pPr>
              <w:pStyle w:val="BodyText"/>
              <w:rPr>
                <w:rFonts w:eastAsiaTheme="minorEastAsia"/>
              </w:rPr>
            </w:pPr>
          </w:p>
        </w:tc>
      </w:tr>
      <w:tr w:rsidR="003F4802" w14:paraId="05E5D0BD" w14:textId="77777777" w:rsidTr="003F4802">
        <w:tc>
          <w:tcPr>
            <w:tcW w:w="8725" w:type="dxa"/>
          </w:tcPr>
          <w:p w14:paraId="3BD6FDE8" w14:textId="1195EFE1" w:rsidR="003F4802" w:rsidRDefault="004A1BA4" w:rsidP="003F4802">
            <w:pPr>
              <w:pStyle w:val="BodyText"/>
              <w:rPr>
                <w:rFonts w:eastAsiaTheme="minorEastAsia"/>
              </w:rPr>
            </w:pPr>
            <m:oMathPara>
              <m:oMath>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PP</m:t>
                    </m:r>
                  </m:sub>
                </m:sSub>
              </m:oMath>
            </m:oMathPara>
          </w:p>
        </w:tc>
        <w:tc>
          <w:tcPr>
            <w:tcW w:w="625" w:type="dxa"/>
          </w:tcPr>
          <w:p w14:paraId="41D79116" w14:textId="77777777" w:rsidR="003F4802" w:rsidRDefault="003F4802" w:rsidP="003F4802">
            <w:pPr>
              <w:pStyle w:val="BodyText"/>
              <w:rPr>
                <w:rFonts w:eastAsiaTheme="minorEastAsia"/>
              </w:rPr>
            </w:pPr>
          </w:p>
        </w:tc>
      </w:tr>
    </w:tbl>
    <w:p w14:paraId="2953EB98" w14:textId="1D91CA40" w:rsidR="004514E9" w:rsidRDefault="004514E9" w:rsidP="00F53BD1">
      <w:pPr>
        <w:pStyle w:val="BodyText"/>
      </w:pPr>
      <w:r>
        <w:t>Furthermore,</w:t>
      </w:r>
      <w:r w:rsidR="00432ED0">
        <w:t xml:space="preserve"> to model</w:t>
      </w:r>
      <w:r>
        <w:t xml:space="preserve"> the association of yield BLUPs </w:t>
      </w:r>
      <w:r w:rsidR="00432ED0">
        <w:t>and yield plasticity we fitted two process models</w:t>
      </w:r>
      <w:r w:rsidR="00051357">
        <w:t xml:space="preserve"> for the expected value (</w:t>
      </w:r>
      <m:oMath>
        <m:sSub>
          <m:sSubPr>
            <m:ctrlPr>
              <w:rPr>
                <w:rFonts w:ascii="Cambria Math" w:hAnsi="Cambria Math"/>
              </w:rPr>
            </m:ctrlPr>
          </m:sSubPr>
          <m:e>
            <m:r>
              <w:rPr>
                <w:rFonts w:ascii="Cambria Math" w:hAnsi="Cambria Math"/>
              </w:rPr>
              <m:t>μ</m:t>
            </m:r>
          </m:e>
          <m:sub>
            <m:r>
              <w:rPr>
                <w:rFonts w:ascii="Cambria Math" w:hAnsi="Cambria Math"/>
              </w:rPr>
              <m:t>G</m:t>
            </m:r>
          </m:sub>
        </m:sSub>
      </m:oMath>
      <w:r w:rsidR="00051357">
        <w:rPr>
          <w:rFonts w:eastAsiaTheme="minorEastAsia"/>
        </w:rPr>
        <w:t>, Eq. XX, XX</w:t>
      </w:r>
      <w:r w:rsidR="00051357">
        <w:t>)</w:t>
      </w:r>
      <w:r w:rsidR="00432ED0">
        <w:t xml:space="preserve"> and selected the one with lowest BIC.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051357" w14:paraId="0EEE9DA0" w14:textId="77777777" w:rsidTr="007B7F1A">
        <w:tc>
          <w:tcPr>
            <w:tcW w:w="8730" w:type="dxa"/>
          </w:tcPr>
          <w:p w14:paraId="165F7F82" w14:textId="77777777" w:rsidR="00051357" w:rsidRDefault="004A1BA4" w:rsidP="007B7F1A">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e>
                </m:d>
                <m:r>
                  <w:rPr>
                    <w:rFonts w:ascii="Cambria Math" w:hAnsi="Cambria Math"/>
                  </w:rPr>
                  <m:t>,</m:t>
                </m:r>
              </m:oMath>
            </m:oMathPara>
          </w:p>
        </w:tc>
        <w:tc>
          <w:tcPr>
            <w:tcW w:w="630" w:type="dxa"/>
          </w:tcPr>
          <w:p w14:paraId="68AB4E7A" w14:textId="77777777" w:rsidR="00051357" w:rsidRPr="00276353" w:rsidRDefault="00051357" w:rsidP="007B7F1A">
            <w:pPr>
              <w:pStyle w:val="BodyText"/>
              <w:rPr>
                <w:rFonts w:eastAsia="Times New Roman" w:cs="Times New Roman"/>
              </w:rPr>
            </w:pPr>
          </w:p>
        </w:tc>
      </w:tr>
      <w:tr w:rsidR="00051357" w14:paraId="558D41DC" w14:textId="77777777" w:rsidTr="007B7F1A">
        <w:tc>
          <w:tcPr>
            <w:tcW w:w="8730" w:type="dxa"/>
          </w:tcPr>
          <w:p w14:paraId="7321CDE7" w14:textId="77777777" w:rsidR="00051357" w:rsidRDefault="00051357" w:rsidP="007B7F1A">
            <w:pPr>
              <w:pStyle w:val="BodyText"/>
            </w:pPr>
            <m:oMathPara>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G</m:t>
                    </m:r>
                  </m:sub>
                </m:sSub>
                <m:r>
                  <w:rPr>
                    <w:rFonts w:ascii="Cambria Math" w:eastAsiaTheme="minorEastAsia" w:hAnsi="Cambria Math"/>
                  </w:rPr>
                  <m:t>,</m:t>
                </m:r>
              </m:oMath>
            </m:oMathPara>
          </w:p>
        </w:tc>
        <w:tc>
          <w:tcPr>
            <w:tcW w:w="630" w:type="dxa"/>
          </w:tcPr>
          <w:p w14:paraId="72E4FB65" w14:textId="77777777" w:rsidR="00051357" w:rsidRPr="00276353" w:rsidRDefault="00051357" w:rsidP="007B7F1A">
            <w:pPr>
              <w:pStyle w:val="BodyText"/>
              <w:rPr>
                <w:rFonts w:eastAsia="Times New Roman" w:cs="Times New Roman"/>
              </w:rPr>
            </w:pPr>
          </w:p>
        </w:tc>
      </w:tr>
      <w:tr w:rsidR="00051357" w14:paraId="52251B92" w14:textId="77777777" w:rsidTr="007B7F1A">
        <w:tc>
          <w:tcPr>
            <w:tcW w:w="8730" w:type="dxa"/>
          </w:tcPr>
          <w:p w14:paraId="27246B9E" w14:textId="77777777" w:rsidR="00051357" w:rsidRDefault="004A1BA4" w:rsidP="007B7F1A">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w:rPr>
                    <w:rFonts w:ascii="Cambria Math" w:hAnsi="Cambria Math"/>
                  </w:rPr>
                  <m:t>,</m:t>
                </m:r>
              </m:oMath>
            </m:oMathPara>
          </w:p>
        </w:tc>
        <w:tc>
          <w:tcPr>
            <w:tcW w:w="630" w:type="dxa"/>
          </w:tcPr>
          <w:p w14:paraId="3B4145F2" w14:textId="77777777" w:rsidR="00051357" w:rsidRPr="00276353" w:rsidRDefault="00051357" w:rsidP="007B7F1A">
            <w:pPr>
              <w:pStyle w:val="BodyText"/>
              <w:rPr>
                <w:rFonts w:eastAsia="Times New Roman" w:cs="Times New Roman"/>
              </w:rPr>
            </w:pPr>
          </w:p>
        </w:tc>
      </w:tr>
      <w:tr w:rsidR="00051357" w14:paraId="04923F30" w14:textId="77777777" w:rsidTr="007B7F1A">
        <w:tc>
          <w:tcPr>
            <w:tcW w:w="8730" w:type="dxa"/>
          </w:tcPr>
          <w:p w14:paraId="161E139A" w14:textId="1F936861" w:rsidR="00051357" w:rsidRPr="00051357" w:rsidRDefault="004A1BA4" w:rsidP="00051357">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PP</m:t>
                              </m:r>
                            </m:sub>
                          </m:sSub>
                          <m:r>
                            <w:rPr>
                              <w:rFonts w:ascii="Cambria Math" w:hAnsi="Cambria Math"/>
                            </w:rPr>
                            <m:t>     if </m:t>
                          </m:r>
                          <m:sSub>
                            <m:sSubPr>
                              <m:ctrlPr>
                                <w:rPr>
                                  <w:rFonts w:ascii="Cambria Math" w:hAnsi="Cambria Math"/>
                                </w:rPr>
                              </m:ctrlPr>
                            </m:sSubPr>
                            <m:e>
                              <m:r>
                                <w:rPr>
                                  <w:rFonts w:ascii="Cambria Math" w:hAnsi="Cambria Math"/>
                                </w:rPr>
                                <m:t>σ</m:t>
                              </m:r>
                            </m:e>
                            <m:sub>
                              <m:r>
                                <w:rPr>
                                  <w:rFonts w:ascii="Cambria Math" w:hAnsi="Cambria Math"/>
                                </w:rPr>
                                <m:t>PP</m:t>
                              </m:r>
                            </m:sub>
                          </m:sSub>
                          <m:r>
                            <m:rPr>
                              <m:sty m:val="p"/>
                            </m:rPr>
                            <w:rPr>
                              <w:rFonts w:ascii="Cambria Math" w:hAnsi="Cambria Math"/>
                            </w:rPr>
                            <m:t>≥</m:t>
                          </m:r>
                          <m:r>
                            <w:rPr>
                              <w:rFonts w:ascii="Cambria Math" w:hAnsi="Cambria Math"/>
                            </w:rPr>
                            <m:t>c</m:t>
                          </m:r>
                          <m:r>
                            <m:rPr>
                              <m:sty m:val="p"/>
                            </m:rP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c     otherwise</m:t>
                          </m:r>
                          <m:r>
                            <m:rPr>
                              <m:sty m:val="p"/>
                            </m:rPr>
                            <w:rPr>
                              <w:rFonts w:ascii="Cambria Math" w:hAnsi="Cambria Math"/>
                            </w:rPr>
                            <m:t>.</m:t>
                          </m:r>
                        </m:e>
                      </m:mr>
                    </m:m>
                  </m:e>
                </m:d>
              </m:oMath>
            </m:oMathPara>
          </w:p>
        </w:tc>
        <w:tc>
          <w:tcPr>
            <w:tcW w:w="630" w:type="dxa"/>
          </w:tcPr>
          <w:p w14:paraId="1AE2A9A1" w14:textId="77777777" w:rsidR="00051357" w:rsidRPr="00276353" w:rsidRDefault="00051357" w:rsidP="007B7F1A">
            <w:pPr>
              <w:pStyle w:val="BodyText"/>
              <w:rPr>
                <w:rFonts w:eastAsia="Times New Roman" w:cs="Times New Roman"/>
              </w:rPr>
            </w:pPr>
          </w:p>
        </w:tc>
      </w:tr>
    </w:tbl>
    <w:p w14:paraId="7D08C4ED" w14:textId="77777777" w:rsidR="00051357" w:rsidRDefault="00051357" w:rsidP="00F53BD1">
      <w:pPr>
        <w:pStyle w:val="BodyText"/>
      </w:pPr>
    </w:p>
    <w:p w14:paraId="373DE0BB" w14:textId="7F7BC00A" w:rsidR="00806474" w:rsidRPr="00806474" w:rsidRDefault="00B86219" w:rsidP="00806474">
      <w:pPr>
        <w:pStyle w:val="BodyText"/>
      </w:pPr>
      <w:r>
        <w:t xml:space="preserve">Models in Eq. XX, XX, XX were fitted using the </w:t>
      </w:r>
      <w:proofErr w:type="spellStart"/>
      <w:r w:rsidRPr="00B86219">
        <w:rPr>
          <w:i/>
        </w:rPr>
        <w:t>glmer</w:t>
      </w:r>
      <w:proofErr w:type="spellEnd"/>
      <w:r>
        <w:rPr>
          <w:i/>
        </w:rPr>
        <w:t xml:space="preserve"> </w:t>
      </w:r>
      <w:r>
        <w:t xml:space="preserve">function available in R. Models in Equations XX, XX, XX were fitted using the </w:t>
      </w:r>
      <w:r>
        <w:rPr>
          <w:i/>
        </w:rPr>
        <w:t xml:space="preserve">brms </w:t>
      </w:r>
      <w:r>
        <w:t>package in R. Details of Bayesian models fitted and priors used are provided in Appendix 1. All bayesian models were fitted using uninformative priors</w:t>
      </w:r>
      <w:r w:rsidR="00E97B6E">
        <w:t xml:space="preserve"> and are detailed on Supplementary Table XX. </w:t>
      </w:r>
    </w:p>
    <w:p w14:paraId="77495400" w14:textId="4C1D1EBB" w:rsidR="007D330A" w:rsidRDefault="007D330A" w:rsidP="007D330A">
      <w:pPr>
        <w:pStyle w:val="Heading2"/>
      </w:pPr>
      <w:r>
        <w:lastRenderedPageBreak/>
        <w:t>Genome wide association study</w:t>
      </w:r>
    </w:p>
    <w:p w14:paraId="47BFB29F" w14:textId="6548CAD9" w:rsidR="007D330A" w:rsidRDefault="007D330A" w:rsidP="007D330A"/>
    <w:p w14:paraId="349ACBC3" w14:textId="77777777" w:rsidR="0056424F" w:rsidRDefault="0056424F" w:rsidP="007D330A"/>
    <w:p w14:paraId="159B2364" w14:textId="77777777" w:rsidR="007D330A" w:rsidRPr="007D330A" w:rsidRDefault="007D330A" w:rsidP="007D330A"/>
    <w:p w14:paraId="7C8FC791" w14:textId="77777777" w:rsidR="00DE2AAA" w:rsidRPr="00DE2AAA" w:rsidRDefault="00DE2AAA" w:rsidP="00DE2AAA"/>
    <w:p w14:paraId="4068D7F7" w14:textId="30153CF2" w:rsidR="00DE2AAA" w:rsidRDefault="00DE2AAA" w:rsidP="00DE2AAA">
      <w:pPr>
        <w:pStyle w:val="Heading1"/>
      </w:pPr>
      <w:r>
        <w:t>Results</w:t>
      </w:r>
    </w:p>
    <w:p w14:paraId="783B8772" w14:textId="77777777" w:rsidR="00424B0A" w:rsidRDefault="007D330A" w:rsidP="00424B0A">
      <w:pPr>
        <w:keepNext/>
      </w:pPr>
      <w:r>
        <w:br w:type="page"/>
      </w:r>
      <w:r w:rsidR="00745021">
        <w:rPr>
          <w:noProof/>
        </w:rPr>
        <w:lastRenderedPageBreak/>
        <w:drawing>
          <wp:inline distT="0" distB="0" distL="0" distR="0" wp14:anchorId="6F653634" wp14:editId="4801600A">
            <wp:extent cx="5929312" cy="237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29312" cy="2371725"/>
                    </a:xfrm>
                    <a:prstGeom prst="rect">
                      <a:avLst/>
                    </a:prstGeom>
                    <a:noFill/>
                    <a:ln>
                      <a:noFill/>
                    </a:ln>
                  </pic:spPr>
                </pic:pic>
              </a:graphicData>
            </a:graphic>
          </wp:inline>
        </w:drawing>
      </w:r>
    </w:p>
    <w:p w14:paraId="4FD75597" w14:textId="31128818" w:rsidR="00745021" w:rsidRDefault="00424B0A" w:rsidP="00424B0A">
      <w:pPr>
        <w:pStyle w:val="Caption"/>
      </w:pPr>
      <w:r>
        <w:t xml:space="preserve">Figure </w:t>
      </w:r>
      <w:fldSimple w:instr=" SEQ Figure \* ARABIC ">
        <w:r w:rsidR="004A1BA4">
          <w:rPr>
            <w:noProof/>
          </w:rPr>
          <w:t>1</w:t>
        </w:r>
      </w:fldSimple>
      <w:r>
        <w:t xml:space="preserve">. </w:t>
      </w:r>
    </w:p>
    <w:p w14:paraId="4FABF0D4" w14:textId="77777777" w:rsidR="00745021" w:rsidRDefault="00745021"/>
    <w:p w14:paraId="2762A09B" w14:textId="77777777" w:rsidR="00745021" w:rsidRDefault="00745021"/>
    <w:p w14:paraId="69998251" w14:textId="77777777" w:rsidR="00745021" w:rsidRDefault="00745021"/>
    <w:p w14:paraId="5F99DEA5" w14:textId="77777777" w:rsidR="004A1BA4" w:rsidRDefault="0087063E" w:rsidP="004A1BA4">
      <w:pPr>
        <w:keepNext/>
      </w:pPr>
      <w:r>
        <w:rPr>
          <w:noProof/>
        </w:rPr>
        <w:drawing>
          <wp:inline distT="0" distB="0" distL="0" distR="0" wp14:anchorId="505AF7C9" wp14:editId="5DBA5526">
            <wp:extent cx="5929312"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29312" cy="2371725"/>
                    </a:xfrm>
                    <a:prstGeom prst="rect">
                      <a:avLst/>
                    </a:prstGeom>
                    <a:noFill/>
                    <a:ln>
                      <a:noFill/>
                    </a:ln>
                  </pic:spPr>
                </pic:pic>
              </a:graphicData>
            </a:graphic>
          </wp:inline>
        </w:drawing>
      </w:r>
    </w:p>
    <w:p w14:paraId="0F53295E" w14:textId="7073E07E" w:rsidR="00745021" w:rsidRDefault="004A1BA4" w:rsidP="004A1BA4">
      <w:pPr>
        <w:pStyle w:val="Caption"/>
      </w:pPr>
      <w:r>
        <w:t xml:space="preserve">Figure </w:t>
      </w:r>
      <w:fldSimple w:instr=" SEQ Figure \* ARABIC ">
        <w:r>
          <w:rPr>
            <w:noProof/>
          </w:rPr>
          <w:t>2</w:t>
        </w:r>
      </w:fldSimple>
      <w:r>
        <w:t>.</w:t>
      </w:r>
      <w:bookmarkStart w:id="6" w:name="_GoBack"/>
      <w:bookmarkEnd w:id="6"/>
    </w:p>
    <w:p w14:paraId="7065F764" w14:textId="77777777" w:rsidR="00745021" w:rsidRDefault="00745021"/>
    <w:p w14:paraId="39CFD560" w14:textId="76E94267" w:rsidR="007D330A" w:rsidRDefault="007D330A"/>
    <w:p w14:paraId="3AD51026" w14:textId="230061CF" w:rsidR="00DE2AAA" w:rsidRDefault="00DE2AAA" w:rsidP="00DE2AAA">
      <w:pPr>
        <w:pStyle w:val="Heading1"/>
      </w:pPr>
      <w:r>
        <w:t>Discussion</w:t>
      </w:r>
    </w:p>
    <w:p w14:paraId="60B4FBAB" w14:textId="77777777" w:rsidR="00DE2AAA" w:rsidRPr="00DE2AAA" w:rsidRDefault="00DE2AAA" w:rsidP="00DE2AAA"/>
    <w:p w14:paraId="77141AB4" w14:textId="64384512" w:rsidR="00977B3D" w:rsidRDefault="00977B3D" w:rsidP="00977B3D"/>
    <w:p w14:paraId="5DBEB9D9" w14:textId="77777777" w:rsidR="00977B3D" w:rsidRPr="00977B3D" w:rsidRDefault="00977B3D" w:rsidP="00977B3D">
      <w:pPr>
        <w:pStyle w:val="Heading1"/>
      </w:pPr>
    </w:p>
    <w:sectPr w:rsidR="00977B3D" w:rsidRPr="00977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o Giordano" w:date="2024-07-03T11:18:00Z" w:initials="NG">
    <w:p w14:paraId="6221E16D" w14:textId="77777777" w:rsidR="00E97B6E" w:rsidRPr="00637BD5" w:rsidRDefault="00E97B6E" w:rsidP="00E97B6E">
      <w:pPr>
        <w:rPr>
          <w:sz w:val="16"/>
          <w:szCs w:val="16"/>
        </w:rPr>
      </w:pPr>
      <w:r>
        <w:rPr>
          <w:rStyle w:val="CommentReference"/>
        </w:rPr>
        <w:annotationRef/>
      </w:r>
      <w:r w:rsidRPr="00637BD5">
        <w:rPr>
          <w:sz w:val="16"/>
          <w:szCs w:val="16"/>
        </w:rPr>
        <w:t>Please provide a statement that, in fewer than 30 words, highlights the novelty of the paper for the non-expert. The highlight should contain the central findings of your work, as well as keywords and phrases, but should not simply repeat the title. For reviews, the highlight should state the primary objective of the review.</w:t>
      </w:r>
    </w:p>
    <w:p w14:paraId="1141D421" w14:textId="2573AF89" w:rsidR="00E97B6E" w:rsidRDefault="00E97B6E">
      <w:pPr>
        <w:pStyle w:val="CommentText"/>
      </w:pPr>
    </w:p>
  </w:comment>
  <w:comment w:id="1" w:author="Nico Giordano" w:date="2024-07-03T11:19:00Z" w:initials="NG">
    <w:p w14:paraId="48206798" w14:textId="77777777" w:rsidR="00E97B6E" w:rsidRPr="00637BD5" w:rsidRDefault="00E97B6E" w:rsidP="00E97B6E">
      <w:pPr>
        <w:rPr>
          <w:sz w:val="16"/>
          <w:szCs w:val="16"/>
        </w:rPr>
      </w:pPr>
      <w:r>
        <w:rPr>
          <w:rStyle w:val="CommentReference"/>
        </w:rPr>
        <w:annotationRef/>
      </w:r>
      <w:r w:rsidRPr="00637BD5">
        <w:rPr>
          <w:sz w:val="16"/>
          <w:szCs w:val="16"/>
        </w:rPr>
        <w:t>The abstract should be an engaging and informative 'stand-alone' text (without references) of no more than 200 words. Abstracts for research papers should detail why the research was undertaken; the approach and methodology if appropriate; the main findings; and the key conclusions, including wider implications. Repeat keywords and phrases as appropriate. Abbreviations should only be defined and used within the abstract if they are used three times or more in the abstract itself.</w:t>
      </w:r>
    </w:p>
    <w:p w14:paraId="3A0EE359" w14:textId="6834AEBD" w:rsidR="00E97B6E" w:rsidRDefault="00E97B6E">
      <w:pPr>
        <w:pStyle w:val="CommentText"/>
      </w:pPr>
    </w:p>
  </w:comment>
  <w:comment w:id="2" w:author="Nico Giordano" w:date="2024-07-03T11:19:00Z" w:initials="NG">
    <w:p w14:paraId="424CBD94" w14:textId="77777777" w:rsidR="00E97B6E" w:rsidRPr="00637BD5" w:rsidRDefault="00E97B6E" w:rsidP="00E97B6E">
      <w:pPr>
        <w:rPr>
          <w:sz w:val="16"/>
          <w:szCs w:val="16"/>
        </w:rPr>
      </w:pPr>
      <w:r>
        <w:rPr>
          <w:rStyle w:val="CommentReference"/>
        </w:rPr>
        <w:annotationRef/>
      </w:r>
      <w:r w:rsidRPr="00637BD5">
        <w:rPr>
          <w:sz w:val="16"/>
          <w:szCs w:val="16"/>
        </w:rPr>
        <w:t xml:space="preserve">Please list 6–10 keywords (in alphabetical order) after the abstract. Think of words people might use in searches. The main keywords should also appear in the title, abstract, highlight, and subheadings. Natural, consistent repetition of keywords will aid search engine </w:t>
      </w:r>
      <w:proofErr w:type="spellStart"/>
      <w:r w:rsidRPr="00637BD5">
        <w:rPr>
          <w:sz w:val="16"/>
          <w:szCs w:val="16"/>
        </w:rPr>
        <w:t>optimisation</w:t>
      </w:r>
      <w:proofErr w:type="spellEnd"/>
      <w:r w:rsidRPr="00637BD5">
        <w:rPr>
          <w:sz w:val="16"/>
          <w:szCs w:val="16"/>
        </w:rPr>
        <w:t xml:space="preserve"> so others can more easily find and cite the paper.</w:t>
      </w:r>
    </w:p>
    <w:p w14:paraId="1511B5A1" w14:textId="77777777" w:rsidR="00E97B6E" w:rsidRPr="00637BD5" w:rsidRDefault="00E97B6E" w:rsidP="00E97B6E">
      <w:pPr>
        <w:rPr>
          <w:sz w:val="16"/>
          <w:szCs w:val="16"/>
        </w:rPr>
      </w:pPr>
      <w:r w:rsidRPr="00637BD5">
        <w:rPr>
          <w:sz w:val="16"/>
          <w:szCs w:val="16"/>
        </w:rPr>
        <w:t>Please limit the use of non-standard abbreviations, which can make the text harder to read. Generally, only use them for words mentioned more than three times in the text but only where the shortened form will aid readability. Spell out the term on first mention: for example, ‘the International Rice Research Institute (IRRI) is developing rice varieties…’. If you do have such defined abbreviations, also list them, in alphabetical order, after the keywords.</w:t>
      </w:r>
    </w:p>
    <w:p w14:paraId="63719350" w14:textId="77777777" w:rsidR="00E97B6E" w:rsidRDefault="00E97B6E" w:rsidP="00E97B6E"/>
    <w:p w14:paraId="172D5C40" w14:textId="77777777" w:rsidR="00E97B6E" w:rsidRPr="00637BD5" w:rsidRDefault="00E97B6E" w:rsidP="00E97B6E">
      <w:pPr>
        <w:rPr>
          <w:sz w:val="16"/>
          <w:szCs w:val="16"/>
        </w:rPr>
      </w:pPr>
      <w:r w:rsidRPr="00637BD5">
        <w:rPr>
          <w:sz w:val="16"/>
          <w:szCs w:val="16"/>
        </w:rPr>
        <w:t>There are a number of common abbreviations that may be used without definition. The same applies to standard chemical symbols.</w:t>
      </w:r>
    </w:p>
    <w:p w14:paraId="4238C437" w14:textId="77777777" w:rsidR="00E97B6E" w:rsidRPr="00637BD5" w:rsidRDefault="00E97B6E" w:rsidP="00E97B6E">
      <w:pPr>
        <w:rPr>
          <w:sz w:val="16"/>
          <w:szCs w:val="16"/>
        </w:rPr>
      </w:pPr>
    </w:p>
    <w:p w14:paraId="16CC37F7" w14:textId="77777777" w:rsidR="00E97B6E" w:rsidRPr="00637BD5" w:rsidRDefault="00E97B6E" w:rsidP="00E97B6E">
      <w:pPr>
        <w:rPr>
          <w:sz w:val="16"/>
          <w:szCs w:val="16"/>
        </w:rPr>
      </w:pPr>
      <w:r w:rsidRPr="00637BD5">
        <w:rPr>
          <w:sz w:val="16"/>
          <w:szCs w:val="16"/>
        </w:rPr>
        <w:t>Authors are asked to avoid using 'CK' as an abbreviation for 'control' as this abbreviation is more commonly used for 'cytokinin' within plant sciences.</w:t>
      </w:r>
    </w:p>
    <w:p w14:paraId="7327B0AD" w14:textId="54B1C12D" w:rsidR="00E97B6E" w:rsidRDefault="00E97B6E">
      <w:pPr>
        <w:pStyle w:val="CommentText"/>
      </w:pPr>
    </w:p>
  </w:comment>
  <w:comment w:id="3" w:author="Nico Giordano" w:date="2024-05-31T14:09:00Z" w:initials="NG">
    <w:p w14:paraId="1AF4C3A7" w14:textId="5D0846F2" w:rsidR="001A321F" w:rsidRDefault="001A321F">
      <w:pPr>
        <w:pStyle w:val="CommentText"/>
      </w:pPr>
      <w:r>
        <w:rPr>
          <w:rStyle w:val="CommentReference"/>
        </w:rPr>
        <w:annotationRef/>
      </w:r>
      <w:r>
        <w:t>Add equation for yield PP</w:t>
      </w:r>
    </w:p>
  </w:comment>
  <w:comment w:id="4" w:author="Nico Giordano" w:date="2024-05-30T10:53:00Z" w:initials="NG">
    <w:p w14:paraId="1BF1A4DD" w14:textId="6D1F4FE4" w:rsidR="0056424F" w:rsidRDefault="0056424F">
      <w:pPr>
        <w:pStyle w:val="CommentText"/>
      </w:pPr>
      <w:r>
        <w:rPr>
          <w:rStyle w:val="CommentReference"/>
        </w:rPr>
        <w:annotationRef/>
      </w:r>
      <w:r>
        <w:t>Maybe supplementary figure showing this results that showed 25 environments is “enough”</w:t>
      </w:r>
    </w:p>
  </w:comment>
  <w:comment w:id="5" w:author="Nico Giordano" w:date="2024-05-31T14:54:00Z" w:initials="NG">
    <w:p w14:paraId="3D52573E" w14:textId="3DDCD1A9" w:rsidR="009C6BFB" w:rsidRDefault="009C6BFB">
      <w:pPr>
        <w:pStyle w:val="CommentText"/>
      </w:pPr>
      <w:r>
        <w:rPr>
          <w:rStyle w:val="CommentReference"/>
        </w:rPr>
        <w:annotationRef/>
      </w:r>
      <w:r>
        <w:t>Maybe show this comparison on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41D421" w15:done="0"/>
  <w15:commentEx w15:paraId="3A0EE359" w15:done="0"/>
  <w15:commentEx w15:paraId="7327B0AD" w15:done="0"/>
  <w15:commentEx w15:paraId="1AF4C3A7" w15:done="0"/>
  <w15:commentEx w15:paraId="1BF1A4DD" w15:done="0"/>
  <w15:commentEx w15:paraId="3D5257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41D421" w16cid:durableId="2A2FB21F"/>
  <w16cid:commentId w16cid:paraId="3A0EE359" w16cid:durableId="2A2FB227"/>
  <w16cid:commentId w16cid:paraId="7327B0AD" w16cid:durableId="2A2FB230"/>
  <w16cid:commentId w16cid:paraId="1AF4C3A7" w16cid:durableId="2A045894"/>
  <w16cid:commentId w16cid:paraId="1BF1A4DD" w16cid:durableId="2A02D92E"/>
  <w16cid:commentId w16cid:paraId="3D52573E" w16cid:durableId="2A046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08AC"/>
    <w:multiLevelType w:val="hybridMultilevel"/>
    <w:tmpl w:val="1D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327E"/>
    <w:multiLevelType w:val="hybridMultilevel"/>
    <w:tmpl w:val="5D74B09A"/>
    <w:lvl w:ilvl="0" w:tplc="9CEA43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55C2E"/>
    <w:multiLevelType w:val="hybridMultilevel"/>
    <w:tmpl w:val="5D8C2448"/>
    <w:lvl w:ilvl="0" w:tplc="4CCEF8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 Giordano">
    <w15:presenceInfo w15:providerId="None" w15:userId="Nico 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1C"/>
    <w:rsid w:val="00022672"/>
    <w:rsid w:val="000245BB"/>
    <w:rsid w:val="00051357"/>
    <w:rsid w:val="00097454"/>
    <w:rsid w:val="000A6772"/>
    <w:rsid w:val="000D2912"/>
    <w:rsid w:val="000D768A"/>
    <w:rsid w:val="000E567A"/>
    <w:rsid w:val="00100709"/>
    <w:rsid w:val="0010089A"/>
    <w:rsid w:val="001A321F"/>
    <w:rsid w:val="001E593D"/>
    <w:rsid w:val="00217585"/>
    <w:rsid w:val="00244F57"/>
    <w:rsid w:val="002F1058"/>
    <w:rsid w:val="00316674"/>
    <w:rsid w:val="0034200A"/>
    <w:rsid w:val="0037467E"/>
    <w:rsid w:val="003746B6"/>
    <w:rsid w:val="003B024C"/>
    <w:rsid w:val="003D3FA6"/>
    <w:rsid w:val="003F4802"/>
    <w:rsid w:val="004122A6"/>
    <w:rsid w:val="0042227D"/>
    <w:rsid w:val="00424B0A"/>
    <w:rsid w:val="00432ED0"/>
    <w:rsid w:val="004514E9"/>
    <w:rsid w:val="004A1BA4"/>
    <w:rsid w:val="004B45E0"/>
    <w:rsid w:val="004F77CF"/>
    <w:rsid w:val="00504141"/>
    <w:rsid w:val="0056424F"/>
    <w:rsid w:val="005B3660"/>
    <w:rsid w:val="0063384F"/>
    <w:rsid w:val="00637BD5"/>
    <w:rsid w:val="00646B6D"/>
    <w:rsid w:val="00662993"/>
    <w:rsid w:val="00684D88"/>
    <w:rsid w:val="006B23CB"/>
    <w:rsid w:val="006F261C"/>
    <w:rsid w:val="006F38BB"/>
    <w:rsid w:val="00702652"/>
    <w:rsid w:val="00714275"/>
    <w:rsid w:val="00745021"/>
    <w:rsid w:val="007D330A"/>
    <w:rsid w:val="007F59CD"/>
    <w:rsid w:val="00806474"/>
    <w:rsid w:val="00843B1C"/>
    <w:rsid w:val="00847111"/>
    <w:rsid w:val="0087063E"/>
    <w:rsid w:val="00874423"/>
    <w:rsid w:val="008B3184"/>
    <w:rsid w:val="008D63AD"/>
    <w:rsid w:val="00977B3D"/>
    <w:rsid w:val="009C6BFB"/>
    <w:rsid w:val="00A43F90"/>
    <w:rsid w:val="00B007BF"/>
    <w:rsid w:val="00B402F2"/>
    <w:rsid w:val="00B41BFF"/>
    <w:rsid w:val="00B86219"/>
    <w:rsid w:val="00B94566"/>
    <w:rsid w:val="00B94E3B"/>
    <w:rsid w:val="00B9570E"/>
    <w:rsid w:val="00BA7B97"/>
    <w:rsid w:val="00BC043F"/>
    <w:rsid w:val="00BE16B0"/>
    <w:rsid w:val="00CB7B26"/>
    <w:rsid w:val="00D12465"/>
    <w:rsid w:val="00D61D12"/>
    <w:rsid w:val="00DA2A94"/>
    <w:rsid w:val="00DC4C8C"/>
    <w:rsid w:val="00DD4753"/>
    <w:rsid w:val="00DE2AAA"/>
    <w:rsid w:val="00E97B6E"/>
    <w:rsid w:val="00EB3496"/>
    <w:rsid w:val="00EB656A"/>
    <w:rsid w:val="00EB73F2"/>
    <w:rsid w:val="00F23CD7"/>
    <w:rsid w:val="00F411C4"/>
    <w:rsid w:val="00F4564C"/>
    <w:rsid w:val="00F53BD1"/>
    <w:rsid w:val="00F664E0"/>
    <w:rsid w:val="00FE464B"/>
    <w:rsid w:val="00FF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A376C"/>
  <w15:chartTrackingRefBased/>
  <w15:docId w15:val="{2E010D58-8ABB-42B3-B4CB-39A9F39E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357"/>
    <w:rPr>
      <w:rFonts w:ascii="Cambria" w:hAnsi="Cambria"/>
      <w:sz w:val="24"/>
    </w:rPr>
  </w:style>
  <w:style w:type="paragraph" w:styleId="Heading1">
    <w:name w:val="heading 1"/>
    <w:basedOn w:val="Normal"/>
    <w:next w:val="Normal"/>
    <w:link w:val="Heading1Char"/>
    <w:uiPriority w:val="9"/>
    <w:qFormat/>
    <w:rsid w:val="00977B3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7B3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B3D"/>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977B3D"/>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77B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7C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77CF"/>
    <w:rPr>
      <w:rFonts w:ascii="Garamond" w:eastAsiaTheme="majorEastAsia" w:hAnsi="Garamond" w:cstheme="majorBidi"/>
      <w:spacing w:val="-10"/>
      <w:kern w:val="28"/>
      <w:sz w:val="56"/>
      <w:szCs w:val="56"/>
    </w:rPr>
  </w:style>
  <w:style w:type="character" w:customStyle="1" w:styleId="Heading1Char">
    <w:name w:val="Heading 1 Char"/>
    <w:basedOn w:val="DefaultParagraphFont"/>
    <w:link w:val="Heading1"/>
    <w:uiPriority w:val="9"/>
    <w:rsid w:val="00977B3D"/>
    <w:rPr>
      <w:rFonts w:ascii="Cambria" w:eastAsiaTheme="majorEastAsia" w:hAnsi="Cambria" w:cstheme="majorBidi"/>
      <w:b/>
      <w:sz w:val="32"/>
      <w:szCs w:val="32"/>
    </w:rPr>
  </w:style>
  <w:style w:type="paragraph" w:styleId="NoSpacing">
    <w:name w:val="No Spacing"/>
    <w:uiPriority w:val="1"/>
    <w:qFormat/>
    <w:rsid w:val="00977B3D"/>
    <w:pPr>
      <w:spacing w:after="0" w:line="240" w:lineRule="auto"/>
    </w:pPr>
    <w:rPr>
      <w:rFonts w:ascii="Roboto" w:hAnsi="Roboto"/>
      <w:sz w:val="24"/>
    </w:rPr>
  </w:style>
  <w:style w:type="character" w:customStyle="1" w:styleId="Heading2Char">
    <w:name w:val="Heading 2 Char"/>
    <w:basedOn w:val="DefaultParagraphFont"/>
    <w:link w:val="Heading2"/>
    <w:uiPriority w:val="9"/>
    <w:rsid w:val="00977B3D"/>
    <w:rPr>
      <w:rFonts w:ascii="Roboto" w:eastAsiaTheme="majorEastAsia" w:hAnsi="Roboto" w:cstheme="majorBidi"/>
      <w:color w:val="2F5496" w:themeColor="accent1" w:themeShade="BF"/>
      <w:sz w:val="26"/>
      <w:szCs w:val="26"/>
    </w:rPr>
  </w:style>
  <w:style w:type="character" w:customStyle="1" w:styleId="Heading3Char">
    <w:name w:val="Heading 3 Char"/>
    <w:basedOn w:val="DefaultParagraphFont"/>
    <w:link w:val="Heading3"/>
    <w:uiPriority w:val="9"/>
    <w:rsid w:val="00977B3D"/>
    <w:rPr>
      <w:rFonts w:ascii="Roboto" w:eastAsiaTheme="majorEastAsia" w:hAnsi="Roboto" w:cstheme="majorBidi"/>
      <w:color w:val="1F3763" w:themeColor="accent1" w:themeShade="7F"/>
      <w:sz w:val="24"/>
      <w:szCs w:val="24"/>
    </w:rPr>
  </w:style>
  <w:style w:type="paragraph" w:styleId="Subtitle">
    <w:name w:val="Subtitle"/>
    <w:basedOn w:val="Normal"/>
    <w:next w:val="Normal"/>
    <w:link w:val="SubtitleChar"/>
    <w:uiPriority w:val="11"/>
    <w:qFormat/>
    <w:rsid w:val="00977B3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77B3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7B3D"/>
    <w:rPr>
      <w:rFonts w:ascii="Roboto" w:eastAsiaTheme="majorEastAsia" w:hAnsi="Roboto" w:cstheme="majorBidi"/>
      <w:i/>
      <w:iCs/>
      <w:color w:val="2F5496" w:themeColor="accent1" w:themeShade="BF"/>
      <w:sz w:val="24"/>
    </w:rPr>
  </w:style>
  <w:style w:type="character" w:customStyle="1" w:styleId="Heading5Char">
    <w:name w:val="Heading 5 Char"/>
    <w:basedOn w:val="DefaultParagraphFont"/>
    <w:link w:val="Heading5"/>
    <w:uiPriority w:val="9"/>
    <w:rsid w:val="00977B3D"/>
    <w:rPr>
      <w:rFonts w:asciiTheme="majorHAnsi" w:eastAsiaTheme="majorEastAsia" w:hAnsiTheme="majorHAnsi" w:cstheme="majorBidi"/>
      <w:color w:val="2F5496" w:themeColor="accent1" w:themeShade="BF"/>
      <w:sz w:val="24"/>
    </w:rPr>
  </w:style>
  <w:style w:type="character" w:styleId="CommentReference">
    <w:name w:val="annotation reference"/>
    <w:basedOn w:val="DefaultParagraphFont"/>
    <w:uiPriority w:val="99"/>
    <w:semiHidden/>
    <w:unhideWhenUsed/>
    <w:rsid w:val="0042227D"/>
    <w:rPr>
      <w:sz w:val="16"/>
      <w:szCs w:val="16"/>
    </w:rPr>
  </w:style>
  <w:style w:type="paragraph" w:styleId="CommentText">
    <w:name w:val="annotation text"/>
    <w:basedOn w:val="Normal"/>
    <w:link w:val="CommentTextChar"/>
    <w:uiPriority w:val="99"/>
    <w:semiHidden/>
    <w:unhideWhenUsed/>
    <w:rsid w:val="0042227D"/>
    <w:pPr>
      <w:spacing w:line="240" w:lineRule="auto"/>
    </w:pPr>
    <w:rPr>
      <w:sz w:val="20"/>
      <w:szCs w:val="20"/>
    </w:rPr>
  </w:style>
  <w:style w:type="character" w:customStyle="1" w:styleId="CommentTextChar">
    <w:name w:val="Comment Text Char"/>
    <w:basedOn w:val="DefaultParagraphFont"/>
    <w:link w:val="CommentText"/>
    <w:uiPriority w:val="99"/>
    <w:semiHidden/>
    <w:rsid w:val="0042227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2227D"/>
    <w:rPr>
      <w:b/>
      <w:bCs/>
    </w:rPr>
  </w:style>
  <w:style w:type="character" w:customStyle="1" w:styleId="CommentSubjectChar">
    <w:name w:val="Comment Subject Char"/>
    <w:basedOn w:val="CommentTextChar"/>
    <w:link w:val="CommentSubject"/>
    <w:uiPriority w:val="99"/>
    <w:semiHidden/>
    <w:rsid w:val="0042227D"/>
    <w:rPr>
      <w:rFonts w:ascii="Cambria" w:hAnsi="Cambria"/>
      <w:b/>
      <w:bCs/>
      <w:sz w:val="20"/>
      <w:szCs w:val="20"/>
    </w:rPr>
  </w:style>
  <w:style w:type="paragraph" w:styleId="BalloonText">
    <w:name w:val="Balloon Text"/>
    <w:basedOn w:val="Normal"/>
    <w:link w:val="BalloonTextChar"/>
    <w:uiPriority w:val="99"/>
    <w:semiHidden/>
    <w:unhideWhenUsed/>
    <w:rsid w:val="00422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7D"/>
    <w:rPr>
      <w:rFonts w:ascii="Segoe UI" w:hAnsi="Segoe UI" w:cs="Segoe UI"/>
      <w:sz w:val="18"/>
      <w:szCs w:val="18"/>
    </w:rPr>
  </w:style>
  <w:style w:type="paragraph" w:styleId="BodyText">
    <w:name w:val="Body Text"/>
    <w:basedOn w:val="Normal"/>
    <w:link w:val="BodyTextChar"/>
    <w:qFormat/>
    <w:rsid w:val="00EB656A"/>
    <w:pPr>
      <w:spacing w:before="180" w:after="180" w:line="240" w:lineRule="auto"/>
    </w:pPr>
    <w:rPr>
      <w:szCs w:val="24"/>
    </w:rPr>
  </w:style>
  <w:style w:type="character" w:customStyle="1" w:styleId="BodyTextChar">
    <w:name w:val="Body Text Char"/>
    <w:basedOn w:val="DefaultParagraphFont"/>
    <w:link w:val="BodyText"/>
    <w:rsid w:val="00EB656A"/>
    <w:rPr>
      <w:rFonts w:ascii="Cambria" w:hAnsi="Cambria"/>
      <w:sz w:val="24"/>
      <w:szCs w:val="24"/>
    </w:rPr>
  </w:style>
  <w:style w:type="paragraph" w:customStyle="1" w:styleId="FirstParagraph">
    <w:name w:val="First Paragraph"/>
    <w:basedOn w:val="BodyText"/>
    <w:next w:val="BodyText"/>
    <w:qFormat/>
    <w:rsid w:val="006F38BB"/>
  </w:style>
  <w:style w:type="table" w:styleId="TableGrid">
    <w:name w:val="Table Grid"/>
    <w:basedOn w:val="TableNormal"/>
    <w:uiPriority w:val="39"/>
    <w:rsid w:val="00F5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7B26"/>
    <w:rPr>
      <w:color w:val="808080"/>
    </w:rPr>
  </w:style>
  <w:style w:type="paragraph" w:styleId="ListParagraph">
    <w:name w:val="List Paragraph"/>
    <w:basedOn w:val="Normal"/>
    <w:uiPriority w:val="34"/>
    <w:qFormat/>
    <w:rsid w:val="003746B6"/>
    <w:pPr>
      <w:ind w:left="720"/>
      <w:contextualSpacing/>
    </w:pPr>
  </w:style>
  <w:style w:type="paragraph" w:styleId="Caption">
    <w:name w:val="caption"/>
    <w:basedOn w:val="Normal"/>
    <w:next w:val="Normal"/>
    <w:uiPriority w:val="35"/>
    <w:unhideWhenUsed/>
    <w:qFormat/>
    <w:rsid w:val="00424B0A"/>
    <w:pPr>
      <w:spacing w:after="200" w:line="240" w:lineRule="auto"/>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78603">
      <w:bodyDiv w:val="1"/>
      <w:marLeft w:val="0"/>
      <w:marRight w:val="0"/>
      <w:marTop w:val="0"/>
      <w:marBottom w:val="0"/>
      <w:divBdr>
        <w:top w:val="none" w:sz="0" w:space="0" w:color="auto"/>
        <w:left w:val="none" w:sz="0" w:space="0" w:color="auto"/>
        <w:bottom w:val="none" w:sz="0" w:space="0" w:color="auto"/>
        <w:right w:val="none" w:sz="0" w:space="0" w:color="auto"/>
      </w:divBdr>
    </w:div>
    <w:div w:id="4643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6</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Giordano</dc:creator>
  <cp:keywords/>
  <dc:description/>
  <cp:lastModifiedBy>Nico Giordano</cp:lastModifiedBy>
  <cp:revision>46</cp:revision>
  <dcterms:created xsi:type="dcterms:W3CDTF">2024-05-29T19:55:00Z</dcterms:created>
  <dcterms:modified xsi:type="dcterms:W3CDTF">2024-07-03T22:07:00Z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36770a682a9b21ad95c3f5f60d56353b5b1d6a40b412bbe749715f2055462ca8</vt:lpwstr>
  </property>
  <property fmtid="{D5CDD505-2E9C-101B-9397-08002B2CF9AE}" pid="3" name="ZOTERO_PREF_1">
    <vt:lpwstr>&lt;data data-version="3" zotero-version="6.0.36"&gt;&lt;session id="ZbUAh8st"/&gt;&lt;style id="http://www.zotero.org/styles/asa-cssa-sssa" hasBibliography="1" bibliographyStyleHasBeenSet="0"/&gt;&lt;prefs&gt;&lt;pref name="fieldType" value="Field"/&gt;&lt;/prefs&gt;&lt;/data&gt;</vt:lpwstr>
  </property>
</Properties>
</file>