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>“Giovanna Crivelli”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Unicredit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“Sebastiano and Rita Raeli”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Unicredit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>, for being one of the top students of Tor Vergata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Vergata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3EE60F85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asterisk indicates a presentation a</w:t>
      </w:r>
      <w:r w:rsidR="00E503D9">
        <w:rPr>
          <w:rFonts w:ascii="Baskerville" w:hAnsi="Baskerville"/>
          <w:sz w:val="20"/>
          <w:szCs w:val="20"/>
          <w:lang w:val="en-GB"/>
        </w:rPr>
        <w:t xml:space="preserve"> 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241813B4" w:rsidR="00303F12" w:rsidRDefault="004420CB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(scheduled), Princeton (scheduled), Kellogg (scheduled), Stanford GSB Junior Faculty Workshop on Financial Regulation and Banking (scheduled), 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</w:t>
      </w:r>
      <w:bookmarkStart w:id="0" w:name="_GoBack"/>
      <w:bookmarkEnd w:id="0"/>
      <w:r w:rsidR="005C3657">
        <w:rPr>
          <w:rFonts w:ascii="Baskerville" w:hAnsi="Baskerville"/>
          <w:sz w:val="20"/>
          <w:szCs w:val="20"/>
          <w:lang w:val="en-GB"/>
        </w:rPr>
        <w:t xml:space="preserve"> C</w:t>
      </w:r>
      <w:r w:rsidR="003D73A8">
        <w:rPr>
          <w:rFonts w:ascii="Baskerville" w:hAnsi="Baskerville"/>
          <w:sz w:val="20"/>
          <w:szCs w:val="20"/>
          <w:lang w:val="en-GB"/>
        </w:rPr>
        <w:t xml:space="preserve">onference (scheduled), </w:t>
      </w:r>
      <w:r w:rsidR="00B12DB1">
        <w:rPr>
          <w:rFonts w:ascii="Baskerville" w:hAnsi="Baskerville"/>
          <w:sz w:val="20"/>
          <w:szCs w:val="20"/>
          <w:lang w:val="en-GB"/>
        </w:rPr>
        <w:t xml:space="preserve">IMF (scheduled),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3D73A8">
        <w:rPr>
          <w:rFonts w:ascii="Baskerville" w:hAnsi="Baskerville"/>
          <w:sz w:val="20"/>
          <w:szCs w:val="20"/>
          <w:lang w:val="en-GB"/>
        </w:rPr>
        <w:t>g, and Asset Markets Conference (scheduled)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043CEF49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Xiaoyun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Gantchev and Pab Jotikasthira,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1BC2"/>
    <w:rsid w:val="00F053DE"/>
    <w:rsid w:val="00F062BD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813</Words>
  <Characters>4638</Characters>
  <Application>Microsoft Macintosh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65</cp:revision>
  <cp:lastPrinted>2015-10-15T00:22:00Z</cp:lastPrinted>
  <dcterms:created xsi:type="dcterms:W3CDTF">2013-11-03T22:39:00Z</dcterms:created>
  <dcterms:modified xsi:type="dcterms:W3CDTF">2016-01-20T01:05:00Z</dcterms:modified>
</cp:coreProperties>
</file>